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F2AD93" w14:textId="4FD92127" w:rsidR="0005254F" w:rsidRPr="00673227" w:rsidRDefault="0005254F" w:rsidP="0005254F">
      <w:pPr>
        <w:pStyle w:val="TitlePageProjectNameL1"/>
        <w:spacing w:before="0" w:after="160"/>
        <w:rPr>
          <w:b w:val="0"/>
          <w:sz w:val="40"/>
          <w:szCs w:val="40"/>
        </w:rPr>
      </w:pPr>
      <w:bookmarkStart w:id="0" w:name="_Hlk216264395"/>
      <w:bookmarkStart w:id="1" w:name="_Toc481293279"/>
      <w:bookmarkStart w:id="2" w:name="_Hlk55458457"/>
      <w:bookmarkEnd w:id="0"/>
      <w:r w:rsidRPr="00673227">
        <w:rPr>
          <w:rFonts w:ascii="Arial" w:eastAsiaTheme="minorEastAsia" w:hAnsi="Arial" w:cs="Arial"/>
          <w:bCs/>
          <w:color w:val="000000" w:themeColor="text1"/>
          <w:kern w:val="24"/>
          <w:sz w:val="40"/>
          <w:szCs w:val="40"/>
        </w:rPr>
        <w:t xml:space="preserve">Middle Santa Ana River </w:t>
      </w:r>
      <w:r>
        <w:rPr>
          <w:rFonts w:ascii="Arial" w:eastAsiaTheme="minorEastAsia" w:hAnsi="Arial" w:cs="Arial"/>
          <w:bCs/>
          <w:color w:val="000000" w:themeColor="text1"/>
          <w:kern w:val="24"/>
          <w:sz w:val="40"/>
          <w:szCs w:val="40"/>
        </w:rPr>
        <w:t xml:space="preserve">Bacterial Indicator </w:t>
      </w:r>
      <w:r w:rsidRPr="00673227">
        <w:rPr>
          <w:rFonts w:ascii="Arial" w:eastAsiaTheme="minorEastAsia" w:hAnsi="Arial" w:cs="Arial"/>
          <w:bCs/>
          <w:color w:val="000000" w:themeColor="text1"/>
          <w:kern w:val="24"/>
          <w:sz w:val="40"/>
          <w:szCs w:val="40"/>
        </w:rPr>
        <w:t>TMDL</w:t>
      </w:r>
      <w:r w:rsidR="00427553">
        <w:rPr>
          <w:rFonts w:ascii="Arial" w:eastAsiaTheme="minorEastAsia" w:hAnsi="Arial" w:cs="Arial"/>
          <w:bCs/>
          <w:color w:val="000000" w:themeColor="text1"/>
          <w:kern w:val="24"/>
          <w:sz w:val="40"/>
          <w:szCs w:val="40"/>
        </w:rPr>
        <w:t>s</w:t>
      </w:r>
      <w:r w:rsidRPr="00673227">
        <w:rPr>
          <w:rFonts w:ascii="Arial" w:eastAsiaTheme="minorEastAsia" w:hAnsi="Arial" w:cs="Arial"/>
          <w:bCs/>
          <w:color w:val="000000" w:themeColor="text1"/>
          <w:kern w:val="24"/>
          <w:sz w:val="40"/>
          <w:szCs w:val="40"/>
        </w:rPr>
        <w:t>: 202</w:t>
      </w:r>
      <w:r w:rsidR="002D4B9B">
        <w:rPr>
          <w:rFonts w:ascii="Arial" w:eastAsiaTheme="minorEastAsia" w:hAnsi="Arial" w:cs="Arial"/>
          <w:bCs/>
          <w:color w:val="000000" w:themeColor="text1"/>
          <w:kern w:val="24"/>
          <w:sz w:val="40"/>
          <w:szCs w:val="40"/>
        </w:rPr>
        <w:t>6</w:t>
      </w:r>
      <w:r w:rsidRPr="00673227">
        <w:rPr>
          <w:rFonts w:ascii="Arial" w:eastAsiaTheme="minorEastAsia" w:hAnsi="Arial" w:cs="Arial"/>
          <w:bCs/>
          <w:color w:val="000000" w:themeColor="text1"/>
          <w:kern w:val="24"/>
          <w:sz w:val="40"/>
          <w:szCs w:val="40"/>
        </w:rPr>
        <w:t xml:space="preserve"> Triennial Report</w:t>
      </w:r>
      <w:r w:rsidR="00DF3266">
        <w:rPr>
          <w:rFonts w:ascii="Arial" w:eastAsiaTheme="minorEastAsia" w:hAnsi="Arial" w:cs="Arial"/>
          <w:bCs/>
          <w:color w:val="000000" w:themeColor="text1"/>
          <w:kern w:val="24"/>
          <w:sz w:val="40"/>
          <w:szCs w:val="40"/>
        </w:rPr>
        <w:t xml:space="preserve"> </w:t>
      </w:r>
    </w:p>
    <w:p w14:paraId="5CF9A9E8" w14:textId="77777777" w:rsidR="0005254F" w:rsidRPr="004F524D" w:rsidRDefault="0005254F" w:rsidP="0005254F">
      <w:r>
        <w:rPr>
          <w:noProof/>
        </w:rPr>
        <w:drawing>
          <wp:inline distT="0" distB="0" distL="0" distR="0" wp14:anchorId="30BE8768" wp14:editId="185D5F33">
            <wp:extent cx="4114800" cy="3082925"/>
            <wp:effectExtent l="0" t="0" r="0" b="3175"/>
            <wp:docPr id="33" name="Picture 33" descr="A picture containing tree, outdoor, groun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ree, outdoor, ground, natur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14800" cy="3082925"/>
                    </a:xfrm>
                    <a:prstGeom prst="rect">
                      <a:avLst/>
                    </a:prstGeom>
                    <a:noFill/>
                    <a:ln>
                      <a:noFill/>
                    </a:ln>
                  </pic:spPr>
                </pic:pic>
              </a:graphicData>
            </a:graphic>
          </wp:inline>
        </w:drawing>
      </w:r>
    </w:p>
    <w:p w14:paraId="70F80A63" w14:textId="77777777" w:rsidR="0005254F" w:rsidRPr="005C13D7" w:rsidRDefault="0005254F" w:rsidP="0005254F">
      <w:pPr>
        <w:pStyle w:val="TitlePageSubmittedtobyLine"/>
        <w:spacing w:after="80"/>
      </w:pPr>
      <w:r>
        <w:rPr>
          <w:noProof/>
        </w:rPr>
        <w:drawing>
          <wp:anchor distT="0" distB="0" distL="114300" distR="114300" simplePos="0" relativeHeight="251652096" behindDoc="0" locked="0" layoutInCell="1" allowOverlap="1" wp14:anchorId="5119E6C4" wp14:editId="52080E04">
            <wp:simplePos x="0" y="0"/>
            <wp:positionH relativeFrom="column">
              <wp:posOffset>2197735</wp:posOffset>
            </wp:positionH>
            <wp:positionV relativeFrom="paragraph">
              <wp:posOffset>478155</wp:posOffset>
            </wp:positionV>
            <wp:extent cx="1743075" cy="584200"/>
            <wp:effectExtent l="0" t="0" r="9525" b="6350"/>
            <wp:wrapSquare wrapText="bothSides"/>
            <wp:docPr id="31" name="Picture 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7" descr="A picture containing graphical user interface&#10;&#10;Description automatically generated"/>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743075" cy="584200"/>
                    </a:xfrm>
                    <a:prstGeom prst="rect">
                      <a:avLst/>
                    </a:prstGeom>
                  </pic:spPr>
                </pic:pic>
              </a:graphicData>
            </a:graphic>
            <wp14:sizeRelH relativeFrom="margin">
              <wp14:pctWidth>0</wp14:pctWidth>
            </wp14:sizeRelH>
            <wp14:sizeRelV relativeFrom="margin">
              <wp14:pctHeight>0</wp14:pctHeight>
            </wp14:sizeRelV>
          </wp:anchor>
        </w:drawing>
      </w:r>
      <w:r w:rsidRPr="005C13D7">
        <w:t>Submitted to:</w:t>
      </w:r>
    </w:p>
    <w:p w14:paraId="76B36163" w14:textId="77777777" w:rsidR="0005254F" w:rsidRPr="00AD75F1" w:rsidRDefault="0005254F" w:rsidP="0005254F">
      <w:pPr>
        <w:rPr>
          <w:rStyle w:val="TitlePageClient-GEIName"/>
        </w:rPr>
      </w:pPr>
      <w:r>
        <w:rPr>
          <w:rStyle w:val="TitlePageClient-GEIName"/>
        </w:rPr>
        <w:t>Santa Ana Watershed Project Authority</w:t>
      </w:r>
    </w:p>
    <w:p w14:paraId="5AAC02AE" w14:textId="77777777" w:rsidR="0005254F" w:rsidRPr="00971628" w:rsidRDefault="0005254F" w:rsidP="0005254F">
      <w:pPr>
        <w:pStyle w:val="RptTitleAddress"/>
      </w:pPr>
      <w:r w:rsidRPr="00971628">
        <w:t>11615 Sterling Avenue</w:t>
      </w:r>
      <w:r w:rsidRPr="00971628">
        <w:br/>
        <w:t>Riverside, CA 92503</w:t>
      </w:r>
    </w:p>
    <w:p w14:paraId="13EFC6D3" w14:textId="77777777" w:rsidR="0005254F" w:rsidRDefault="0005254F" w:rsidP="0005254F">
      <w:pPr>
        <w:pStyle w:val="RptTitleAddress"/>
      </w:pPr>
    </w:p>
    <w:p w14:paraId="70AB388F" w14:textId="77777777" w:rsidR="0005254F" w:rsidRDefault="0005254F" w:rsidP="0005254F">
      <w:pPr>
        <w:pStyle w:val="RptTitleAddress"/>
      </w:pPr>
    </w:p>
    <w:p w14:paraId="73A5B0B8" w14:textId="77777777" w:rsidR="0005254F" w:rsidRPr="00373771" w:rsidRDefault="0005254F" w:rsidP="0005254F">
      <w:pPr>
        <w:pStyle w:val="RptTitleAddress"/>
        <w:spacing w:after="80"/>
        <w:rPr>
          <w:i/>
          <w:iCs/>
        </w:rPr>
      </w:pPr>
      <w:r>
        <w:rPr>
          <w:i/>
          <w:iCs/>
        </w:rPr>
        <w:t>Prepared</w:t>
      </w:r>
      <w:r w:rsidRPr="00373771">
        <w:rPr>
          <w:i/>
          <w:iCs/>
        </w:rPr>
        <w:t xml:space="preserve"> by:</w:t>
      </w:r>
    </w:p>
    <w:p w14:paraId="36797CE7" w14:textId="77777777" w:rsidR="0005254F" w:rsidRDefault="0005254F" w:rsidP="0005254F">
      <w:pPr>
        <w:rPr>
          <w:rStyle w:val="TitlePageClient-GEIName"/>
        </w:rPr>
      </w:pPr>
      <w:r w:rsidRPr="004C712B">
        <w:rPr>
          <w:rStyle w:val="TitlePageClient-GEIName"/>
        </w:rPr>
        <w:t>GEI Consultants, Inc.</w:t>
      </w:r>
    </w:p>
    <w:p w14:paraId="0419D8E2" w14:textId="77777777" w:rsidR="00BB625C" w:rsidRPr="002120AA" w:rsidRDefault="00BB625C" w:rsidP="00BB625C">
      <w:pPr>
        <w:spacing w:before="240"/>
        <w:rPr>
          <w:rStyle w:val="TitlePageClient-GEIName"/>
        </w:rPr>
      </w:pPr>
      <w:r w:rsidRPr="002120AA">
        <w:rPr>
          <w:rStyle w:val="TitlePageClient-GEIName"/>
        </w:rPr>
        <w:t>Essential Environmental and Engineering Systems</w:t>
      </w:r>
    </w:p>
    <w:p w14:paraId="7C1E8E8A" w14:textId="031D321E" w:rsidR="0005254F" w:rsidRPr="002F13CA" w:rsidRDefault="0005254F" w:rsidP="002F13CA">
      <w:pPr>
        <w:pStyle w:val="TitlePageDate"/>
        <w:rPr>
          <w:b/>
          <w:bCs/>
          <w:sz w:val="28"/>
          <w:szCs w:val="28"/>
        </w:rPr>
        <w:sectPr w:rsidR="0005254F" w:rsidRPr="002F13CA" w:rsidSect="00A81FDE">
          <w:headerReference w:type="default" r:id="rId13"/>
          <w:pgSz w:w="12240" w:h="15840" w:code="1"/>
          <w:pgMar w:top="1440" w:right="1440" w:bottom="864" w:left="4320" w:header="720" w:footer="720" w:gutter="0"/>
          <w:cols w:space="720"/>
          <w:docGrid w:linePitch="360"/>
        </w:sectPr>
      </w:pPr>
      <w:r w:rsidRPr="007B40C5">
        <w:rPr>
          <w:b/>
          <w:bCs/>
          <w:noProof/>
          <w:sz w:val="28"/>
          <w:szCs w:val="28"/>
        </w:rPr>
        <w:t xml:space="preserve">December </w:t>
      </w:r>
      <w:r w:rsidR="00412F73">
        <w:rPr>
          <w:b/>
          <w:bCs/>
          <w:noProof/>
          <w:sz w:val="28"/>
          <w:szCs w:val="28"/>
        </w:rPr>
        <w:t>23</w:t>
      </w:r>
      <w:r w:rsidRPr="007B40C5">
        <w:rPr>
          <w:b/>
          <w:bCs/>
          <w:noProof/>
          <w:sz w:val="28"/>
          <w:szCs w:val="28"/>
        </w:rPr>
        <w:t>, 202</w:t>
      </w:r>
      <w:r w:rsidR="002D4B9B">
        <w:rPr>
          <w:b/>
          <w:bCs/>
          <w:noProof/>
          <w:sz w:val="28"/>
          <w:szCs w:val="28"/>
        </w:rPr>
        <w:t>5</w:t>
      </w:r>
      <w:r w:rsidR="000C3A43">
        <w:rPr>
          <w:b/>
          <w:bCs/>
          <w:noProof/>
          <w:sz w:val="28"/>
          <w:szCs w:val="28"/>
        </w:rPr>
        <w:t xml:space="preserve"> </w:t>
      </w:r>
      <w:r w:rsidR="000C3A43" w:rsidRPr="000C3A43">
        <w:rPr>
          <w:b/>
          <w:bCs/>
          <w:noProof/>
          <w:color w:val="FF0000"/>
          <w:sz w:val="28"/>
          <w:szCs w:val="28"/>
        </w:rPr>
        <w:t>DRAFT</w:t>
      </w:r>
    </w:p>
    <w:p w14:paraId="3B4F31D4" w14:textId="77777777" w:rsidR="0005254F" w:rsidRPr="007B57E1" w:rsidRDefault="0005254F" w:rsidP="0005254F">
      <w:pPr>
        <w:pStyle w:val="SignatureName-Date"/>
      </w:pPr>
    </w:p>
    <w:sdt>
      <w:sdtPr>
        <w:rPr>
          <w:rFonts w:ascii="Times New Roman" w:hAnsi="Times New Roman"/>
          <w:b w:val="0"/>
          <w:sz w:val="24"/>
        </w:rPr>
        <w:id w:val="1221025278"/>
        <w:docPartObj>
          <w:docPartGallery w:val="Table of Contents"/>
          <w:docPartUnique/>
        </w:docPartObj>
      </w:sdtPr>
      <w:sdtEndPr>
        <w:rPr>
          <w:bCs/>
          <w:noProof/>
        </w:rPr>
      </w:sdtEndPr>
      <w:sdtContent>
        <w:p w14:paraId="0C7A5544" w14:textId="22C0B549" w:rsidR="0078479C" w:rsidRDefault="0078479C">
          <w:pPr>
            <w:pStyle w:val="TOCHeading"/>
          </w:pPr>
          <w:r>
            <w:t>Table of Contents</w:t>
          </w:r>
        </w:p>
        <w:p w14:paraId="17550317" w14:textId="7E8D0B94" w:rsidR="00785944" w:rsidRDefault="0078479C">
          <w:pPr>
            <w:pStyle w:val="TOC1"/>
            <w:rPr>
              <w:rFonts w:asciiTheme="minorHAnsi" w:eastAsiaTheme="minorEastAsia" w:hAnsiTheme="minorHAnsi" w:cstheme="minorBidi"/>
              <w:b w:val="0"/>
              <w:noProof/>
              <w:kern w:val="2"/>
              <w:szCs w:val="24"/>
              <w14:ligatures w14:val="standardContextual"/>
            </w:rPr>
          </w:pPr>
          <w:r>
            <w:fldChar w:fldCharType="begin"/>
          </w:r>
          <w:r>
            <w:instrText xml:space="preserve"> TOC \o "1-3" \h \z \u </w:instrText>
          </w:r>
          <w:r>
            <w:fldChar w:fldCharType="separate"/>
          </w:r>
          <w:hyperlink w:anchor="_Toc217410132" w:history="1">
            <w:r w:rsidR="00785944" w:rsidRPr="00C90756">
              <w:rPr>
                <w:rStyle w:val="Hyperlink"/>
                <w:noProof/>
              </w:rPr>
              <w:t>Executive Summary</w:t>
            </w:r>
            <w:r w:rsidR="00785944">
              <w:rPr>
                <w:noProof/>
                <w:webHidden/>
              </w:rPr>
              <w:tab/>
            </w:r>
            <w:r w:rsidR="00785944">
              <w:rPr>
                <w:noProof/>
                <w:webHidden/>
              </w:rPr>
              <w:fldChar w:fldCharType="begin"/>
            </w:r>
            <w:r w:rsidR="00785944">
              <w:rPr>
                <w:noProof/>
                <w:webHidden/>
              </w:rPr>
              <w:instrText xml:space="preserve"> PAGEREF _Toc217410132 \h </w:instrText>
            </w:r>
            <w:r w:rsidR="00785944">
              <w:rPr>
                <w:noProof/>
                <w:webHidden/>
              </w:rPr>
            </w:r>
            <w:r w:rsidR="00785944">
              <w:rPr>
                <w:noProof/>
                <w:webHidden/>
              </w:rPr>
              <w:fldChar w:fldCharType="separate"/>
            </w:r>
            <w:r w:rsidR="00785944">
              <w:rPr>
                <w:noProof/>
                <w:webHidden/>
              </w:rPr>
              <w:t>1</w:t>
            </w:r>
            <w:r w:rsidR="00785944">
              <w:rPr>
                <w:noProof/>
                <w:webHidden/>
              </w:rPr>
              <w:fldChar w:fldCharType="end"/>
            </w:r>
          </w:hyperlink>
        </w:p>
        <w:p w14:paraId="33645855" w14:textId="613686D7" w:rsidR="00785944" w:rsidRDefault="00785944">
          <w:pPr>
            <w:pStyle w:val="TOC1"/>
            <w:rPr>
              <w:rFonts w:asciiTheme="minorHAnsi" w:eastAsiaTheme="minorEastAsia" w:hAnsiTheme="minorHAnsi" w:cstheme="minorBidi"/>
              <w:b w:val="0"/>
              <w:noProof/>
              <w:kern w:val="2"/>
              <w:szCs w:val="24"/>
              <w14:ligatures w14:val="standardContextual"/>
            </w:rPr>
          </w:pPr>
          <w:hyperlink w:anchor="_Toc217410133" w:history="1">
            <w:r w:rsidRPr="00C90756">
              <w:rPr>
                <w:rStyle w:val="Hyperlink"/>
                <w:noProof/>
              </w:rPr>
              <w:t>1.</w:t>
            </w:r>
            <w:r>
              <w:rPr>
                <w:rFonts w:asciiTheme="minorHAnsi" w:eastAsiaTheme="minorEastAsia" w:hAnsiTheme="minorHAnsi" w:cstheme="minorBidi"/>
                <w:b w:val="0"/>
                <w:noProof/>
                <w:kern w:val="2"/>
                <w:szCs w:val="24"/>
                <w14:ligatures w14:val="standardContextual"/>
              </w:rPr>
              <w:tab/>
            </w:r>
            <w:r w:rsidRPr="00C90756">
              <w:rPr>
                <w:rStyle w:val="Hyperlink"/>
                <w:noProof/>
              </w:rPr>
              <w:t>Introduction</w:t>
            </w:r>
            <w:r>
              <w:rPr>
                <w:noProof/>
                <w:webHidden/>
              </w:rPr>
              <w:tab/>
            </w:r>
            <w:r>
              <w:rPr>
                <w:noProof/>
                <w:webHidden/>
              </w:rPr>
              <w:fldChar w:fldCharType="begin"/>
            </w:r>
            <w:r>
              <w:rPr>
                <w:noProof/>
                <w:webHidden/>
              </w:rPr>
              <w:instrText xml:space="preserve"> PAGEREF _Toc217410133 \h </w:instrText>
            </w:r>
            <w:r>
              <w:rPr>
                <w:noProof/>
                <w:webHidden/>
              </w:rPr>
            </w:r>
            <w:r>
              <w:rPr>
                <w:noProof/>
                <w:webHidden/>
              </w:rPr>
              <w:fldChar w:fldCharType="separate"/>
            </w:r>
            <w:r>
              <w:rPr>
                <w:noProof/>
                <w:webHidden/>
              </w:rPr>
              <w:t>1-1</w:t>
            </w:r>
            <w:r>
              <w:rPr>
                <w:noProof/>
                <w:webHidden/>
              </w:rPr>
              <w:fldChar w:fldCharType="end"/>
            </w:r>
          </w:hyperlink>
        </w:p>
        <w:p w14:paraId="2B9D7997" w14:textId="3D73EED0" w:rsidR="00785944" w:rsidRDefault="00785944">
          <w:pPr>
            <w:pStyle w:val="TOC2"/>
            <w:rPr>
              <w:rFonts w:asciiTheme="minorHAnsi" w:eastAsiaTheme="minorEastAsia" w:hAnsiTheme="minorHAnsi" w:cstheme="minorBidi"/>
              <w:noProof/>
              <w:kern w:val="2"/>
              <w:szCs w:val="24"/>
              <w14:ligatures w14:val="standardContextual"/>
            </w:rPr>
          </w:pPr>
          <w:hyperlink w:anchor="_Toc217410134" w:history="1">
            <w:r w:rsidRPr="00C90756">
              <w:rPr>
                <w:rStyle w:val="Hyperlink"/>
                <w:noProof/>
              </w:rPr>
              <w:t>1.1</w:t>
            </w:r>
            <w:r>
              <w:rPr>
                <w:rFonts w:asciiTheme="minorHAnsi" w:eastAsiaTheme="minorEastAsia" w:hAnsiTheme="minorHAnsi" w:cstheme="minorBidi"/>
                <w:noProof/>
                <w:kern w:val="2"/>
                <w:szCs w:val="24"/>
                <w14:ligatures w14:val="standardContextual"/>
              </w:rPr>
              <w:tab/>
            </w:r>
            <w:r w:rsidRPr="00C90756">
              <w:rPr>
                <w:rStyle w:val="Hyperlink"/>
                <w:noProof/>
              </w:rPr>
              <w:t>Regulatory Background</w:t>
            </w:r>
            <w:r>
              <w:rPr>
                <w:noProof/>
                <w:webHidden/>
              </w:rPr>
              <w:tab/>
            </w:r>
            <w:r>
              <w:rPr>
                <w:noProof/>
                <w:webHidden/>
              </w:rPr>
              <w:fldChar w:fldCharType="begin"/>
            </w:r>
            <w:r>
              <w:rPr>
                <w:noProof/>
                <w:webHidden/>
              </w:rPr>
              <w:instrText xml:space="preserve"> PAGEREF _Toc217410134 \h </w:instrText>
            </w:r>
            <w:r>
              <w:rPr>
                <w:noProof/>
                <w:webHidden/>
              </w:rPr>
            </w:r>
            <w:r>
              <w:rPr>
                <w:noProof/>
                <w:webHidden/>
              </w:rPr>
              <w:fldChar w:fldCharType="separate"/>
            </w:r>
            <w:r>
              <w:rPr>
                <w:noProof/>
                <w:webHidden/>
              </w:rPr>
              <w:t>1-1</w:t>
            </w:r>
            <w:r>
              <w:rPr>
                <w:noProof/>
                <w:webHidden/>
              </w:rPr>
              <w:fldChar w:fldCharType="end"/>
            </w:r>
          </w:hyperlink>
        </w:p>
        <w:p w14:paraId="534E5EFC" w14:textId="6D403CD1" w:rsidR="00785944" w:rsidRDefault="00785944">
          <w:pPr>
            <w:pStyle w:val="TOC2"/>
            <w:rPr>
              <w:rFonts w:asciiTheme="minorHAnsi" w:eastAsiaTheme="minorEastAsia" w:hAnsiTheme="minorHAnsi" w:cstheme="minorBidi"/>
              <w:noProof/>
              <w:kern w:val="2"/>
              <w:szCs w:val="24"/>
              <w14:ligatures w14:val="standardContextual"/>
            </w:rPr>
          </w:pPr>
          <w:hyperlink w:anchor="_Toc217410135" w:history="1">
            <w:r w:rsidRPr="00C90756">
              <w:rPr>
                <w:rStyle w:val="Hyperlink"/>
                <w:noProof/>
              </w:rPr>
              <w:t>1.2</w:t>
            </w:r>
            <w:r>
              <w:rPr>
                <w:rFonts w:asciiTheme="minorHAnsi" w:eastAsiaTheme="minorEastAsia" w:hAnsiTheme="minorHAnsi" w:cstheme="minorBidi"/>
                <w:noProof/>
                <w:kern w:val="2"/>
                <w:szCs w:val="24"/>
                <w14:ligatures w14:val="standardContextual"/>
              </w:rPr>
              <w:tab/>
            </w:r>
            <w:r w:rsidRPr="00C90756">
              <w:rPr>
                <w:rStyle w:val="Hyperlink"/>
                <w:noProof/>
              </w:rPr>
              <w:t>MSAR TMDL Task Force</w:t>
            </w:r>
            <w:r>
              <w:rPr>
                <w:noProof/>
                <w:webHidden/>
              </w:rPr>
              <w:tab/>
            </w:r>
            <w:r>
              <w:rPr>
                <w:noProof/>
                <w:webHidden/>
              </w:rPr>
              <w:fldChar w:fldCharType="begin"/>
            </w:r>
            <w:r>
              <w:rPr>
                <w:noProof/>
                <w:webHidden/>
              </w:rPr>
              <w:instrText xml:space="preserve"> PAGEREF _Toc217410135 \h </w:instrText>
            </w:r>
            <w:r>
              <w:rPr>
                <w:noProof/>
                <w:webHidden/>
              </w:rPr>
            </w:r>
            <w:r>
              <w:rPr>
                <w:noProof/>
                <w:webHidden/>
              </w:rPr>
              <w:fldChar w:fldCharType="separate"/>
            </w:r>
            <w:r>
              <w:rPr>
                <w:noProof/>
                <w:webHidden/>
              </w:rPr>
              <w:t>1-3</w:t>
            </w:r>
            <w:r>
              <w:rPr>
                <w:noProof/>
                <w:webHidden/>
              </w:rPr>
              <w:fldChar w:fldCharType="end"/>
            </w:r>
          </w:hyperlink>
        </w:p>
        <w:p w14:paraId="009ECE2E" w14:textId="05F8CAFA" w:rsidR="00785944" w:rsidRDefault="00785944">
          <w:pPr>
            <w:pStyle w:val="TOC2"/>
            <w:rPr>
              <w:rFonts w:asciiTheme="minorHAnsi" w:eastAsiaTheme="minorEastAsia" w:hAnsiTheme="minorHAnsi" w:cstheme="minorBidi"/>
              <w:noProof/>
              <w:kern w:val="2"/>
              <w:szCs w:val="24"/>
              <w14:ligatures w14:val="standardContextual"/>
            </w:rPr>
          </w:pPr>
          <w:hyperlink w:anchor="_Toc217410136" w:history="1">
            <w:r w:rsidRPr="00C90756">
              <w:rPr>
                <w:rStyle w:val="Hyperlink"/>
                <w:noProof/>
              </w:rPr>
              <w:t>1.3</w:t>
            </w:r>
            <w:r>
              <w:rPr>
                <w:rFonts w:asciiTheme="minorHAnsi" w:eastAsiaTheme="minorEastAsia" w:hAnsiTheme="minorHAnsi" w:cstheme="minorBidi"/>
                <w:noProof/>
                <w:kern w:val="2"/>
                <w:szCs w:val="24"/>
                <w14:ligatures w14:val="standardContextual"/>
              </w:rPr>
              <w:tab/>
            </w:r>
            <w:r w:rsidRPr="00C90756">
              <w:rPr>
                <w:rStyle w:val="Hyperlink"/>
                <w:noProof/>
              </w:rPr>
              <w:t>TMDL Implementation Requirements</w:t>
            </w:r>
            <w:r>
              <w:rPr>
                <w:noProof/>
                <w:webHidden/>
              </w:rPr>
              <w:tab/>
            </w:r>
            <w:r>
              <w:rPr>
                <w:noProof/>
                <w:webHidden/>
              </w:rPr>
              <w:fldChar w:fldCharType="begin"/>
            </w:r>
            <w:r>
              <w:rPr>
                <w:noProof/>
                <w:webHidden/>
              </w:rPr>
              <w:instrText xml:space="preserve"> PAGEREF _Toc217410136 \h </w:instrText>
            </w:r>
            <w:r>
              <w:rPr>
                <w:noProof/>
                <w:webHidden/>
              </w:rPr>
            </w:r>
            <w:r>
              <w:rPr>
                <w:noProof/>
                <w:webHidden/>
              </w:rPr>
              <w:fldChar w:fldCharType="separate"/>
            </w:r>
            <w:r>
              <w:rPr>
                <w:noProof/>
                <w:webHidden/>
              </w:rPr>
              <w:t>1-3</w:t>
            </w:r>
            <w:r>
              <w:rPr>
                <w:noProof/>
                <w:webHidden/>
              </w:rPr>
              <w:fldChar w:fldCharType="end"/>
            </w:r>
          </w:hyperlink>
        </w:p>
        <w:p w14:paraId="67586C03" w14:textId="03DA9C35"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37" w:history="1">
            <w:r w:rsidRPr="00C90756">
              <w:rPr>
                <w:rStyle w:val="Hyperlink"/>
                <w:noProof/>
              </w:rPr>
              <w:t>1.3.1</w:t>
            </w:r>
            <w:r>
              <w:rPr>
                <w:rFonts w:asciiTheme="minorHAnsi" w:eastAsiaTheme="minorEastAsia" w:hAnsiTheme="minorHAnsi" w:cstheme="minorBidi"/>
                <w:noProof/>
                <w:kern w:val="2"/>
                <w:szCs w:val="24"/>
                <w14:ligatures w14:val="standardContextual"/>
              </w:rPr>
              <w:tab/>
            </w:r>
            <w:r w:rsidRPr="00C90756">
              <w:rPr>
                <w:rStyle w:val="Hyperlink"/>
                <w:noProof/>
              </w:rPr>
              <w:t>MSAR TMDL Implementation Plan</w:t>
            </w:r>
            <w:r>
              <w:rPr>
                <w:noProof/>
                <w:webHidden/>
              </w:rPr>
              <w:tab/>
            </w:r>
            <w:r>
              <w:rPr>
                <w:noProof/>
                <w:webHidden/>
              </w:rPr>
              <w:fldChar w:fldCharType="begin"/>
            </w:r>
            <w:r>
              <w:rPr>
                <w:noProof/>
                <w:webHidden/>
              </w:rPr>
              <w:instrText xml:space="preserve"> PAGEREF _Toc217410137 \h </w:instrText>
            </w:r>
            <w:r>
              <w:rPr>
                <w:noProof/>
                <w:webHidden/>
              </w:rPr>
            </w:r>
            <w:r>
              <w:rPr>
                <w:noProof/>
                <w:webHidden/>
              </w:rPr>
              <w:fldChar w:fldCharType="separate"/>
            </w:r>
            <w:r>
              <w:rPr>
                <w:noProof/>
                <w:webHidden/>
              </w:rPr>
              <w:t>1-3</w:t>
            </w:r>
            <w:r>
              <w:rPr>
                <w:noProof/>
                <w:webHidden/>
              </w:rPr>
              <w:fldChar w:fldCharType="end"/>
            </w:r>
          </w:hyperlink>
        </w:p>
        <w:p w14:paraId="46349CDC" w14:textId="4ED16A23"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38" w:history="1">
            <w:r w:rsidRPr="00C90756">
              <w:rPr>
                <w:rStyle w:val="Hyperlink"/>
                <w:noProof/>
              </w:rPr>
              <w:t>1.3.2</w:t>
            </w:r>
            <w:r>
              <w:rPr>
                <w:rFonts w:asciiTheme="minorHAnsi" w:eastAsiaTheme="minorEastAsia" w:hAnsiTheme="minorHAnsi" w:cstheme="minorBidi"/>
                <w:noProof/>
                <w:kern w:val="2"/>
                <w:szCs w:val="24"/>
                <w14:ligatures w14:val="standardContextual"/>
              </w:rPr>
              <w:tab/>
            </w:r>
            <w:r w:rsidRPr="00C90756">
              <w:rPr>
                <w:rStyle w:val="Hyperlink"/>
                <w:noProof/>
              </w:rPr>
              <w:t>Additional Implementation Requirements</w:t>
            </w:r>
            <w:r>
              <w:rPr>
                <w:noProof/>
                <w:webHidden/>
              </w:rPr>
              <w:tab/>
            </w:r>
            <w:r>
              <w:rPr>
                <w:noProof/>
                <w:webHidden/>
              </w:rPr>
              <w:fldChar w:fldCharType="begin"/>
            </w:r>
            <w:r>
              <w:rPr>
                <w:noProof/>
                <w:webHidden/>
              </w:rPr>
              <w:instrText xml:space="preserve"> PAGEREF _Toc217410138 \h </w:instrText>
            </w:r>
            <w:r>
              <w:rPr>
                <w:noProof/>
                <w:webHidden/>
              </w:rPr>
            </w:r>
            <w:r>
              <w:rPr>
                <w:noProof/>
                <w:webHidden/>
              </w:rPr>
              <w:fldChar w:fldCharType="separate"/>
            </w:r>
            <w:r>
              <w:rPr>
                <w:noProof/>
                <w:webHidden/>
              </w:rPr>
              <w:t>1-4</w:t>
            </w:r>
            <w:r>
              <w:rPr>
                <w:noProof/>
                <w:webHidden/>
              </w:rPr>
              <w:fldChar w:fldCharType="end"/>
            </w:r>
          </w:hyperlink>
        </w:p>
        <w:p w14:paraId="6B728D32" w14:textId="321020FC"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39" w:history="1">
            <w:r w:rsidRPr="00C90756">
              <w:rPr>
                <w:rStyle w:val="Hyperlink"/>
                <w:noProof/>
              </w:rPr>
              <w:t>1.3.3</w:t>
            </w:r>
            <w:r>
              <w:rPr>
                <w:rFonts w:asciiTheme="minorHAnsi" w:eastAsiaTheme="minorEastAsia" w:hAnsiTheme="minorHAnsi" w:cstheme="minorBidi"/>
                <w:noProof/>
                <w:kern w:val="2"/>
                <w:szCs w:val="24"/>
                <w14:ligatures w14:val="standardContextual"/>
              </w:rPr>
              <w:tab/>
            </w:r>
            <w:r w:rsidRPr="00C90756">
              <w:rPr>
                <w:rStyle w:val="Hyperlink"/>
                <w:noProof/>
              </w:rPr>
              <w:t>TMDL Implementation Overview</w:t>
            </w:r>
            <w:r>
              <w:rPr>
                <w:noProof/>
                <w:webHidden/>
              </w:rPr>
              <w:tab/>
            </w:r>
            <w:r>
              <w:rPr>
                <w:noProof/>
                <w:webHidden/>
              </w:rPr>
              <w:fldChar w:fldCharType="begin"/>
            </w:r>
            <w:r>
              <w:rPr>
                <w:noProof/>
                <w:webHidden/>
              </w:rPr>
              <w:instrText xml:space="preserve"> PAGEREF _Toc217410139 \h </w:instrText>
            </w:r>
            <w:r>
              <w:rPr>
                <w:noProof/>
                <w:webHidden/>
              </w:rPr>
            </w:r>
            <w:r>
              <w:rPr>
                <w:noProof/>
                <w:webHidden/>
              </w:rPr>
              <w:fldChar w:fldCharType="separate"/>
            </w:r>
            <w:r>
              <w:rPr>
                <w:noProof/>
                <w:webHidden/>
              </w:rPr>
              <w:t>1-6</w:t>
            </w:r>
            <w:r>
              <w:rPr>
                <w:noProof/>
                <w:webHidden/>
              </w:rPr>
              <w:fldChar w:fldCharType="end"/>
            </w:r>
          </w:hyperlink>
        </w:p>
        <w:p w14:paraId="249F98DF" w14:textId="16498E50" w:rsidR="00785944" w:rsidRDefault="00785944">
          <w:pPr>
            <w:pStyle w:val="TOC2"/>
            <w:rPr>
              <w:rFonts w:asciiTheme="minorHAnsi" w:eastAsiaTheme="minorEastAsia" w:hAnsiTheme="minorHAnsi" w:cstheme="minorBidi"/>
              <w:noProof/>
              <w:kern w:val="2"/>
              <w:szCs w:val="24"/>
              <w14:ligatures w14:val="standardContextual"/>
            </w:rPr>
          </w:pPr>
          <w:hyperlink w:anchor="_Toc217410140" w:history="1">
            <w:r w:rsidRPr="00C90756">
              <w:rPr>
                <w:rStyle w:val="Hyperlink"/>
                <w:noProof/>
              </w:rPr>
              <w:t>1.4</w:t>
            </w:r>
            <w:r>
              <w:rPr>
                <w:rFonts w:asciiTheme="minorHAnsi" w:eastAsiaTheme="minorEastAsia" w:hAnsiTheme="minorHAnsi" w:cstheme="minorBidi"/>
                <w:noProof/>
                <w:kern w:val="2"/>
                <w:szCs w:val="24"/>
                <w14:ligatures w14:val="standardContextual"/>
              </w:rPr>
              <w:tab/>
            </w:r>
            <w:r w:rsidRPr="00C90756">
              <w:rPr>
                <w:rStyle w:val="Hyperlink"/>
                <w:noProof/>
              </w:rPr>
              <w:t>TMDL Triennial Reports</w:t>
            </w:r>
            <w:r>
              <w:rPr>
                <w:noProof/>
                <w:webHidden/>
              </w:rPr>
              <w:tab/>
            </w:r>
            <w:r>
              <w:rPr>
                <w:noProof/>
                <w:webHidden/>
              </w:rPr>
              <w:fldChar w:fldCharType="begin"/>
            </w:r>
            <w:r>
              <w:rPr>
                <w:noProof/>
                <w:webHidden/>
              </w:rPr>
              <w:instrText xml:space="preserve"> PAGEREF _Toc217410140 \h </w:instrText>
            </w:r>
            <w:r>
              <w:rPr>
                <w:noProof/>
                <w:webHidden/>
              </w:rPr>
            </w:r>
            <w:r>
              <w:rPr>
                <w:noProof/>
                <w:webHidden/>
              </w:rPr>
              <w:fldChar w:fldCharType="separate"/>
            </w:r>
            <w:r>
              <w:rPr>
                <w:noProof/>
                <w:webHidden/>
              </w:rPr>
              <w:t>1-7</w:t>
            </w:r>
            <w:r>
              <w:rPr>
                <w:noProof/>
                <w:webHidden/>
              </w:rPr>
              <w:fldChar w:fldCharType="end"/>
            </w:r>
          </w:hyperlink>
        </w:p>
        <w:p w14:paraId="19B87775" w14:textId="5D206A2F" w:rsidR="00785944" w:rsidRDefault="00785944">
          <w:pPr>
            <w:pStyle w:val="TOC1"/>
            <w:rPr>
              <w:rFonts w:asciiTheme="minorHAnsi" w:eastAsiaTheme="minorEastAsia" w:hAnsiTheme="minorHAnsi" w:cstheme="minorBidi"/>
              <w:b w:val="0"/>
              <w:noProof/>
              <w:kern w:val="2"/>
              <w:szCs w:val="24"/>
              <w14:ligatures w14:val="standardContextual"/>
            </w:rPr>
          </w:pPr>
          <w:hyperlink w:anchor="_Toc217410141" w:history="1">
            <w:r w:rsidRPr="00C90756">
              <w:rPr>
                <w:rStyle w:val="Hyperlink"/>
                <w:noProof/>
              </w:rPr>
              <w:t>2.</w:t>
            </w:r>
            <w:r>
              <w:rPr>
                <w:rFonts w:asciiTheme="minorHAnsi" w:eastAsiaTheme="minorEastAsia" w:hAnsiTheme="minorHAnsi" w:cstheme="minorBidi"/>
                <w:b w:val="0"/>
                <w:noProof/>
                <w:kern w:val="2"/>
                <w:szCs w:val="24"/>
                <w14:ligatures w14:val="standardContextual"/>
              </w:rPr>
              <w:tab/>
            </w:r>
            <w:r w:rsidRPr="00C90756">
              <w:rPr>
                <w:rStyle w:val="Hyperlink"/>
                <w:noProof/>
              </w:rPr>
              <w:t>Watershed-wide Monitoring Program</w:t>
            </w:r>
            <w:r>
              <w:rPr>
                <w:noProof/>
                <w:webHidden/>
              </w:rPr>
              <w:tab/>
            </w:r>
            <w:r>
              <w:rPr>
                <w:noProof/>
                <w:webHidden/>
              </w:rPr>
              <w:fldChar w:fldCharType="begin"/>
            </w:r>
            <w:r>
              <w:rPr>
                <w:noProof/>
                <w:webHidden/>
              </w:rPr>
              <w:instrText xml:space="preserve"> PAGEREF _Toc217410141 \h </w:instrText>
            </w:r>
            <w:r>
              <w:rPr>
                <w:noProof/>
                <w:webHidden/>
              </w:rPr>
            </w:r>
            <w:r>
              <w:rPr>
                <w:noProof/>
                <w:webHidden/>
              </w:rPr>
              <w:fldChar w:fldCharType="separate"/>
            </w:r>
            <w:r>
              <w:rPr>
                <w:noProof/>
                <w:webHidden/>
              </w:rPr>
              <w:t>2-1</w:t>
            </w:r>
            <w:r>
              <w:rPr>
                <w:noProof/>
                <w:webHidden/>
              </w:rPr>
              <w:fldChar w:fldCharType="end"/>
            </w:r>
          </w:hyperlink>
        </w:p>
        <w:p w14:paraId="54CB922D" w14:textId="07DA31FA" w:rsidR="00785944" w:rsidRDefault="00785944">
          <w:pPr>
            <w:pStyle w:val="TOC2"/>
            <w:rPr>
              <w:rFonts w:asciiTheme="minorHAnsi" w:eastAsiaTheme="minorEastAsia" w:hAnsiTheme="minorHAnsi" w:cstheme="minorBidi"/>
              <w:noProof/>
              <w:kern w:val="2"/>
              <w:szCs w:val="24"/>
              <w14:ligatures w14:val="standardContextual"/>
            </w:rPr>
          </w:pPr>
          <w:hyperlink w:anchor="_Toc217410142" w:history="1">
            <w:r w:rsidRPr="00C90756">
              <w:rPr>
                <w:rStyle w:val="Hyperlink"/>
                <w:noProof/>
              </w:rPr>
              <w:t>2.1</w:t>
            </w:r>
            <w:r>
              <w:rPr>
                <w:rFonts w:asciiTheme="minorHAnsi" w:eastAsiaTheme="minorEastAsia" w:hAnsiTheme="minorHAnsi" w:cstheme="minorBidi"/>
                <w:noProof/>
                <w:kern w:val="2"/>
                <w:szCs w:val="24"/>
                <w14:ligatures w14:val="standardContextual"/>
              </w:rPr>
              <w:tab/>
            </w:r>
            <w:r w:rsidRPr="00C90756">
              <w:rPr>
                <w:rStyle w:val="Hyperlink"/>
                <w:noProof/>
              </w:rPr>
              <w:t>Program Overview</w:t>
            </w:r>
            <w:r>
              <w:rPr>
                <w:noProof/>
                <w:webHidden/>
              </w:rPr>
              <w:tab/>
            </w:r>
            <w:r>
              <w:rPr>
                <w:noProof/>
                <w:webHidden/>
              </w:rPr>
              <w:fldChar w:fldCharType="begin"/>
            </w:r>
            <w:r>
              <w:rPr>
                <w:noProof/>
                <w:webHidden/>
              </w:rPr>
              <w:instrText xml:space="preserve"> PAGEREF _Toc217410142 \h </w:instrText>
            </w:r>
            <w:r>
              <w:rPr>
                <w:noProof/>
                <w:webHidden/>
              </w:rPr>
            </w:r>
            <w:r>
              <w:rPr>
                <w:noProof/>
                <w:webHidden/>
              </w:rPr>
              <w:fldChar w:fldCharType="separate"/>
            </w:r>
            <w:r>
              <w:rPr>
                <w:noProof/>
                <w:webHidden/>
              </w:rPr>
              <w:t>2-1</w:t>
            </w:r>
            <w:r>
              <w:rPr>
                <w:noProof/>
                <w:webHidden/>
              </w:rPr>
              <w:fldChar w:fldCharType="end"/>
            </w:r>
          </w:hyperlink>
        </w:p>
        <w:p w14:paraId="20B3BDEA" w14:textId="3E66EC25" w:rsidR="00785944" w:rsidRDefault="00785944">
          <w:pPr>
            <w:pStyle w:val="TOC2"/>
            <w:rPr>
              <w:rFonts w:asciiTheme="minorHAnsi" w:eastAsiaTheme="minorEastAsia" w:hAnsiTheme="minorHAnsi" w:cstheme="minorBidi"/>
              <w:noProof/>
              <w:kern w:val="2"/>
              <w:szCs w:val="24"/>
              <w14:ligatures w14:val="standardContextual"/>
            </w:rPr>
          </w:pPr>
          <w:hyperlink w:anchor="_Toc217410143" w:history="1">
            <w:r w:rsidRPr="00C90756">
              <w:rPr>
                <w:rStyle w:val="Hyperlink"/>
                <w:noProof/>
              </w:rPr>
              <w:t>2.2</w:t>
            </w:r>
            <w:r>
              <w:rPr>
                <w:rFonts w:asciiTheme="minorHAnsi" w:eastAsiaTheme="minorEastAsia" w:hAnsiTheme="minorHAnsi" w:cstheme="minorBidi"/>
                <w:noProof/>
                <w:kern w:val="2"/>
                <w:szCs w:val="24"/>
                <w14:ligatures w14:val="standardContextual"/>
              </w:rPr>
              <w:tab/>
            </w:r>
            <w:r w:rsidRPr="00C90756">
              <w:rPr>
                <w:rStyle w:val="Hyperlink"/>
                <w:noProof/>
              </w:rPr>
              <w:t>Water Quality Monitoring Program</w:t>
            </w:r>
            <w:r>
              <w:rPr>
                <w:noProof/>
                <w:webHidden/>
              </w:rPr>
              <w:tab/>
            </w:r>
            <w:r>
              <w:rPr>
                <w:noProof/>
                <w:webHidden/>
              </w:rPr>
              <w:fldChar w:fldCharType="begin"/>
            </w:r>
            <w:r>
              <w:rPr>
                <w:noProof/>
                <w:webHidden/>
              </w:rPr>
              <w:instrText xml:space="preserve"> PAGEREF _Toc217410143 \h </w:instrText>
            </w:r>
            <w:r>
              <w:rPr>
                <w:noProof/>
                <w:webHidden/>
              </w:rPr>
            </w:r>
            <w:r>
              <w:rPr>
                <w:noProof/>
                <w:webHidden/>
              </w:rPr>
              <w:fldChar w:fldCharType="separate"/>
            </w:r>
            <w:r>
              <w:rPr>
                <w:noProof/>
                <w:webHidden/>
              </w:rPr>
              <w:t>2-2</w:t>
            </w:r>
            <w:r>
              <w:rPr>
                <w:noProof/>
                <w:webHidden/>
              </w:rPr>
              <w:fldChar w:fldCharType="end"/>
            </w:r>
          </w:hyperlink>
        </w:p>
        <w:p w14:paraId="2A896D43" w14:textId="383A7693"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44" w:history="1">
            <w:r w:rsidRPr="00C90756">
              <w:rPr>
                <w:rStyle w:val="Hyperlink"/>
                <w:noProof/>
              </w:rPr>
              <w:t>2.2.1</w:t>
            </w:r>
            <w:r>
              <w:rPr>
                <w:rFonts w:asciiTheme="minorHAnsi" w:eastAsiaTheme="minorEastAsia" w:hAnsiTheme="minorHAnsi" w:cstheme="minorBidi"/>
                <w:noProof/>
                <w:kern w:val="2"/>
                <w:szCs w:val="24"/>
                <w14:ligatures w14:val="standardContextual"/>
              </w:rPr>
              <w:tab/>
            </w:r>
            <w:r w:rsidRPr="00C90756">
              <w:rPr>
                <w:rStyle w:val="Hyperlink"/>
                <w:noProof/>
              </w:rPr>
              <w:t>Watershed</w:t>
            </w:r>
            <w:r w:rsidRPr="00C90756">
              <w:rPr>
                <w:rStyle w:val="Hyperlink"/>
                <w:rFonts w:ascii="Cambria Math" w:hAnsi="Cambria Math" w:cs="Cambria Math"/>
                <w:noProof/>
              </w:rPr>
              <w:t>‐</w:t>
            </w:r>
            <w:r w:rsidRPr="00C90756">
              <w:rPr>
                <w:rStyle w:val="Hyperlink"/>
                <w:noProof/>
              </w:rPr>
              <w:t>wide Compliance Monitoring Sites</w:t>
            </w:r>
            <w:r>
              <w:rPr>
                <w:noProof/>
                <w:webHidden/>
              </w:rPr>
              <w:tab/>
            </w:r>
            <w:r>
              <w:rPr>
                <w:noProof/>
                <w:webHidden/>
              </w:rPr>
              <w:fldChar w:fldCharType="begin"/>
            </w:r>
            <w:r>
              <w:rPr>
                <w:noProof/>
                <w:webHidden/>
              </w:rPr>
              <w:instrText xml:space="preserve"> PAGEREF _Toc217410144 \h </w:instrText>
            </w:r>
            <w:r>
              <w:rPr>
                <w:noProof/>
                <w:webHidden/>
              </w:rPr>
            </w:r>
            <w:r>
              <w:rPr>
                <w:noProof/>
                <w:webHidden/>
              </w:rPr>
              <w:fldChar w:fldCharType="separate"/>
            </w:r>
            <w:r>
              <w:rPr>
                <w:noProof/>
                <w:webHidden/>
              </w:rPr>
              <w:t>2-3</w:t>
            </w:r>
            <w:r>
              <w:rPr>
                <w:noProof/>
                <w:webHidden/>
              </w:rPr>
              <w:fldChar w:fldCharType="end"/>
            </w:r>
          </w:hyperlink>
        </w:p>
        <w:p w14:paraId="7531601B" w14:textId="7B6C135E"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45" w:history="1">
            <w:r w:rsidRPr="00C90756">
              <w:rPr>
                <w:rStyle w:val="Hyperlink"/>
                <w:noProof/>
              </w:rPr>
              <w:t>2.2.2</w:t>
            </w:r>
            <w:r>
              <w:rPr>
                <w:rFonts w:asciiTheme="minorHAnsi" w:eastAsiaTheme="minorEastAsia" w:hAnsiTheme="minorHAnsi" w:cstheme="minorBidi"/>
                <w:noProof/>
                <w:kern w:val="2"/>
                <w:szCs w:val="24"/>
                <w14:ligatures w14:val="standardContextual"/>
              </w:rPr>
              <w:tab/>
            </w:r>
            <w:r w:rsidRPr="00C90756">
              <w:rPr>
                <w:rStyle w:val="Hyperlink"/>
                <w:noProof/>
              </w:rPr>
              <w:t>Water Quality Sampling Program</w:t>
            </w:r>
            <w:r>
              <w:rPr>
                <w:noProof/>
                <w:webHidden/>
              </w:rPr>
              <w:tab/>
            </w:r>
            <w:r>
              <w:rPr>
                <w:noProof/>
                <w:webHidden/>
              </w:rPr>
              <w:fldChar w:fldCharType="begin"/>
            </w:r>
            <w:r>
              <w:rPr>
                <w:noProof/>
                <w:webHidden/>
              </w:rPr>
              <w:instrText xml:space="preserve"> PAGEREF _Toc217410145 \h </w:instrText>
            </w:r>
            <w:r>
              <w:rPr>
                <w:noProof/>
                <w:webHidden/>
              </w:rPr>
            </w:r>
            <w:r>
              <w:rPr>
                <w:noProof/>
                <w:webHidden/>
              </w:rPr>
              <w:fldChar w:fldCharType="separate"/>
            </w:r>
            <w:r>
              <w:rPr>
                <w:noProof/>
                <w:webHidden/>
              </w:rPr>
              <w:t>2-3</w:t>
            </w:r>
            <w:r>
              <w:rPr>
                <w:noProof/>
                <w:webHidden/>
              </w:rPr>
              <w:fldChar w:fldCharType="end"/>
            </w:r>
          </w:hyperlink>
        </w:p>
        <w:p w14:paraId="0240D191" w14:textId="56A18841" w:rsidR="00785944" w:rsidRDefault="00785944">
          <w:pPr>
            <w:pStyle w:val="TOC2"/>
            <w:rPr>
              <w:rFonts w:asciiTheme="minorHAnsi" w:eastAsiaTheme="minorEastAsia" w:hAnsiTheme="minorHAnsi" w:cstheme="minorBidi"/>
              <w:noProof/>
              <w:kern w:val="2"/>
              <w:szCs w:val="24"/>
              <w14:ligatures w14:val="standardContextual"/>
            </w:rPr>
          </w:pPr>
          <w:hyperlink w:anchor="_Toc217410146" w:history="1">
            <w:r w:rsidRPr="00C90756">
              <w:rPr>
                <w:rStyle w:val="Hyperlink"/>
                <w:noProof/>
              </w:rPr>
              <w:t>2.3</w:t>
            </w:r>
            <w:r>
              <w:rPr>
                <w:rFonts w:asciiTheme="minorHAnsi" w:eastAsiaTheme="minorEastAsia" w:hAnsiTheme="minorHAnsi" w:cstheme="minorBidi"/>
                <w:noProof/>
                <w:kern w:val="2"/>
                <w:szCs w:val="24"/>
                <w14:ligatures w14:val="standardContextual"/>
              </w:rPr>
              <w:tab/>
            </w:r>
            <w:r w:rsidRPr="00C90756">
              <w:rPr>
                <w:rStyle w:val="Hyperlink"/>
                <w:noProof/>
              </w:rPr>
              <w:t>Summary of Bacteriological Conditions</w:t>
            </w:r>
            <w:r>
              <w:rPr>
                <w:noProof/>
                <w:webHidden/>
              </w:rPr>
              <w:tab/>
            </w:r>
            <w:r>
              <w:rPr>
                <w:noProof/>
                <w:webHidden/>
              </w:rPr>
              <w:fldChar w:fldCharType="begin"/>
            </w:r>
            <w:r>
              <w:rPr>
                <w:noProof/>
                <w:webHidden/>
              </w:rPr>
              <w:instrText xml:space="preserve"> PAGEREF _Toc217410146 \h </w:instrText>
            </w:r>
            <w:r>
              <w:rPr>
                <w:noProof/>
                <w:webHidden/>
              </w:rPr>
            </w:r>
            <w:r>
              <w:rPr>
                <w:noProof/>
                <w:webHidden/>
              </w:rPr>
              <w:fldChar w:fldCharType="separate"/>
            </w:r>
            <w:r>
              <w:rPr>
                <w:noProof/>
                <w:webHidden/>
              </w:rPr>
              <w:t>2-7</w:t>
            </w:r>
            <w:r>
              <w:rPr>
                <w:noProof/>
                <w:webHidden/>
              </w:rPr>
              <w:fldChar w:fldCharType="end"/>
            </w:r>
          </w:hyperlink>
        </w:p>
        <w:p w14:paraId="0BB44E91" w14:textId="0BC20DC3"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47" w:history="1">
            <w:r w:rsidRPr="00C90756">
              <w:rPr>
                <w:rStyle w:val="Hyperlink"/>
                <w:noProof/>
              </w:rPr>
              <w:t>2.3.1</w:t>
            </w:r>
            <w:r>
              <w:rPr>
                <w:rFonts w:asciiTheme="minorHAnsi" w:eastAsiaTheme="minorEastAsia" w:hAnsiTheme="minorHAnsi" w:cstheme="minorBidi"/>
                <w:noProof/>
                <w:kern w:val="2"/>
                <w:szCs w:val="24"/>
                <w14:ligatures w14:val="standardContextual"/>
              </w:rPr>
              <w:tab/>
            </w:r>
            <w:r w:rsidRPr="00C90756">
              <w:rPr>
                <w:rStyle w:val="Hyperlink"/>
                <w:noProof/>
              </w:rPr>
              <w:t>Dry Weather Bacteria</w:t>
            </w:r>
            <w:r>
              <w:rPr>
                <w:noProof/>
                <w:webHidden/>
              </w:rPr>
              <w:tab/>
            </w:r>
            <w:r>
              <w:rPr>
                <w:noProof/>
                <w:webHidden/>
              </w:rPr>
              <w:fldChar w:fldCharType="begin"/>
            </w:r>
            <w:r>
              <w:rPr>
                <w:noProof/>
                <w:webHidden/>
              </w:rPr>
              <w:instrText xml:space="preserve"> PAGEREF _Toc217410147 \h </w:instrText>
            </w:r>
            <w:r>
              <w:rPr>
                <w:noProof/>
                <w:webHidden/>
              </w:rPr>
            </w:r>
            <w:r>
              <w:rPr>
                <w:noProof/>
                <w:webHidden/>
              </w:rPr>
              <w:fldChar w:fldCharType="separate"/>
            </w:r>
            <w:r>
              <w:rPr>
                <w:noProof/>
                <w:webHidden/>
              </w:rPr>
              <w:t>2-7</w:t>
            </w:r>
            <w:r>
              <w:rPr>
                <w:noProof/>
                <w:webHidden/>
              </w:rPr>
              <w:fldChar w:fldCharType="end"/>
            </w:r>
          </w:hyperlink>
        </w:p>
        <w:p w14:paraId="1F36CE92" w14:textId="6702C70F"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48" w:history="1">
            <w:r w:rsidRPr="00C90756">
              <w:rPr>
                <w:rStyle w:val="Hyperlink"/>
                <w:noProof/>
              </w:rPr>
              <w:t>2.3.2</w:t>
            </w:r>
            <w:r>
              <w:rPr>
                <w:rFonts w:asciiTheme="minorHAnsi" w:eastAsiaTheme="minorEastAsia" w:hAnsiTheme="minorHAnsi" w:cstheme="minorBidi"/>
                <w:noProof/>
                <w:kern w:val="2"/>
                <w:szCs w:val="24"/>
                <w14:ligatures w14:val="standardContextual"/>
              </w:rPr>
              <w:tab/>
            </w:r>
            <w:r w:rsidRPr="00C90756">
              <w:rPr>
                <w:rStyle w:val="Hyperlink"/>
                <w:noProof/>
              </w:rPr>
              <w:t>Wet Weather Bacteria</w:t>
            </w:r>
            <w:r>
              <w:rPr>
                <w:noProof/>
                <w:webHidden/>
              </w:rPr>
              <w:tab/>
            </w:r>
            <w:r>
              <w:rPr>
                <w:noProof/>
                <w:webHidden/>
              </w:rPr>
              <w:fldChar w:fldCharType="begin"/>
            </w:r>
            <w:r>
              <w:rPr>
                <w:noProof/>
                <w:webHidden/>
              </w:rPr>
              <w:instrText xml:space="preserve"> PAGEREF _Toc217410148 \h </w:instrText>
            </w:r>
            <w:r>
              <w:rPr>
                <w:noProof/>
                <w:webHidden/>
              </w:rPr>
            </w:r>
            <w:r>
              <w:rPr>
                <w:noProof/>
                <w:webHidden/>
              </w:rPr>
              <w:fldChar w:fldCharType="separate"/>
            </w:r>
            <w:r>
              <w:rPr>
                <w:noProof/>
                <w:webHidden/>
              </w:rPr>
              <w:t>2-9</w:t>
            </w:r>
            <w:r>
              <w:rPr>
                <w:noProof/>
                <w:webHidden/>
              </w:rPr>
              <w:fldChar w:fldCharType="end"/>
            </w:r>
          </w:hyperlink>
        </w:p>
        <w:p w14:paraId="149F82DC" w14:textId="1593EED9" w:rsidR="00785944" w:rsidRDefault="00785944">
          <w:pPr>
            <w:pStyle w:val="TOC2"/>
            <w:rPr>
              <w:rFonts w:asciiTheme="minorHAnsi" w:eastAsiaTheme="minorEastAsia" w:hAnsiTheme="minorHAnsi" w:cstheme="minorBidi"/>
              <w:noProof/>
              <w:kern w:val="2"/>
              <w:szCs w:val="24"/>
              <w14:ligatures w14:val="standardContextual"/>
            </w:rPr>
          </w:pPr>
          <w:hyperlink w:anchor="_Toc217410149" w:history="1">
            <w:r w:rsidRPr="00C90756">
              <w:rPr>
                <w:rStyle w:val="Hyperlink"/>
                <w:noProof/>
              </w:rPr>
              <w:t>2.4</w:t>
            </w:r>
            <w:r>
              <w:rPr>
                <w:rFonts w:asciiTheme="minorHAnsi" w:eastAsiaTheme="minorEastAsia" w:hAnsiTheme="minorHAnsi" w:cstheme="minorBidi"/>
                <w:noProof/>
                <w:kern w:val="2"/>
                <w:szCs w:val="24"/>
                <w14:ligatures w14:val="standardContextual"/>
              </w:rPr>
              <w:tab/>
            </w:r>
            <w:r w:rsidRPr="00C90756">
              <w:rPr>
                <w:rStyle w:val="Hyperlink"/>
                <w:noProof/>
              </w:rPr>
              <w:t>Compliance with Wasteload Allocations</w:t>
            </w:r>
            <w:r>
              <w:rPr>
                <w:noProof/>
                <w:webHidden/>
              </w:rPr>
              <w:tab/>
            </w:r>
            <w:r>
              <w:rPr>
                <w:noProof/>
                <w:webHidden/>
              </w:rPr>
              <w:fldChar w:fldCharType="begin"/>
            </w:r>
            <w:r>
              <w:rPr>
                <w:noProof/>
                <w:webHidden/>
              </w:rPr>
              <w:instrText xml:space="preserve"> PAGEREF _Toc217410149 \h </w:instrText>
            </w:r>
            <w:r>
              <w:rPr>
                <w:noProof/>
                <w:webHidden/>
              </w:rPr>
            </w:r>
            <w:r>
              <w:rPr>
                <w:noProof/>
                <w:webHidden/>
              </w:rPr>
              <w:fldChar w:fldCharType="separate"/>
            </w:r>
            <w:r>
              <w:rPr>
                <w:noProof/>
                <w:webHidden/>
              </w:rPr>
              <w:t>2-10</w:t>
            </w:r>
            <w:r>
              <w:rPr>
                <w:noProof/>
                <w:webHidden/>
              </w:rPr>
              <w:fldChar w:fldCharType="end"/>
            </w:r>
          </w:hyperlink>
        </w:p>
        <w:p w14:paraId="466BF59F" w14:textId="6E273689" w:rsidR="00785944" w:rsidRDefault="00785944">
          <w:pPr>
            <w:pStyle w:val="TOC2"/>
            <w:rPr>
              <w:rFonts w:asciiTheme="minorHAnsi" w:eastAsiaTheme="minorEastAsia" w:hAnsiTheme="minorHAnsi" w:cstheme="minorBidi"/>
              <w:noProof/>
              <w:kern w:val="2"/>
              <w:szCs w:val="24"/>
              <w14:ligatures w14:val="standardContextual"/>
            </w:rPr>
          </w:pPr>
          <w:hyperlink w:anchor="_Toc217410150" w:history="1">
            <w:r w:rsidRPr="00C90756">
              <w:rPr>
                <w:rStyle w:val="Hyperlink"/>
                <w:noProof/>
              </w:rPr>
              <w:t>2.5</w:t>
            </w:r>
            <w:r>
              <w:rPr>
                <w:rFonts w:asciiTheme="minorHAnsi" w:eastAsiaTheme="minorEastAsia" w:hAnsiTheme="minorHAnsi" w:cstheme="minorBidi"/>
                <w:noProof/>
                <w:kern w:val="2"/>
                <w:szCs w:val="24"/>
                <w14:ligatures w14:val="standardContextual"/>
              </w:rPr>
              <w:tab/>
            </w:r>
            <w:r w:rsidRPr="00C90756">
              <w:rPr>
                <w:rStyle w:val="Hyperlink"/>
                <w:noProof/>
              </w:rPr>
              <w:t>Compliance with Load Allocations</w:t>
            </w:r>
            <w:r>
              <w:rPr>
                <w:noProof/>
                <w:webHidden/>
              </w:rPr>
              <w:tab/>
            </w:r>
            <w:r>
              <w:rPr>
                <w:noProof/>
                <w:webHidden/>
              </w:rPr>
              <w:fldChar w:fldCharType="begin"/>
            </w:r>
            <w:r>
              <w:rPr>
                <w:noProof/>
                <w:webHidden/>
              </w:rPr>
              <w:instrText xml:space="preserve"> PAGEREF _Toc217410150 \h </w:instrText>
            </w:r>
            <w:r>
              <w:rPr>
                <w:noProof/>
                <w:webHidden/>
              </w:rPr>
            </w:r>
            <w:r>
              <w:rPr>
                <w:noProof/>
                <w:webHidden/>
              </w:rPr>
              <w:fldChar w:fldCharType="separate"/>
            </w:r>
            <w:r>
              <w:rPr>
                <w:noProof/>
                <w:webHidden/>
              </w:rPr>
              <w:t>2-11</w:t>
            </w:r>
            <w:r>
              <w:rPr>
                <w:noProof/>
                <w:webHidden/>
              </w:rPr>
              <w:fldChar w:fldCharType="end"/>
            </w:r>
          </w:hyperlink>
        </w:p>
        <w:p w14:paraId="36BA9FBA" w14:textId="2981D9AC"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51" w:history="1">
            <w:r w:rsidRPr="00C90756">
              <w:rPr>
                <w:rStyle w:val="Hyperlink"/>
                <w:noProof/>
              </w:rPr>
              <w:t>2.5.1</w:t>
            </w:r>
            <w:r>
              <w:rPr>
                <w:rFonts w:asciiTheme="minorHAnsi" w:eastAsiaTheme="minorEastAsia" w:hAnsiTheme="minorHAnsi" w:cstheme="minorBidi"/>
                <w:noProof/>
                <w:kern w:val="2"/>
                <w:szCs w:val="24"/>
                <w14:ligatures w14:val="standardContextual"/>
              </w:rPr>
              <w:tab/>
            </w:r>
            <w:r w:rsidRPr="00C90756">
              <w:rPr>
                <w:rStyle w:val="Hyperlink"/>
                <w:noProof/>
              </w:rPr>
              <w:t>Agricultural Dischargers</w:t>
            </w:r>
            <w:r>
              <w:rPr>
                <w:noProof/>
                <w:webHidden/>
              </w:rPr>
              <w:tab/>
            </w:r>
            <w:r>
              <w:rPr>
                <w:noProof/>
                <w:webHidden/>
              </w:rPr>
              <w:fldChar w:fldCharType="begin"/>
            </w:r>
            <w:r>
              <w:rPr>
                <w:noProof/>
                <w:webHidden/>
              </w:rPr>
              <w:instrText xml:space="preserve"> PAGEREF _Toc217410151 \h </w:instrText>
            </w:r>
            <w:r>
              <w:rPr>
                <w:noProof/>
                <w:webHidden/>
              </w:rPr>
            </w:r>
            <w:r>
              <w:rPr>
                <w:noProof/>
                <w:webHidden/>
              </w:rPr>
              <w:fldChar w:fldCharType="separate"/>
            </w:r>
            <w:r>
              <w:rPr>
                <w:noProof/>
                <w:webHidden/>
              </w:rPr>
              <w:t>2-11</w:t>
            </w:r>
            <w:r>
              <w:rPr>
                <w:noProof/>
                <w:webHidden/>
              </w:rPr>
              <w:fldChar w:fldCharType="end"/>
            </w:r>
          </w:hyperlink>
        </w:p>
        <w:p w14:paraId="308E8554" w14:textId="0C692117"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52" w:history="1">
            <w:r w:rsidRPr="00C90756">
              <w:rPr>
                <w:rStyle w:val="Hyperlink"/>
                <w:noProof/>
              </w:rPr>
              <w:t>2.5.2</w:t>
            </w:r>
            <w:r>
              <w:rPr>
                <w:rFonts w:asciiTheme="minorHAnsi" w:eastAsiaTheme="minorEastAsia" w:hAnsiTheme="minorHAnsi" w:cstheme="minorBidi"/>
                <w:noProof/>
                <w:kern w:val="2"/>
                <w:szCs w:val="24"/>
                <w14:ligatures w14:val="standardContextual"/>
              </w:rPr>
              <w:tab/>
            </w:r>
            <w:r w:rsidRPr="00C90756">
              <w:rPr>
                <w:rStyle w:val="Hyperlink"/>
                <w:noProof/>
              </w:rPr>
              <w:t>Natural Sources</w:t>
            </w:r>
            <w:r>
              <w:rPr>
                <w:noProof/>
                <w:webHidden/>
              </w:rPr>
              <w:tab/>
            </w:r>
            <w:r>
              <w:rPr>
                <w:noProof/>
                <w:webHidden/>
              </w:rPr>
              <w:fldChar w:fldCharType="begin"/>
            </w:r>
            <w:r>
              <w:rPr>
                <w:noProof/>
                <w:webHidden/>
              </w:rPr>
              <w:instrText xml:space="preserve"> PAGEREF _Toc217410152 \h </w:instrText>
            </w:r>
            <w:r>
              <w:rPr>
                <w:noProof/>
                <w:webHidden/>
              </w:rPr>
            </w:r>
            <w:r>
              <w:rPr>
                <w:noProof/>
                <w:webHidden/>
              </w:rPr>
              <w:fldChar w:fldCharType="separate"/>
            </w:r>
            <w:r>
              <w:rPr>
                <w:noProof/>
                <w:webHidden/>
              </w:rPr>
              <w:t>2-11</w:t>
            </w:r>
            <w:r>
              <w:rPr>
                <w:noProof/>
                <w:webHidden/>
              </w:rPr>
              <w:fldChar w:fldCharType="end"/>
            </w:r>
          </w:hyperlink>
        </w:p>
        <w:p w14:paraId="669DAA6D" w14:textId="51280EC6" w:rsidR="00785944" w:rsidRDefault="00785944">
          <w:pPr>
            <w:pStyle w:val="TOC1"/>
            <w:rPr>
              <w:rFonts w:asciiTheme="minorHAnsi" w:eastAsiaTheme="minorEastAsia" w:hAnsiTheme="minorHAnsi" w:cstheme="minorBidi"/>
              <w:b w:val="0"/>
              <w:noProof/>
              <w:kern w:val="2"/>
              <w:szCs w:val="24"/>
              <w14:ligatures w14:val="standardContextual"/>
            </w:rPr>
          </w:pPr>
          <w:hyperlink w:anchor="_Toc217410153" w:history="1">
            <w:r w:rsidRPr="00C90756">
              <w:rPr>
                <w:rStyle w:val="Hyperlink"/>
                <w:noProof/>
              </w:rPr>
              <w:t>3.</w:t>
            </w:r>
            <w:r>
              <w:rPr>
                <w:rFonts w:asciiTheme="minorHAnsi" w:eastAsiaTheme="minorEastAsia" w:hAnsiTheme="minorHAnsi" w:cstheme="minorBidi"/>
                <w:b w:val="0"/>
                <w:noProof/>
                <w:kern w:val="2"/>
                <w:szCs w:val="24"/>
                <w14:ligatures w14:val="standardContextual"/>
              </w:rPr>
              <w:tab/>
            </w:r>
            <w:r w:rsidRPr="00C90756">
              <w:rPr>
                <w:rStyle w:val="Hyperlink"/>
                <w:noProof/>
              </w:rPr>
              <w:t>Synoptic Study Findings</w:t>
            </w:r>
            <w:r>
              <w:rPr>
                <w:noProof/>
                <w:webHidden/>
              </w:rPr>
              <w:tab/>
            </w:r>
            <w:r>
              <w:rPr>
                <w:noProof/>
                <w:webHidden/>
              </w:rPr>
              <w:fldChar w:fldCharType="begin"/>
            </w:r>
            <w:r>
              <w:rPr>
                <w:noProof/>
                <w:webHidden/>
              </w:rPr>
              <w:instrText xml:space="preserve"> PAGEREF _Toc217410153 \h </w:instrText>
            </w:r>
            <w:r>
              <w:rPr>
                <w:noProof/>
                <w:webHidden/>
              </w:rPr>
            </w:r>
            <w:r>
              <w:rPr>
                <w:noProof/>
                <w:webHidden/>
              </w:rPr>
              <w:fldChar w:fldCharType="separate"/>
            </w:r>
            <w:r>
              <w:rPr>
                <w:noProof/>
                <w:webHidden/>
              </w:rPr>
              <w:t>3-1</w:t>
            </w:r>
            <w:r>
              <w:rPr>
                <w:noProof/>
                <w:webHidden/>
              </w:rPr>
              <w:fldChar w:fldCharType="end"/>
            </w:r>
          </w:hyperlink>
        </w:p>
        <w:p w14:paraId="499FF94E" w14:textId="06CA5EBE" w:rsidR="00785944" w:rsidRDefault="00785944">
          <w:pPr>
            <w:pStyle w:val="TOC2"/>
            <w:rPr>
              <w:rFonts w:asciiTheme="minorHAnsi" w:eastAsiaTheme="minorEastAsia" w:hAnsiTheme="minorHAnsi" w:cstheme="minorBidi"/>
              <w:noProof/>
              <w:kern w:val="2"/>
              <w:szCs w:val="24"/>
              <w14:ligatures w14:val="standardContextual"/>
            </w:rPr>
          </w:pPr>
          <w:hyperlink w:anchor="_Toc217410154" w:history="1">
            <w:r w:rsidRPr="00C90756">
              <w:rPr>
                <w:rStyle w:val="Hyperlink"/>
                <w:noProof/>
              </w:rPr>
              <w:t>3.1</w:t>
            </w:r>
            <w:r>
              <w:rPr>
                <w:rFonts w:asciiTheme="minorHAnsi" w:eastAsiaTheme="minorEastAsia" w:hAnsiTheme="minorHAnsi" w:cstheme="minorBidi"/>
                <w:noProof/>
                <w:kern w:val="2"/>
                <w:szCs w:val="24"/>
                <w14:ligatures w14:val="standardContextual"/>
              </w:rPr>
              <w:tab/>
            </w:r>
            <w:r w:rsidRPr="00C90756">
              <w:rPr>
                <w:rStyle w:val="Hyperlink"/>
                <w:noProof/>
              </w:rPr>
              <w:t>Characterization of DWF in the MSAR Watershed</w:t>
            </w:r>
            <w:r>
              <w:rPr>
                <w:noProof/>
                <w:webHidden/>
              </w:rPr>
              <w:tab/>
            </w:r>
            <w:r>
              <w:rPr>
                <w:noProof/>
                <w:webHidden/>
              </w:rPr>
              <w:fldChar w:fldCharType="begin"/>
            </w:r>
            <w:r>
              <w:rPr>
                <w:noProof/>
                <w:webHidden/>
              </w:rPr>
              <w:instrText xml:space="preserve"> PAGEREF _Toc217410154 \h </w:instrText>
            </w:r>
            <w:r>
              <w:rPr>
                <w:noProof/>
                <w:webHidden/>
              </w:rPr>
            </w:r>
            <w:r>
              <w:rPr>
                <w:noProof/>
                <w:webHidden/>
              </w:rPr>
              <w:fldChar w:fldCharType="separate"/>
            </w:r>
            <w:r>
              <w:rPr>
                <w:noProof/>
                <w:webHidden/>
              </w:rPr>
              <w:t>3-1</w:t>
            </w:r>
            <w:r>
              <w:rPr>
                <w:noProof/>
                <w:webHidden/>
              </w:rPr>
              <w:fldChar w:fldCharType="end"/>
            </w:r>
          </w:hyperlink>
        </w:p>
        <w:p w14:paraId="192BF9C8" w14:textId="72825A35"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55" w:history="1">
            <w:r w:rsidRPr="00C90756">
              <w:rPr>
                <w:rStyle w:val="Hyperlink"/>
                <w:noProof/>
              </w:rPr>
              <w:t>3.1.1</w:t>
            </w:r>
            <w:r>
              <w:rPr>
                <w:rFonts w:asciiTheme="minorHAnsi" w:eastAsiaTheme="minorEastAsia" w:hAnsiTheme="minorHAnsi" w:cstheme="minorBidi"/>
                <w:noProof/>
                <w:kern w:val="2"/>
                <w:szCs w:val="24"/>
                <w14:ligatures w14:val="standardContextual"/>
              </w:rPr>
              <w:tab/>
            </w:r>
            <w:r w:rsidRPr="00C90756">
              <w:rPr>
                <w:rStyle w:val="Hyperlink"/>
                <w:noProof/>
              </w:rPr>
              <w:t>Hydrologic Disconnection</w:t>
            </w:r>
            <w:r>
              <w:rPr>
                <w:noProof/>
                <w:webHidden/>
              </w:rPr>
              <w:tab/>
            </w:r>
            <w:r>
              <w:rPr>
                <w:noProof/>
                <w:webHidden/>
              </w:rPr>
              <w:fldChar w:fldCharType="begin"/>
            </w:r>
            <w:r>
              <w:rPr>
                <w:noProof/>
                <w:webHidden/>
              </w:rPr>
              <w:instrText xml:space="preserve"> PAGEREF _Toc217410155 \h </w:instrText>
            </w:r>
            <w:r>
              <w:rPr>
                <w:noProof/>
                <w:webHidden/>
              </w:rPr>
            </w:r>
            <w:r>
              <w:rPr>
                <w:noProof/>
                <w:webHidden/>
              </w:rPr>
              <w:fldChar w:fldCharType="separate"/>
            </w:r>
            <w:r>
              <w:rPr>
                <w:noProof/>
                <w:webHidden/>
              </w:rPr>
              <w:t>3-2</w:t>
            </w:r>
            <w:r>
              <w:rPr>
                <w:noProof/>
                <w:webHidden/>
              </w:rPr>
              <w:fldChar w:fldCharType="end"/>
            </w:r>
          </w:hyperlink>
        </w:p>
        <w:p w14:paraId="471A3C55" w14:textId="5450FF08"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56" w:history="1">
            <w:r w:rsidRPr="00C90756">
              <w:rPr>
                <w:rStyle w:val="Hyperlink"/>
                <w:noProof/>
              </w:rPr>
              <w:t>3.1.2</w:t>
            </w:r>
            <w:r>
              <w:rPr>
                <w:rFonts w:asciiTheme="minorHAnsi" w:eastAsiaTheme="minorEastAsia" w:hAnsiTheme="minorHAnsi" w:cstheme="minorBidi"/>
                <w:noProof/>
                <w:kern w:val="2"/>
                <w:szCs w:val="24"/>
                <w14:ligatures w14:val="standardContextual"/>
              </w:rPr>
              <w:tab/>
            </w:r>
            <w:r w:rsidRPr="00C90756">
              <w:rPr>
                <w:rStyle w:val="Hyperlink"/>
                <w:noProof/>
              </w:rPr>
              <w:t>Change in DWF Rates</w:t>
            </w:r>
            <w:r>
              <w:rPr>
                <w:noProof/>
                <w:webHidden/>
              </w:rPr>
              <w:tab/>
            </w:r>
            <w:r>
              <w:rPr>
                <w:noProof/>
                <w:webHidden/>
              </w:rPr>
              <w:fldChar w:fldCharType="begin"/>
            </w:r>
            <w:r>
              <w:rPr>
                <w:noProof/>
                <w:webHidden/>
              </w:rPr>
              <w:instrText xml:space="preserve"> PAGEREF _Toc217410156 \h </w:instrText>
            </w:r>
            <w:r>
              <w:rPr>
                <w:noProof/>
                <w:webHidden/>
              </w:rPr>
            </w:r>
            <w:r>
              <w:rPr>
                <w:noProof/>
                <w:webHidden/>
              </w:rPr>
              <w:fldChar w:fldCharType="separate"/>
            </w:r>
            <w:r>
              <w:rPr>
                <w:noProof/>
                <w:webHidden/>
              </w:rPr>
              <w:t>3-5</w:t>
            </w:r>
            <w:r>
              <w:rPr>
                <w:noProof/>
                <w:webHidden/>
              </w:rPr>
              <w:fldChar w:fldCharType="end"/>
            </w:r>
          </w:hyperlink>
        </w:p>
        <w:p w14:paraId="54895814" w14:textId="470956FF"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57" w:history="1">
            <w:r w:rsidRPr="00C90756">
              <w:rPr>
                <w:rStyle w:val="Hyperlink"/>
                <w:noProof/>
              </w:rPr>
              <w:t>3.1.3</w:t>
            </w:r>
            <w:r>
              <w:rPr>
                <w:rFonts w:asciiTheme="minorHAnsi" w:eastAsiaTheme="minorEastAsia" w:hAnsiTheme="minorHAnsi" w:cstheme="minorBidi"/>
                <w:noProof/>
                <w:kern w:val="2"/>
                <w:szCs w:val="24"/>
                <w14:ligatures w14:val="standardContextual"/>
              </w:rPr>
              <w:tab/>
            </w:r>
            <w:r w:rsidRPr="00C90756">
              <w:rPr>
                <w:rStyle w:val="Hyperlink"/>
                <w:noProof/>
              </w:rPr>
              <w:t>POTW Discharges to MSAR Waters</w:t>
            </w:r>
            <w:r>
              <w:rPr>
                <w:noProof/>
                <w:webHidden/>
              </w:rPr>
              <w:tab/>
            </w:r>
            <w:r>
              <w:rPr>
                <w:noProof/>
                <w:webHidden/>
              </w:rPr>
              <w:fldChar w:fldCharType="begin"/>
            </w:r>
            <w:r>
              <w:rPr>
                <w:noProof/>
                <w:webHidden/>
              </w:rPr>
              <w:instrText xml:space="preserve"> PAGEREF _Toc217410157 \h </w:instrText>
            </w:r>
            <w:r>
              <w:rPr>
                <w:noProof/>
                <w:webHidden/>
              </w:rPr>
            </w:r>
            <w:r>
              <w:rPr>
                <w:noProof/>
                <w:webHidden/>
              </w:rPr>
              <w:fldChar w:fldCharType="separate"/>
            </w:r>
            <w:r>
              <w:rPr>
                <w:noProof/>
                <w:webHidden/>
              </w:rPr>
              <w:t>3-7</w:t>
            </w:r>
            <w:r>
              <w:rPr>
                <w:noProof/>
                <w:webHidden/>
              </w:rPr>
              <w:fldChar w:fldCharType="end"/>
            </w:r>
          </w:hyperlink>
        </w:p>
        <w:p w14:paraId="3404D0E2" w14:textId="66AA86CF"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58" w:history="1">
            <w:r w:rsidRPr="00C90756">
              <w:rPr>
                <w:rStyle w:val="Hyperlink"/>
                <w:noProof/>
              </w:rPr>
              <w:t>3.1.4</w:t>
            </w:r>
            <w:r>
              <w:rPr>
                <w:rFonts w:asciiTheme="minorHAnsi" w:eastAsiaTheme="minorEastAsia" w:hAnsiTheme="minorHAnsi" w:cstheme="minorBidi"/>
                <w:noProof/>
                <w:kern w:val="2"/>
                <w:szCs w:val="24"/>
                <w14:ligatures w14:val="standardContextual"/>
              </w:rPr>
              <w:tab/>
            </w:r>
            <w:r w:rsidRPr="00C90756">
              <w:rPr>
                <w:rStyle w:val="Hyperlink"/>
                <w:noProof/>
              </w:rPr>
              <w:t>DWF in Cucamonga Creek</w:t>
            </w:r>
            <w:r>
              <w:rPr>
                <w:noProof/>
                <w:webHidden/>
              </w:rPr>
              <w:tab/>
            </w:r>
            <w:r>
              <w:rPr>
                <w:noProof/>
                <w:webHidden/>
              </w:rPr>
              <w:fldChar w:fldCharType="begin"/>
            </w:r>
            <w:r>
              <w:rPr>
                <w:noProof/>
                <w:webHidden/>
              </w:rPr>
              <w:instrText xml:space="preserve"> PAGEREF _Toc217410158 \h </w:instrText>
            </w:r>
            <w:r>
              <w:rPr>
                <w:noProof/>
                <w:webHidden/>
              </w:rPr>
            </w:r>
            <w:r>
              <w:rPr>
                <w:noProof/>
                <w:webHidden/>
              </w:rPr>
              <w:fldChar w:fldCharType="separate"/>
            </w:r>
            <w:r>
              <w:rPr>
                <w:noProof/>
                <w:webHidden/>
              </w:rPr>
              <w:t>3-8</w:t>
            </w:r>
            <w:r>
              <w:rPr>
                <w:noProof/>
                <w:webHidden/>
              </w:rPr>
              <w:fldChar w:fldCharType="end"/>
            </w:r>
          </w:hyperlink>
        </w:p>
        <w:p w14:paraId="37CE2ADF" w14:textId="79FD5260" w:rsidR="00785944" w:rsidRDefault="00785944">
          <w:pPr>
            <w:pStyle w:val="TOC2"/>
            <w:rPr>
              <w:rFonts w:asciiTheme="minorHAnsi" w:eastAsiaTheme="minorEastAsia" w:hAnsiTheme="minorHAnsi" w:cstheme="minorBidi"/>
              <w:noProof/>
              <w:kern w:val="2"/>
              <w:szCs w:val="24"/>
              <w14:ligatures w14:val="standardContextual"/>
            </w:rPr>
          </w:pPr>
          <w:hyperlink w:anchor="_Toc217410159" w:history="1">
            <w:r w:rsidRPr="00C90756">
              <w:rPr>
                <w:rStyle w:val="Hyperlink"/>
                <w:noProof/>
              </w:rPr>
              <w:t>3.2</w:t>
            </w:r>
            <w:r>
              <w:rPr>
                <w:rFonts w:asciiTheme="minorHAnsi" w:eastAsiaTheme="minorEastAsia" w:hAnsiTheme="minorHAnsi" w:cstheme="minorBidi"/>
                <w:noProof/>
                <w:kern w:val="2"/>
                <w:szCs w:val="24"/>
                <w14:ligatures w14:val="standardContextual"/>
              </w:rPr>
              <w:tab/>
            </w:r>
            <w:r w:rsidRPr="00C90756">
              <w:rPr>
                <w:rStyle w:val="Hyperlink"/>
                <w:noProof/>
              </w:rPr>
              <w:t xml:space="preserve">Characterization of </w:t>
            </w:r>
            <w:r w:rsidRPr="00C90756">
              <w:rPr>
                <w:rStyle w:val="Hyperlink"/>
                <w:i/>
                <w:noProof/>
              </w:rPr>
              <w:t>E. Coli</w:t>
            </w:r>
            <w:r w:rsidRPr="00C90756">
              <w:rPr>
                <w:rStyle w:val="Hyperlink"/>
                <w:noProof/>
              </w:rPr>
              <w:t xml:space="preserve"> in the MSAR Watershed</w:t>
            </w:r>
            <w:r>
              <w:rPr>
                <w:noProof/>
                <w:webHidden/>
              </w:rPr>
              <w:tab/>
            </w:r>
            <w:r>
              <w:rPr>
                <w:noProof/>
                <w:webHidden/>
              </w:rPr>
              <w:fldChar w:fldCharType="begin"/>
            </w:r>
            <w:r>
              <w:rPr>
                <w:noProof/>
                <w:webHidden/>
              </w:rPr>
              <w:instrText xml:space="preserve"> PAGEREF _Toc217410159 \h </w:instrText>
            </w:r>
            <w:r>
              <w:rPr>
                <w:noProof/>
                <w:webHidden/>
              </w:rPr>
            </w:r>
            <w:r>
              <w:rPr>
                <w:noProof/>
                <w:webHidden/>
              </w:rPr>
              <w:fldChar w:fldCharType="separate"/>
            </w:r>
            <w:r>
              <w:rPr>
                <w:noProof/>
                <w:webHidden/>
              </w:rPr>
              <w:t>3-9</w:t>
            </w:r>
            <w:r>
              <w:rPr>
                <w:noProof/>
                <w:webHidden/>
              </w:rPr>
              <w:fldChar w:fldCharType="end"/>
            </w:r>
          </w:hyperlink>
        </w:p>
        <w:p w14:paraId="7B4F6C66" w14:textId="00CDC276"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0" w:history="1">
            <w:r w:rsidRPr="00C90756">
              <w:rPr>
                <w:rStyle w:val="Hyperlink"/>
                <w:noProof/>
              </w:rPr>
              <w:t>3.2.1</w:t>
            </w:r>
            <w:r>
              <w:rPr>
                <w:rFonts w:asciiTheme="minorHAnsi" w:eastAsiaTheme="minorEastAsia" w:hAnsiTheme="minorHAnsi" w:cstheme="minorBidi"/>
                <w:noProof/>
                <w:kern w:val="2"/>
                <w:szCs w:val="24"/>
                <w14:ligatures w14:val="standardContextual"/>
              </w:rPr>
              <w:tab/>
            </w:r>
            <w:r w:rsidRPr="00C90756">
              <w:rPr>
                <w:rStyle w:val="Hyperlink"/>
                <w:noProof/>
              </w:rPr>
              <w:t>Bacteria Load Analysis</w:t>
            </w:r>
            <w:r>
              <w:rPr>
                <w:noProof/>
                <w:webHidden/>
              </w:rPr>
              <w:tab/>
            </w:r>
            <w:r>
              <w:rPr>
                <w:noProof/>
                <w:webHidden/>
              </w:rPr>
              <w:fldChar w:fldCharType="begin"/>
            </w:r>
            <w:r>
              <w:rPr>
                <w:noProof/>
                <w:webHidden/>
              </w:rPr>
              <w:instrText xml:space="preserve"> PAGEREF _Toc217410160 \h </w:instrText>
            </w:r>
            <w:r>
              <w:rPr>
                <w:noProof/>
                <w:webHidden/>
              </w:rPr>
            </w:r>
            <w:r>
              <w:rPr>
                <w:noProof/>
                <w:webHidden/>
              </w:rPr>
              <w:fldChar w:fldCharType="separate"/>
            </w:r>
            <w:r>
              <w:rPr>
                <w:noProof/>
                <w:webHidden/>
              </w:rPr>
              <w:t>3-10</w:t>
            </w:r>
            <w:r>
              <w:rPr>
                <w:noProof/>
                <w:webHidden/>
              </w:rPr>
              <w:fldChar w:fldCharType="end"/>
            </w:r>
          </w:hyperlink>
        </w:p>
        <w:p w14:paraId="30FE7885" w14:textId="3F8B0CBD"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1" w:history="1">
            <w:r w:rsidRPr="00C90756">
              <w:rPr>
                <w:rStyle w:val="Hyperlink"/>
                <w:rFonts w:eastAsia="Constantia" w:cstheme="minorHAnsi"/>
                <w:noProof/>
              </w:rPr>
              <w:t>3.2.2</w:t>
            </w:r>
            <w:r>
              <w:rPr>
                <w:rFonts w:asciiTheme="minorHAnsi" w:eastAsiaTheme="minorEastAsia" w:hAnsiTheme="minorHAnsi" w:cstheme="minorBidi"/>
                <w:noProof/>
                <w:kern w:val="2"/>
                <w:szCs w:val="24"/>
                <w14:ligatures w14:val="standardContextual"/>
              </w:rPr>
              <w:tab/>
            </w:r>
            <w:r w:rsidRPr="00C90756">
              <w:rPr>
                <w:rStyle w:val="Hyperlink"/>
                <w:noProof/>
              </w:rPr>
              <w:t>Santa Ana River Subwatershed</w:t>
            </w:r>
            <w:r>
              <w:rPr>
                <w:noProof/>
                <w:webHidden/>
              </w:rPr>
              <w:tab/>
            </w:r>
            <w:r>
              <w:rPr>
                <w:noProof/>
                <w:webHidden/>
              </w:rPr>
              <w:fldChar w:fldCharType="begin"/>
            </w:r>
            <w:r>
              <w:rPr>
                <w:noProof/>
                <w:webHidden/>
              </w:rPr>
              <w:instrText xml:space="preserve"> PAGEREF _Toc217410161 \h </w:instrText>
            </w:r>
            <w:r>
              <w:rPr>
                <w:noProof/>
                <w:webHidden/>
              </w:rPr>
            </w:r>
            <w:r>
              <w:rPr>
                <w:noProof/>
                <w:webHidden/>
              </w:rPr>
              <w:fldChar w:fldCharType="separate"/>
            </w:r>
            <w:r>
              <w:rPr>
                <w:noProof/>
                <w:webHidden/>
              </w:rPr>
              <w:t>3-13</w:t>
            </w:r>
            <w:r>
              <w:rPr>
                <w:noProof/>
                <w:webHidden/>
              </w:rPr>
              <w:fldChar w:fldCharType="end"/>
            </w:r>
          </w:hyperlink>
        </w:p>
        <w:p w14:paraId="2D625CB6" w14:textId="12FF06B2"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2" w:history="1">
            <w:r w:rsidRPr="00C90756">
              <w:rPr>
                <w:rStyle w:val="Hyperlink"/>
                <w:noProof/>
              </w:rPr>
              <w:t>3.2.3</w:t>
            </w:r>
            <w:r>
              <w:rPr>
                <w:rFonts w:asciiTheme="minorHAnsi" w:eastAsiaTheme="minorEastAsia" w:hAnsiTheme="minorHAnsi" w:cstheme="minorBidi"/>
                <w:noProof/>
                <w:kern w:val="2"/>
                <w:szCs w:val="24"/>
                <w14:ligatures w14:val="standardContextual"/>
              </w:rPr>
              <w:tab/>
            </w:r>
            <w:r w:rsidRPr="00C90756">
              <w:rPr>
                <w:rStyle w:val="Hyperlink"/>
                <w:noProof/>
              </w:rPr>
              <w:t>Chino Creek Subwatershed</w:t>
            </w:r>
            <w:r>
              <w:rPr>
                <w:noProof/>
                <w:webHidden/>
              </w:rPr>
              <w:tab/>
            </w:r>
            <w:r>
              <w:rPr>
                <w:noProof/>
                <w:webHidden/>
              </w:rPr>
              <w:fldChar w:fldCharType="begin"/>
            </w:r>
            <w:r>
              <w:rPr>
                <w:noProof/>
                <w:webHidden/>
              </w:rPr>
              <w:instrText xml:space="preserve"> PAGEREF _Toc217410162 \h </w:instrText>
            </w:r>
            <w:r>
              <w:rPr>
                <w:noProof/>
                <w:webHidden/>
              </w:rPr>
            </w:r>
            <w:r>
              <w:rPr>
                <w:noProof/>
                <w:webHidden/>
              </w:rPr>
              <w:fldChar w:fldCharType="separate"/>
            </w:r>
            <w:r>
              <w:rPr>
                <w:noProof/>
                <w:webHidden/>
              </w:rPr>
              <w:t>3-19</w:t>
            </w:r>
            <w:r>
              <w:rPr>
                <w:noProof/>
                <w:webHidden/>
              </w:rPr>
              <w:fldChar w:fldCharType="end"/>
            </w:r>
          </w:hyperlink>
        </w:p>
        <w:p w14:paraId="318B7627" w14:textId="7E3DF63E"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3" w:history="1">
            <w:r w:rsidRPr="00C90756">
              <w:rPr>
                <w:rStyle w:val="Hyperlink"/>
                <w:noProof/>
              </w:rPr>
              <w:t>3.2.4</w:t>
            </w:r>
            <w:r>
              <w:rPr>
                <w:rFonts w:asciiTheme="minorHAnsi" w:eastAsiaTheme="minorEastAsia" w:hAnsiTheme="minorHAnsi" w:cstheme="minorBidi"/>
                <w:noProof/>
                <w:kern w:val="2"/>
                <w:szCs w:val="24"/>
                <w14:ligatures w14:val="standardContextual"/>
              </w:rPr>
              <w:tab/>
            </w:r>
            <w:r w:rsidRPr="00C90756">
              <w:rPr>
                <w:rStyle w:val="Hyperlink"/>
                <w:noProof/>
              </w:rPr>
              <w:t>Cucamonga Creek Subwatershed</w:t>
            </w:r>
            <w:r>
              <w:rPr>
                <w:noProof/>
                <w:webHidden/>
              </w:rPr>
              <w:tab/>
            </w:r>
            <w:r>
              <w:rPr>
                <w:noProof/>
                <w:webHidden/>
              </w:rPr>
              <w:fldChar w:fldCharType="begin"/>
            </w:r>
            <w:r>
              <w:rPr>
                <w:noProof/>
                <w:webHidden/>
              </w:rPr>
              <w:instrText xml:space="preserve"> PAGEREF _Toc217410163 \h </w:instrText>
            </w:r>
            <w:r>
              <w:rPr>
                <w:noProof/>
                <w:webHidden/>
              </w:rPr>
            </w:r>
            <w:r>
              <w:rPr>
                <w:noProof/>
                <w:webHidden/>
              </w:rPr>
              <w:fldChar w:fldCharType="separate"/>
            </w:r>
            <w:r>
              <w:rPr>
                <w:noProof/>
                <w:webHidden/>
              </w:rPr>
              <w:t>3-22</w:t>
            </w:r>
            <w:r>
              <w:rPr>
                <w:noProof/>
                <w:webHidden/>
              </w:rPr>
              <w:fldChar w:fldCharType="end"/>
            </w:r>
          </w:hyperlink>
        </w:p>
        <w:p w14:paraId="4E408D4F" w14:textId="2A36A5A9" w:rsidR="00785944" w:rsidRDefault="00785944">
          <w:pPr>
            <w:pStyle w:val="TOC2"/>
            <w:rPr>
              <w:rFonts w:asciiTheme="minorHAnsi" w:eastAsiaTheme="minorEastAsia" w:hAnsiTheme="minorHAnsi" w:cstheme="minorBidi"/>
              <w:noProof/>
              <w:kern w:val="2"/>
              <w:szCs w:val="24"/>
              <w14:ligatures w14:val="standardContextual"/>
            </w:rPr>
          </w:pPr>
          <w:hyperlink w:anchor="_Toc217410164" w:history="1">
            <w:r w:rsidRPr="00C90756">
              <w:rPr>
                <w:rStyle w:val="Hyperlink"/>
                <w:noProof/>
              </w:rPr>
              <w:t>3.3</w:t>
            </w:r>
            <w:r>
              <w:rPr>
                <w:rFonts w:asciiTheme="minorHAnsi" w:eastAsiaTheme="minorEastAsia" w:hAnsiTheme="minorHAnsi" w:cstheme="minorBidi"/>
                <w:noProof/>
                <w:kern w:val="2"/>
                <w:szCs w:val="24"/>
                <w14:ligatures w14:val="standardContextual"/>
              </w:rPr>
              <w:tab/>
            </w:r>
            <w:r w:rsidRPr="00C90756">
              <w:rPr>
                <w:rStyle w:val="Hyperlink"/>
                <w:noProof/>
              </w:rPr>
              <w:t>Bacteroides Analysis</w:t>
            </w:r>
            <w:r>
              <w:rPr>
                <w:noProof/>
                <w:webHidden/>
              </w:rPr>
              <w:tab/>
            </w:r>
            <w:r>
              <w:rPr>
                <w:noProof/>
                <w:webHidden/>
              </w:rPr>
              <w:fldChar w:fldCharType="begin"/>
            </w:r>
            <w:r>
              <w:rPr>
                <w:noProof/>
                <w:webHidden/>
              </w:rPr>
              <w:instrText xml:space="preserve"> PAGEREF _Toc217410164 \h </w:instrText>
            </w:r>
            <w:r>
              <w:rPr>
                <w:noProof/>
                <w:webHidden/>
              </w:rPr>
            </w:r>
            <w:r>
              <w:rPr>
                <w:noProof/>
                <w:webHidden/>
              </w:rPr>
              <w:fldChar w:fldCharType="separate"/>
            </w:r>
            <w:r>
              <w:rPr>
                <w:noProof/>
                <w:webHidden/>
              </w:rPr>
              <w:t>3-26</w:t>
            </w:r>
            <w:r>
              <w:rPr>
                <w:noProof/>
                <w:webHidden/>
              </w:rPr>
              <w:fldChar w:fldCharType="end"/>
            </w:r>
          </w:hyperlink>
        </w:p>
        <w:p w14:paraId="1D79F30E" w14:textId="3971DFF2"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5" w:history="1">
            <w:r w:rsidRPr="00C90756">
              <w:rPr>
                <w:rStyle w:val="Hyperlink"/>
                <w:noProof/>
              </w:rPr>
              <w:t>3.3.1</w:t>
            </w:r>
            <w:r>
              <w:rPr>
                <w:rFonts w:asciiTheme="minorHAnsi" w:eastAsiaTheme="minorEastAsia" w:hAnsiTheme="minorHAnsi" w:cstheme="minorBidi"/>
                <w:noProof/>
                <w:kern w:val="2"/>
                <w:szCs w:val="24"/>
                <w14:ligatures w14:val="standardContextual"/>
              </w:rPr>
              <w:tab/>
            </w:r>
            <w:r w:rsidRPr="00C90756">
              <w:rPr>
                <w:rStyle w:val="Hyperlink"/>
                <w:noProof/>
              </w:rPr>
              <w:t>Use of Microbial Source Tracking Techniques in the Synoptic Study</w:t>
            </w:r>
            <w:r>
              <w:rPr>
                <w:noProof/>
                <w:webHidden/>
              </w:rPr>
              <w:tab/>
            </w:r>
            <w:r>
              <w:rPr>
                <w:noProof/>
                <w:webHidden/>
              </w:rPr>
              <w:fldChar w:fldCharType="begin"/>
            </w:r>
            <w:r>
              <w:rPr>
                <w:noProof/>
                <w:webHidden/>
              </w:rPr>
              <w:instrText xml:space="preserve"> PAGEREF _Toc217410165 \h </w:instrText>
            </w:r>
            <w:r>
              <w:rPr>
                <w:noProof/>
                <w:webHidden/>
              </w:rPr>
            </w:r>
            <w:r>
              <w:rPr>
                <w:noProof/>
                <w:webHidden/>
              </w:rPr>
              <w:fldChar w:fldCharType="separate"/>
            </w:r>
            <w:r>
              <w:rPr>
                <w:noProof/>
                <w:webHidden/>
              </w:rPr>
              <w:t>3-27</w:t>
            </w:r>
            <w:r>
              <w:rPr>
                <w:noProof/>
                <w:webHidden/>
              </w:rPr>
              <w:fldChar w:fldCharType="end"/>
            </w:r>
          </w:hyperlink>
        </w:p>
        <w:p w14:paraId="6A6E3461" w14:textId="51915259"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6" w:history="1">
            <w:r w:rsidRPr="00C90756">
              <w:rPr>
                <w:rStyle w:val="Hyperlink"/>
                <w:noProof/>
              </w:rPr>
              <w:t>3.3.2</w:t>
            </w:r>
            <w:r>
              <w:rPr>
                <w:rFonts w:asciiTheme="minorHAnsi" w:eastAsiaTheme="minorEastAsia" w:hAnsiTheme="minorHAnsi" w:cstheme="minorBidi"/>
                <w:noProof/>
                <w:kern w:val="2"/>
                <w:szCs w:val="24"/>
                <w14:ligatures w14:val="standardContextual"/>
              </w:rPr>
              <w:tab/>
            </w:r>
            <w:r w:rsidRPr="00C90756">
              <w:rPr>
                <w:rStyle w:val="Hyperlink"/>
                <w:noProof/>
              </w:rPr>
              <w:t>Evaluation of the HF183 Human Marker at Synoptic Study Sites</w:t>
            </w:r>
            <w:r>
              <w:rPr>
                <w:noProof/>
                <w:webHidden/>
              </w:rPr>
              <w:tab/>
            </w:r>
            <w:r>
              <w:rPr>
                <w:noProof/>
                <w:webHidden/>
              </w:rPr>
              <w:fldChar w:fldCharType="begin"/>
            </w:r>
            <w:r>
              <w:rPr>
                <w:noProof/>
                <w:webHidden/>
              </w:rPr>
              <w:instrText xml:space="preserve"> PAGEREF _Toc217410166 \h </w:instrText>
            </w:r>
            <w:r>
              <w:rPr>
                <w:noProof/>
                <w:webHidden/>
              </w:rPr>
            </w:r>
            <w:r>
              <w:rPr>
                <w:noProof/>
                <w:webHidden/>
              </w:rPr>
              <w:fldChar w:fldCharType="separate"/>
            </w:r>
            <w:r>
              <w:rPr>
                <w:noProof/>
                <w:webHidden/>
              </w:rPr>
              <w:t>3-28</w:t>
            </w:r>
            <w:r>
              <w:rPr>
                <w:noProof/>
                <w:webHidden/>
              </w:rPr>
              <w:fldChar w:fldCharType="end"/>
            </w:r>
          </w:hyperlink>
        </w:p>
        <w:p w14:paraId="20DC5458" w14:textId="59BED721"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7" w:history="1">
            <w:r w:rsidRPr="00C90756">
              <w:rPr>
                <w:rStyle w:val="Hyperlink"/>
                <w:noProof/>
              </w:rPr>
              <w:t>3.3.3</w:t>
            </w:r>
            <w:r>
              <w:rPr>
                <w:rFonts w:asciiTheme="minorHAnsi" w:eastAsiaTheme="minorEastAsia" w:hAnsiTheme="minorHAnsi" w:cstheme="minorBidi"/>
                <w:noProof/>
                <w:kern w:val="2"/>
                <w:szCs w:val="24"/>
                <w14:ligatures w14:val="standardContextual"/>
              </w:rPr>
              <w:tab/>
            </w:r>
            <w:r w:rsidRPr="00C90756">
              <w:rPr>
                <w:rStyle w:val="Hyperlink"/>
                <w:noProof/>
              </w:rPr>
              <w:t>Relationship between E. coli Concentrations and Bacteroides Detections</w:t>
            </w:r>
            <w:r>
              <w:rPr>
                <w:noProof/>
                <w:webHidden/>
              </w:rPr>
              <w:tab/>
            </w:r>
            <w:r>
              <w:rPr>
                <w:noProof/>
                <w:webHidden/>
              </w:rPr>
              <w:fldChar w:fldCharType="begin"/>
            </w:r>
            <w:r>
              <w:rPr>
                <w:noProof/>
                <w:webHidden/>
              </w:rPr>
              <w:instrText xml:space="preserve"> PAGEREF _Toc217410167 \h </w:instrText>
            </w:r>
            <w:r>
              <w:rPr>
                <w:noProof/>
                <w:webHidden/>
              </w:rPr>
            </w:r>
            <w:r>
              <w:rPr>
                <w:noProof/>
                <w:webHidden/>
              </w:rPr>
              <w:fldChar w:fldCharType="separate"/>
            </w:r>
            <w:r>
              <w:rPr>
                <w:noProof/>
                <w:webHidden/>
              </w:rPr>
              <w:t>3-32</w:t>
            </w:r>
            <w:r>
              <w:rPr>
                <w:noProof/>
                <w:webHidden/>
              </w:rPr>
              <w:fldChar w:fldCharType="end"/>
            </w:r>
          </w:hyperlink>
        </w:p>
        <w:p w14:paraId="3F9C650C" w14:textId="5AA7758E" w:rsidR="00785944" w:rsidRDefault="00785944">
          <w:pPr>
            <w:pStyle w:val="TOC2"/>
            <w:rPr>
              <w:rFonts w:asciiTheme="minorHAnsi" w:eastAsiaTheme="minorEastAsia" w:hAnsiTheme="minorHAnsi" w:cstheme="minorBidi"/>
              <w:noProof/>
              <w:kern w:val="2"/>
              <w:szCs w:val="24"/>
              <w14:ligatures w14:val="standardContextual"/>
            </w:rPr>
          </w:pPr>
          <w:hyperlink w:anchor="_Toc217410168" w:history="1">
            <w:r w:rsidRPr="00C90756">
              <w:rPr>
                <w:rStyle w:val="Hyperlink"/>
                <w:noProof/>
              </w:rPr>
              <w:t>3.4</w:t>
            </w:r>
            <w:r>
              <w:rPr>
                <w:rFonts w:asciiTheme="minorHAnsi" w:eastAsiaTheme="minorEastAsia" w:hAnsiTheme="minorHAnsi" w:cstheme="minorBidi"/>
                <w:noProof/>
                <w:kern w:val="2"/>
                <w:szCs w:val="24"/>
                <w14:ligatures w14:val="standardContextual"/>
              </w:rPr>
              <w:tab/>
            </w:r>
            <w:r w:rsidRPr="00C90756">
              <w:rPr>
                <w:rStyle w:val="Hyperlink"/>
                <w:noProof/>
              </w:rPr>
              <w:t>Tier 1 Site Prioritization</w:t>
            </w:r>
            <w:r>
              <w:rPr>
                <w:noProof/>
                <w:webHidden/>
              </w:rPr>
              <w:tab/>
            </w:r>
            <w:r>
              <w:rPr>
                <w:noProof/>
                <w:webHidden/>
              </w:rPr>
              <w:fldChar w:fldCharType="begin"/>
            </w:r>
            <w:r>
              <w:rPr>
                <w:noProof/>
                <w:webHidden/>
              </w:rPr>
              <w:instrText xml:space="preserve"> PAGEREF _Toc217410168 \h </w:instrText>
            </w:r>
            <w:r>
              <w:rPr>
                <w:noProof/>
                <w:webHidden/>
              </w:rPr>
            </w:r>
            <w:r>
              <w:rPr>
                <w:noProof/>
                <w:webHidden/>
              </w:rPr>
              <w:fldChar w:fldCharType="separate"/>
            </w:r>
            <w:r>
              <w:rPr>
                <w:noProof/>
                <w:webHidden/>
              </w:rPr>
              <w:t>3-35</w:t>
            </w:r>
            <w:r>
              <w:rPr>
                <w:noProof/>
                <w:webHidden/>
              </w:rPr>
              <w:fldChar w:fldCharType="end"/>
            </w:r>
          </w:hyperlink>
        </w:p>
        <w:p w14:paraId="6DDD5639" w14:textId="23AF0577"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69" w:history="1">
            <w:r w:rsidRPr="00C90756">
              <w:rPr>
                <w:rStyle w:val="Hyperlink"/>
                <w:noProof/>
              </w:rPr>
              <w:t>3.4.1</w:t>
            </w:r>
            <w:r>
              <w:rPr>
                <w:rFonts w:asciiTheme="minorHAnsi" w:eastAsiaTheme="minorEastAsia" w:hAnsiTheme="minorHAnsi" w:cstheme="minorBidi"/>
                <w:noProof/>
                <w:kern w:val="2"/>
                <w:szCs w:val="24"/>
                <w14:ligatures w14:val="standardContextual"/>
              </w:rPr>
              <w:tab/>
            </w:r>
            <w:r w:rsidRPr="00C90756">
              <w:rPr>
                <w:rStyle w:val="Hyperlink"/>
                <w:noProof/>
              </w:rPr>
              <w:t>Prioritization Analysis</w:t>
            </w:r>
            <w:r>
              <w:rPr>
                <w:noProof/>
                <w:webHidden/>
              </w:rPr>
              <w:tab/>
            </w:r>
            <w:r>
              <w:rPr>
                <w:noProof/>
                <w:webHidden/>
              </w:rPr>
              <w:fldChar w:fldCharType="begin"/>
            </w:r>
            <w:r>
              <w:rPr>
                <w:noProof/>
                <w:webHidden/>
              </w:rPr>
              <w:instrText xml:space="preserve"> PAGEREF _Toc217410169 \h </w:instrText>
            </w:r>
            <w:r>
              <w:rPr>
                <w:noProof/>
                <w:webHidden/>
              </w:rPr>
            </w:r>
            <w:r>
              <w:rPr>
                <w:noProof/>
                <w:webHidden/>
              </w:rPr>
              <w:fldChar w:fldCharType="separate"/>
            </w:r>
            <w:r>
              <w:rPr>
                <w:noProof/>
                <w:webHidden/>
              </w:rPr>
              <w:t>3-35</w:t>
            </w:r>
            <w:r>
              <w:rPr>
                <w:noProof/>
                <w:webHidden/>
              </w:rPr>
              <w:fldChar w:fldCharType="end"/>
            </w:r>
          </w:hyperlink>
        </w:p>
        <w:p w14:paraId="5F41B2E1" w14:textId="78ACEB52"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70" w:history="1">
            <w:r w:rsidRPr="00C90756">
              <w:rPr>
                <w:rStyle w:val="Hyperlink"/>
                <w:noProof/>
              </w:rPr>
              <w:t>3.4.2</w:t>
            </w:r>
            <w:r>
              <w:rPr>
                <w:rFonts w:asciiTheme="minorHAnsi" w:eastAsiaTheme="minorEastAsia" w:hAnsiTheme="minorHAnsi" w:cstheme="minorBidi"/>
                <w:noProof/>
                <w:kern w:val="2"/>
                <w:szCs w:val="24"/>
                <w14:ligatures w14:val="standardContextual"/>
              </w:rPr>
              <w:tab/>
            </w:r>
            <w:r w:rsidRPr="00C90756">
              <w:rPr>
                <w:rStyle w:val="Hyperlink"/>
                <w:noProof/>
              </w:rPr>
              <w:t>Changes in Tier 1 Site Prioritization Over Time</w:t>
            </w:r>
            <w:r>
              <w:rPr>
                <w:noProof/>
                <w:webHidden/>
              </w:rPr>
              <w:tab/>
            </w:r>
            <w:r>
              <w:rPr>
                <w:noProof/>
                <w:webHidden/>
              </w:rPr>
              <w:fldChar w:fldCharType="begin"/>
            </w:r>
            <w:r>
              <w:rPr>
                <w:noProof/>
                <w:webHidden/>
              </w:rPr>
              <w:instrText xml:space="preserve"> PAGEREF _Toc217410170 \h </w:instrText>
            </w:r>
            <w:r>
              <w:rPr>
                <w:noProof/>
                <w:webHidden/>
              </w:rPr>
            </w:r>
            <w:r>
              <w:rPr>
                <w:noProof/>
                <w:webHidden/>
              </w:rPr>
              <w:fldChar w:fldCharType="separate"/>
            </w:r>
            <w:r>
              <w:rPr>
                <w:noProof/>
                <w:webHidden/>
              </w:rPr>
              <w:t>3-40</w:t>
            </w:r>
            <w:r>
              <w:rPr>
                <w:noProof/>
                <w:webHidden/>
              </w:rPr>
              <w:fldChar w:fldCharType="end"/>
            </w:r>
          </w:hyperlink>
        </w:p>
        <w:p w14:paraId="76784A69" w14:textId="71E390F2" w:rsidR="00785944" w:rsidRDefault="00785944">
          <w:pPr>
            <w:pStyle w:val="TOC2"/>
            <w:rPr>
              <w:rFonts w:asciiTheme="minorHAnsi" w:eastAsiaTheme="minorEastAsia" w:hAnsiTheme="minorHAnsi" w:cstheme="minorBidi"/>
              <w:noProof/>
              <w:kern w:val="2"/>
              <w:szCs w:val="24"/>
              <w14:ligatures w14:val="standardContextual"/>
            </w:rPr>
          </w:pPr>
          <w:hyperlink w:anchor="_Toc217410171" w:history="1">
            <w:r w:rsidRPr="00C90756">
              <w:rPr>
                <w:rStyle w:val="Hyperlink"/>
                <w:noProof/>
                <w:lang w:val="fr-FR"/>
              </w:rPr>
              <w:t>3.5</w:t>
            </w:r>
            <w:r>
              <w:rPr>
                <w:rFonts w:asciiTheme="minorHAnsi" w:eastAsiaTheme="minorEastAsia" w:hAnsiTheme="minorHAnsi" w:cstheme="minorBidi"/>
                <w:noProof/>
                <w:kern w:val="2"/>
                <w:szCs w:val="24"/>
                <w14:ligatures w14:val="standardContextual"/>
              </w:rPr>
              <w:tab/>
            </w:r>
            <w:r w:rsidRPr="00C90756">
              <w:rPr>
                <w:rStyle w:val="Hyperlink"/>
                <w:noProof/>
                <w:lang w:val="fr-FR"/>
              </w:rPr>
              <w:t>Uncontrollable, Non-MS4 Bacteria Sources</w:t>
            </w:r>
            <w:r>
              <w:rPr>
                <w:noProof/>
                <w:webHidden/>
              </w:rPr>
              <w:tab/>
            </w:r>
            <w:r>
              <w:rPr>
                <w:noProof/>
                <w:webHidden/>
              </w:rPr>
              <w:fldChar w:fldCharType="begin"/>
            </w:r>
            <w:r>
              <w:rPr>
                <w:noProof/>
                <w:webHidden/>
              </w:rPr>
              <w:instrText xml:space="preserve"> PAGEREF _Toc217410171 \h </w:instrText>
            </w:r>
            <w:r>
              <w:rPr>
                <w:noProof/>
                <w:webHidden/>
              </w:rPr>
            </w:r>
            <w:r>
              <w:rPr>
                <w:noProof/>
                <w:webHidden/>
              </w:rPr>
              <w:fldChar w:fldCharType="separate"/>
            </w:r>
            <w:r>
              <w:rPr>
                <w:noProof/>
                <w:webHidden/>
              </w:rPr>
              <w:t>3-42</w:t>
            </w:r>
            <w:r>
              <w:rPr>
                <w:noProof/>
                <w:webHidden/>
              </w:rPr>
              <w:fldChar w:fldCharType="end"/>
            </w:r>
          </w:hyperlink>
        </w:p>
        <w:p w14:paraId="7FCB94D4" w14:textId="294D31BF" w:rsidR="00785944" w:rsidRDefault="00785944">
          <w:pPr>
            <w:pStyle w:val="TOC1"/>
            <w:rPr>
              <w:rFonts w:asciiTheme="minorHAnsi" w:eastAsiaTheme="minorEastAsia" w:hAnsiTheme="minorHAnsi" w:cstheme="minorBidi"/>
              <w:b w:val="0"/>
              <w:noProof/>
              <w:kern w:val="2"/>
              <w:szCs w:val="24"/>
              <w14:ligatures w14:val="standardContextual"/>
            </w:rPr>
          </w:pPr>
          <w:hyperlink w:anchor="_Toc217410172" w:history="1">
            <w:r w:rsidRPr="00C90756">
              <w:rPr>
                <w:rStyle w:val="Hyperlink"/>
                <w:noProof/>
              </w:rPr>
              <w:t>4.</w:t>
            </w:r>
            <w:r>
              <w:rPr>
                <w:rFonts w:asciiTheme="minorHAnsi" w:eastAsiaTheme="minorEastAsia" w:hAnsiTheme="minorHAnsi" w:cstheme="minorBidi"/>
                <w:b w:val="0"/>
                <w:noProof/>
                <w:kern w:val="2"/>
                <w:szCs w:val="24"/>
                <w14:ligatures w14:val="standardContextual"/>
              </w:rPr>
              <w:tab/>
            </w:r>
            <w:r w:rsidRPr="00C90756">
              <w:rPr>
                <w:rStyle w:val="Hyperlink"/>
                <w:noProof/>
              </w:rPr>
              <w:t>TMDL Implementation Activities</w:t>
            </w:r>
            <w:r>
              <w:rPr>
                <w:noProof/>
                <w:webHidden/>
              </w:rPr>
              <w:tab/>
            </w:r>
            <w:r>
              <w:rPr>
                <w:noProof/>
                <w:webHidden/>
              </w:rPr>
              <w:fldChar w:fldCharType="begin"/>
            </w:r>
            <w:r>
              <w:rPr>
                <w:noProof/>
                <w:webHidden/>
              </w:rPr>
              <w:instrText xml:space="preserve"> PAGEREF _Toc217410172 \h </w:instrText>
            </w:r>
            <w:r>
              <w:rPr>
                <w:noProof/>
                <w:webHidden/>
              </w:rPr>
            </w:r>
            <w:r>
              <w:rPr>
                <w:noProof/>
                <w:webHidden/>
              </w:rPr>
              <w:fldChar w:fldCharType="separate"/>
            </w:r>
            <w:r>
              <w:rPr>
                <w:noProof/>
                <w:webHidden/>
              </w:rPr>
              <w:t>4-1</w:t>
            </w:r>
            <w:r>
              <w:rPr>
                <w:noProof/>
                <w:webHidden/>
              </w:rPr>
              <w:fldChar w:fldCharType="end"/>
            </w:r>
          </w:hyperlink>
        </w:p>
        <w:p w14:paraId="40197E6E" w14:textId="1A3598A2" w:rsidR="00785944" w:rsidRDefault="00785944">
          <w:pPr>
            <w:pStyle w:val="TOC2"/>
            <w:rPr>
              <w:rFonts w:asciiTheme="minorHAnsi" w:eastAsiaTheme="minorEastAsia" w:hAnsiTheme="minorHAnsi" w:cstheme="minorBidi"/>
              <w:noProof/>
              <w:kern w:val="2"/>
              <w:szCs w:val="24"/>
              <w14:ligatures w14:val="standardContextual"/>
            </w:rPr>
          </w:pPr>
          <w:hyperlink w:anchor="_Toc217410173" w:history="1">
            <w:r w:rsidRPr="00C90756">
              <w:rPr>
                <w:rStyle w:val="Hyperlink"/>
                <w:noProof/>
              </w:rPr>
              <w:t>4.1</w:t>
            </w:r>
            <w:r>
              <w:rPr>
                <w:rFonts w:asciiTheme="minorHAnsi" w:eastAsiaTheme="minorEastAsia" w:hAnsiTheme="minorHAnsi" w:cstheme="minorBidi"/>
                <w:noProof/>
                <w:kern w:val="2"/>
                <w:szCs w:val="24"/>
                <w14:ligatures w14:val="standardContextual"/>
              </w:rPr>
              <w:tab/>
            </w:r>
            <w:r w:rsidRPr="00C90756">
              <w:rPr>
                <w:rStyle w:val="Hyperlink"/>
                <w:noProof/>
              </w:rPr>
              <w:t>CBRP Implementation for MS4 Sources</w:t>
            </w:r>
            <w:r>
              <w:rPr>
                <w:noProof/>
                <w:webHidden/>
              </w:rPr>
              <w:tab/>
            </w:r>
            <w:r>
              <w:rPr>
                <w:noProof/>
                <w:webHidden/>
              </w:rPr>
              <w:fldChar w:fldCharType="begin"/>
            </w:r>
            <w:r>
              <w:rPr>
                <w:noProof/>
                <w:webHidden/>
              </w:rPr>
              <w:instrText xml:space="preserve"> PAGEREF _Toc217410173 \h </w:instrText>
            </w:r>
            <w:r>
              <w:rPr>
                <w:noProof/>
                <w:webHidden/>
              </w:rPr>
            </w:r>
            <w:r>
              <w:rPr>
                <w:noProof/>
                <w:webHidden/>
              </w:rPr>
              <w:fldChar w:fldCharType="separate"/>
            </w:r>
            <w:r>
              <w:rPr>
                <w:noProof/>
                <w:webHidden/>
              </w:rPr>
              <w:t>4-1</w:t>
            </w:r>
            <w:r>
              <w:rPr>
                <w:noProof/>
                <w:webHidden/>
              </w:rPr>
              <w:fldChar w:fldCharType="end"/>
            </w:r>
          </w:hyperlink>
        </w:p>
        <w:p w14:paraId="2D140DB7" w14:textId="050CCE5E"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74" w:history="1">
            <w:r w:rsidRPr="00C90756">
              <w:rPr>
                <w:rStyle w:val="Hyperlink"/>
                <w:noProof/>
              </w:rPr>
              <w:t>4.1.1</w:t>
            </w:r>
            <w:r>
              <w:rPr>
                <w:rFonts w:asciiTheme="minorHAnsi" w:eastAsiaTheme="minorEastAsia" w:hAnsiTheme="minorHAnsi" w:cstheme="minorBidi"/>
                <w:noProof/>
                <w:kern w:val="2"/>
                <w:szCs w:val="24"/>
                <w14:ligatures w14:val="standardContextual"/>
              </w:rPr>
              <w:tab/>
            </w:r>
            <w:r w:rsidRPr="00C90756">
              <w:rPr>
                <w:rStyle w:val="Hyperlink"/>
                <w:noProof/>
              </w:rPr>
              <w:t>Mill Creek Wetlands - Constructed</w:t>
            </w:r>
            <w:r>
              <w:rPr>
                <w:noProof/>
                <w:webHidden/>
              </w:rPr>
              <w:tab/>
            </w:r>
            <w:r>
              <w:rPr>
                <w:noProof/>
                <w:webHidden/>
              </w:rPr>
              <w:fldChar w:fldCharType="begin"/>
            </w:r>
            <w:r>
              <w:rPr>
                <w:noProof/>
                <w:webHidden/>
              </w:rPr>
              <w:instrText xml:space="preserve"> PAGEREF _Toc217410174 \h </w:instrText>
            </w:r>
            <w:r>
              <w:rPr>
                <w:noProof/>
                <w:webHidden/>
              </w:rPr>
            </w:r>
            <w:r>
              <w:rPr>
                <w:noProof/>
                <w:webHidden/>
              </w:rPr>
              <w:fldChar w:fldCharType="separate"/>
            </w:r>
            <w:r>
              <w:rPr>
                <w:noProof/>
                <w:webHidden/>
              </w:rPr>
              <w:t>4-1</w:t>
            </w:r>
            <w:r>
              <w:rPr>
                <w:noProof/>
                <w:webHidden/>
              </w:rPr>
              <w:fldChar w:fldCharType="end"/>
            </w:r>
          </w:hyperlink>
        </w:p>
        <w:p w14:paraId="755EF174" w14:textId="0C2F9F69"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75" w:history="1">
            <w:r w:rsidRPr="00C90756">
              <w:rPr>
                <w:rStyle w:val="Hyperlink"/>
                <w:noProof/>
              </w:rPr>
              <w:t>4.1.2</w:t>
            </w:r>
            <w:r>
              <w:rPr>
                <w:rFonts w:asciiTheme="minorHAnsi" w:eastAsiaTheme="minorEastAsia" w:hAnsiTheme="minorHAnsi" w:cstheme="minorBidi"/>
                <w:noProof/>
                <w:kern w:val="2"/>
                <w:szCs w:val="24"/>
                <w14:ligatures w14:val="standardContextual"/>
              </w:rPr>
              <w:tab/>
            </w:r>
            <w:r w:rsidRPr="00C90756">
              <w:rPr>
                <w:rStyle w:val="Hyperlink"/>
                <w:noProof/>
              </w:rPr>
              <w:t>Phoenix Storm Drain Diversion - Constructed</w:t>
            </w:r>
            <w:r>
              <w:rPr>
                <w:noProof/>
                <w:webHidden/>
              </w:rPr>
              <w:tab/>
            </w:r>
            <w:r>
              <w:rPr>
                <w:noProof/>
                <w:webHidden/>
              </w:rPr>
              <w:fldChar w:fldCharType="begin"/>
            </w:r>
            <w:r>
              <w:rPr>
                <w:noProof/>
                <w:webHidden/>
              </w:rPr>
              <w:instrText xml:space="preserve"> PAGEREF _Toc217410175 \h </w:instrText>
            </w:r>
            <w:r>
              <w:rPr>
                <w:noProof/>
                <w:webHidden/>
              </w:rPr>
            </w:r>
            <w:r>
              <w:rPr>
                <w:noProof/>
                <w:webHidden/>
              </w:rPr>
              <w:fldChar w:fldCharType="separate"/>
            </w:r>
            <w:r>
              <w:rPr>
                <w:noProof/>
                <w:webHidden/>
              </w:rPr>
              <w:t>4-2</w:t>
            </w:r>
            <w:r>
              <w:rPr>
                <w:noProof/>
                <w:webHidden/>
              </w:rPr>
              <w:fldChar w:fldCharType="end"/>
            </w:r>
          </w:hyperlink>
        </w:p>
        <w:p w14:paraId="5661F663" w14:textId="08E7A1DC"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76" w:history="1">
            <w:r w:rsidRPr="00C90756">
              <w:rPr>
                <w:rStyle w:val="Hyperlink"/>
                <w:noProof/>
              </w:rPr>
              <w:t>4.1.3</w:t>
            </w:r>
            <w:r>
              <w:rPr>
                <w:rFonts w:asciiTheme="minorHAnsi" w:eastAsiaTheme="minorEastAsia" w:hAnsiTheme="minorHAnsi" w:cstheme="minorBidi"/>
                <w:noProof/>
                <w:kern w:val="2"/>
                <w:szCs w:val="24"/>
                <w14:ligatures w14:val="standardContextual"/>
              </w:rPr>
              <w:tab/>
            </w:r>
            <w:r w:rsidRPr="00C90756">
              <w:rPr>
                <w:rStyle w:val="Hyperlink"/>
                <w:noProof/>
              </w:rPr>
              <w:t>Sunnyslope Trash Retrofit Project - Planned</w:t>
            </w:r>
            <w:r>
              <w:rPr>
                <w:noProof/>
                <w:webHidden/>
              </w:rPr>
              <w:tab/>
            </w:r>
            <w:r>
              <w:rPr>
                <w:noProof/>
                <w:webHidden/>
              </w:rPr>
              <w:fldChar w:fldCharType="begin"/>
            </w:r>
            <w:r>
              <w:rPr>
                <w:noProof/>
                <w:webHidden/>
              </w:rPr>
              <w:instrText xml:space="preserve"> PAGEREF _Toc217410176 \h </w:instrText>
            </w:r>
            <w:r>
              <w:rPr>
                <w:noProof/>
                <w:webHidden/>
              </w:rPr>
            </w:r>
            <w:r>
              <w:rPr>
                <w:noProof/>
                <w:webHidden/>
              </w:rPr>
              <w:fldChar w:fldCharType="separate"/>
            </w:r>
            <w:r>
              <w:rPr>
                <w:noProof/>
                <w:webHidden/>
              </w:rPr>
              <w:t>4-3</w:t>
            </w:r>
            <w:r>
              <w:rPr>
                <w:noProof/>
                <w:webHidden/>
              </w:rPr>
              <w:fldChar w:fldCharType="end"/>
            </w:r>
          </w:hyperlink>
        </w:p>
        <w:p w14:paraId="07360890" w14:textId="5F2355FF"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77" w:history="1">
            <w:r w:rsidRPr="00C90756">
              <w:rPr>
                <w:rStyle w:val="Hyperlink"/>
                <w:noProof/>
              </w:rPr>
              <w:t>4.1.4</w:t>
            </w:r>
            <w:r>
              <w:rPr>
                <w:rFonts w:asciiTheme="minorHAnsi" w:eastAsiaTheme="minorEastAsia" w:hAnsiTheme="minorHAnsi" w:cstheme="minorBidi"/>
                <w:noProof/>
                <w:kern w:val="2"/>
                <w:szCs w:val="24"/>
                <w14:ligatures w14:val="standardContextual"/>
              </w:rPr>
              <w:tab/>
            </w:r>
            <w:r w:rsidRPr="00C90756">
              <w:rPr>
                <w:rStyle w:val="Hyperlink"/>
                <w:noProof/>
              </w:rPr>
              <w:t>MSAR Multi-Benefit Water Quality Strategy</w:t>
            </w:r>
            <w:r>
              <w:rPr>
                <w:noProof/>
                <w:webHidden/>
              </w:rPr>
              <w:tab/>
            </w:r>
            <w:r>
              <w:rPr>
                <w:noProof/>
                <w:webHidden/>
              </w:rPr>
              <w:fldChar w:fldCharType="begin"/>
            </w:r>
            <w:r>
              <w:rPr>
                <w:noProof/>
                <w:webHidden/>
              </w:rPr>
              <w:instrText xml:space="preserve"> PAGEREF _Toc217410177 \h </w:instrText>
            </w:r>
            <w:r>
              <w:rPr>
                <w:noProof/>
                <w:webHidden/>
              </w:rPr>
            </w:r>
            <w:r>
              <w:rPr>
                <w:noProof/>
                <w:webHidden/>
              </w:rPr>
              <w:fldChar w:fldCharType="separate"/>
            </w:r>
            <w:r>
              <w:rPr>
                <w:noProof/>
                <w:webHidden/>
              </w:rPr>
              <w:t>4-3</w:t>
            </w:r>
            <w:r>
              <w:rPr>
                <w:noProof/>
                <w:webHidden/>
              </w:rPr>
              <w:fldChar w:fldCharType="end"/>
            </w:r>
          </w:hyperlink>
        </w:p>
        <w:p w14:paraId="3EF33290" w14:textId="44820761"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78" w:history="1">
            <w:r w:rsidRPr="00C90756">
              <w:rPr>
                <w:rStyle w:val="Hyperlink"/>
                <w:noProof/>
              </w:rPr>
              <w:t>4.1.5</w:t>
            </w:r>
            <w:r>
              <w:rPr>
                <w:rFonts w:asciiTheme="minorHAnsi" w:eastAsiaTheme="minorEastAsia" w:hAnsiTheme="minorHAnsi" w:cstheme="minorBidi"/>
                <w:noProof/>
                <w:kern w:val="2"/>
                <w:szCs w:val="24"/>
                <w14:ligatures w14:val="standardContextual"/>
              </w:rPr>
              <w:tab/>
            </w:r>
            <w:r w:rsidRPr="00C90756">
              <w:rPr>
                <w:rStyle w:val="Hyperlink"/>
                <w:noProof/>
              </w:rPr>
              <w:t>Bacteria Source Tracking in MS4 Drainage Areas</w:t>
            </w:r>
            <w:r>
              <w:rPr>
                <w:noProof/>
                <w:webHidden/>
              </w:rPr>
              <w:tab/>
            </w:r>
            <w:r>
              <w:rPr>
                <w:noProof/>
                <w:webHidden/>
              </w:rPr>
              <w:fldChar w:fldCharType="begin"/>
            </w:r>
            <w:r>
              <w:rPr>
                <w:noProof/>
                <w:webHidden/>
              </w:rPr>
              <w:instrText xml:space="preserve"> PAGEREF _Toc217410178 \h </w:instrText>
            </w:r>
            <w:r>
              <w:rPr>
                <w:noProof/>
                <w:webHidden/>
              </w:rPr>
            </w:r>
            <w:r>
              <w:rPr>
                <w:noProof/>
                <w:webHidden/>
              </w:rPr>
              <w:fldChar w:fldCharType="separate"/>
            </w:r>
            <w:r>
              <w:rPr>
                <w:noProof/>
                <w:webHidden/>
              </w:rPr>
              <w:t>4-4</w:t>
            </w:r>
            <w:r>
              <w:rPr>
                <w:noProof/>
                <w:webHidden/>
              </w:rPr>
              <w:fldChar w:fldCharType="end"/>
            </w:r>
          </w:hyperlink>
        </w:p>
        <w:p w14:paraId="12E78546" w14:textId="08C05261" w:rsidR="00785944" w:rsidRDefault="00785944">
          <w:pPr>
            <w:pStyle w:val="TOC2"/>
            <w:rPr>
              <w:rFonts w:asciiTheme="minorHAnsi" w:eastAsiaTheme="minorEastAsia" w:hAnsiTheme="minorHAnsi" w:cstheme="minorBidi"/>
              <w:noProof/>
              <w:kern w:val="2"/>
              <w:szCs w:val="24"/>
              <w14:ligatures w14:val="standardContextual"/>
            </w:rPr>
          </w:pPr>
          <w:hyperlink w:anchor="_Toc217410179" w:history="1">
            <w:r w:rsidRPr="00C90756">
              <w:rPr>
                <w:rStyle w:val="Hyperlink"/>
                <w:noProof/>
              </w:rPr>
              <w:t>4.2</w:t>
            </w:r>
            <w:r>
              <w:rPr>
                <w:rFonts w:asciiTheme="minorHAnsi" w:eastAsiaTheme="minorEastAsia" w:hAnsiTheme="minorHAnsi" w:cstheme="minorBidi"/>
                <w:noProof/>
                <w:kern w:val="2"/>
                <w:szCs w:val="24"/>
                <w14:ligatures w14:val="standardContextual"/>
              </w:rPr>
              <w:tab/>
            </w:r>
            <w:r w:rsidRPr="00C90756">
              <w:rPr>
                <w:rStyle w:val="Hyperlink"/>
                <w:noProof/>
              </w:rPr>
              <w:t>TMDL Implementation by Agriculture Dischargers</w:t>
            </w:r>
            <w:r>
              <w:rPr>
                <w:noProof/>
                <w:webHidden/>
              </w:rPr>
              <w:tab/>
            </w:r>
            <w:r>
              <w:rPr>
                <w:noProof/>
                <w:webHidden/>
              </w:rPr>
              <w:fldChar w:fldCharType="begin"/>
            </w:r>
            <w:r>
              <w:rPr>
                <w:noProof/>
                <w:webHidden/>
              </w:rPr>
              <w:instrText xml:space="preserve"> PAGEREF _Toc217410179 \h </w:instrText>
            </w:r>
            <w:r>
              <w:rPr>
                <w:noProof/>
                <w:webHidden/>
              </w:rPr>
            </w:r>
            <w:r>
              <w:rPr>
                <w:noProof/>
                <w:webHidden/>
              </w:rPr>
              <w:fldChar w:fldCharType="separate"/>
            </w:r>
            <w:r>
              <w:rPr>
                <w:noProof/>
                <w:webHidden/>
              </w:rPr>
              <w:t>4-4</w:t>
            </w:r>
            <w:r>
              <w:rPr>
                <w:noProof/>
                <w:webHidden/>
              </w:rPr>
              <w:fldChar w:fldCharType="end"/>
            </w:r>
          </w:hyperlink>
        </w:p>
        <w:p w14:paraId="56F0826E" w14:textId="07F8523C"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80" w:history="1">
            <w:r w:rsidRPr="00C90756">
              <w:rPr>
                <w:rStyle w:val="Hyperlink"/>
                <w:noProof/>
              </w:rPr>
              <w:t>4.2.1</w:t>
            </w:r>
            <w:r>
              <w:rPr>
                <w:rFonts w:asciiTheme="minorHAnsi" w:eastAsiaTheme="minorEastAsia" w:hAnsiTheme="minorHAnsi" w:cstheme="minorBidi"/>
                <w:noProof/>
                <w:kern w:val="2"/>
                <w:szCs w:val="24"/>
                <w14:ligatures w14:val="standardContextual"/>
              </w:rPr>
              <w:tab/>
            </w:r>
            <w:r w:rsidRPr="00C90756">
              <w:rPr>
                <w:rStyle w:val="Hyperlink"/>
                <w:noProof/>
              </w:rPr>
              <w:t>CAFOs</w:t>
            </w:r>
            <w:r>
              <w:rPr>
                <w:noProof/>
                <w:webHidden/>
              </w:rPr>
              <w:tab/>
            </w:r>
            <w:r>
              <w:rPr>
                <w:noProof/>
                <w:webHidden/>
              </w:rPr>
              <w:fldChar w:fldCharType="begin"/>
            </w:r>
            <w:r>
              <w:rPr>
                <w:noProof/>
                <w:webHidden/>
              </w:rPr>
              <w:instrText xml:space="preserve"> PAGEREF _Toc217410180 \h </w:instrText>
            </w:r>
            <w:r>
              <w:rPr>
                <w:noProof/>
                <w:webHidden/>
              </w:rPr>
            </w:r>
            <w:r>
              <w:rPr>
                <w:noProof/>
                <w:webHidden/>
              </w:rPr>
              <w:fldChar w:fldCharType="separate"/>
            </w:r>
            <w:r>
              <w:rPr>
                <w:noProof/>
                <w:webHidden/>
              </w:rPr>
              <w:t>4-4</w:t>
            </w:r>
            <w:r>
              <w:rPr>
                <w:noProof/>
                <w:webHidden/>
              </w:rPr>
              <w:fldChar w:fldCharType="end"/>
            </w:r>
          </w:hyperlink>
        </w:p>
        <w:p w14:paraId="63C8920C" w14:textId="6EF79BA4" w:rsidR="00785944" w:rsidRDefault="00785944">
          <w:pPr>
            <w:pStyle w:val="TOC3"/>
            <w:tabs>
              <w:tab w:val="right" w:pos="8990"/>
            </w:tabs>
            <w:rPr>
              <w:rFonts w:asciiTheme="minorHAnsi" w:eastAsiaTheme="minorEastAsia" w:hAnsiTheme="minorHAnsi" w:cstheme="minorBidi"/>
              <w:noProof/>
              <w:kern w:val="2"/>
              <w:szCs w:val="24"/>
              <w14:ligatures w14:val="standardContextual"/>
            </w:rPr>
          </w:pPr>
          <w:hyperlink w:anchor="_Toc217410181" w:history="1">
            <w:r w:rsidRPr="00C90756">
              <w:rPr>
                <w:rStyle w:val="Hyperlink"/>
                <w:noProof/>
              </w:rPr>
              <w:t>Non-CAFOs</w:t>
            </w:r>
            <w:r>
              <w:rPr>
                <w:noProof/>
                <w:webHidden/>
              </w:rPr>
              <w:tab/>
            </w:r>
            <w:r>
              <w:rPr>
                <w:noProof/>
                <w:webHidden/>
              </w:rPr>
              <w:fldChar w:fldCharType="begin"/>
            </w:r>
            <w:r>
              <w:rPr>
                <w:noProof/>
                <w:webHidden/>
              </w:rPr>
              <w:instrText xml:space="preserve"> PAGEREF _Toc217410181 \h </w:instrText>
            </w:r>
            <w:r>
              <w:rPr>
                <w:noProof/>
                <w:webHidden/>
              </w:rPr>
            </w:r>
            <w:r>
              <w:rPr>
                <w:noProof/>
                <w:webHidden/>
              </w:rPr>
              <w:fldChar w:fldCharType="separate"/>
            </w:r>
            <w:r>
              <w:rPr>
                <w:noProof/>
                <w:webHidden/>
              </w:rPr>
              <w:t>4-6</w:t>
            </w:r>
            <w:r>
              <w:rPr>
                <w:noProof/>
                <w:webHidden/>
              </w:rPr>
              <w:fldChar w:fldCharType="end"/>
            </w:r>
          </w:hyperlink>
        </w:p>
        <w:p w14:paraId="2097B944" w14:textId="1E2D47D3" w:rsidR="00785944" w:rsidRDefault="00785944">
          <w:pPr>
            <w:pStyle w:val="TOC3"/>
            <w:tabs>
              <w:tab w:val="left" w:pos="2952"/>
              <w:tab w:val="right" w:pos="8990"/>
            </w:tabs>
            <w:rPr>
              <w:rFonts w:asciiTheme="minorHAnsi" w:eastAsiaTheme="minorEastAsia" w:hAnsiTheme="minorHAnsi" w:cstheme="minorBidi"/>
              <w:noProof/>
              <w:kern w:val="2"/>
              <w:szCs w:val="24"/>
              <w14:ligatures w14:val="standardContextual"/>
            </w:rPr>
          </w:pPr>
          <w:hyperlink w:anchor="_Toc217410182" w:history="1">
            <w:r w:rsidRPr="00C90756">
              <w:rPr>
                <w:rStyle w:val="Hyperlink"/>
                <w:noProof/>
              </w:rPr>
              <w:t>4.2.2</w:t>
            </w:r>
            <w:r>
              <w:rPr>
                <w:rFonts w:asciiTheme="minorHAnsi" w:eastAsiaTheme="minorEastAsia" w:hAnsiTheme="minorHAnsi" w:cstheme="minorBidi"/>
                <w:noProof/>
                <w:kern w:val="2"/>
                <w:szCs w:val="24"/>
                <w14:ligatures w14:val="standardContextual"/>
              </w:rPr>
              <w:tab/>
            </w:r>
            <w:r w:rsidRPr="00C90756">
              <w:rPr>
                <w:rStyle w:val="Hyperlink"/>
                <w:noProof/>
              </w:rPr>
              <w:t>Unsheltered Populations</w:t>
            </w:r>
            <w:r>
              <w:rPr>
                <w:noProof/>
                <w:webHidden/>
              </w:rPr>
              <w:tab/>
            </w:r>
            <w:r>
              <w:rPr>
                <w:noProof/>
                <w:webHidden/>
              </w:rPr>
              <w:fldChar w:fldCharType="begin"/>
            </w:r>
            <w:r>
              <w:rPr>
                <w:noProof/>
                <w:webHidden/>
              </w:rPr>
              <w:instrText xml:space="preserve"> PAGEREF _Toc217410182 \h </w:instrText>
            </w:r>
            <w:r>
              <w:rPr>
                <w:noProof/>
                <w:webHidden/>
              </w:rPr>
            </w:r>
            <w:r>
              <w:rPr>
                <w:noProof/>
                <w:webHidden/>
              </w:rPr>
              <w:fldChar w:fldCharType="separate"/>
            </w:r>
            <w:r>
              <w:rPr>
                <w:noProof/>
                <w:webHidden/>
              </w:rPr>
              <w:t>4-6</w:t>
            </w:r>
            <w:r>
              <w:rPr>
                <w:noProof/>
                <w:webHidden/>
              </w:rPr>
              <w:fldChar w:fldCharType="end"/>
            </w:r>
          </w:hyperlink>
        </w:p>
        <w:p w14:paraId="77AB368C" w14:textId="25AB7409" w:rsidR="00785944" w:rsidRDefault="00785944">
          <w:pPr>
            <w:pStyle w:val="TOC1"/>
            <w:rPr>
              <w:rFonts w:asciiTheme="minorHAnsi" w:eastAsiaTheme="minorEastAsia" w:hAnsiTheme="minorHAnsi" w:cstheme="minorBidi"/>
              <w:b w:val="0"/>
              <w:noProof/>
              <w:kern w:val="2"/>
              <w:szCs w:val="24"/>
              <w14:ligatures w14:val="standardContextual"/>
            </w:rPr>
          </w:pPr>
          <w:hyperlink w:anchor="_Toc217410183" w:history="1">
            <w:r w:rsidRPr="00C90756">
              <w:rPr>
                <w:rStyle w:val="Hyperlink"/>
                <w:noProof/>
              </w:rPr>
              <w:t>5.</w:t>
            </w:r>
            <w:r>
              <w:rPr>
                <w:rFonts w:asciiTheme="minorHAnsi" w:eastAsiaTheme="minorEastAsia" w:hAnsiTheme="minorHAnsi" w:cstheme="minorBidi"/>
                <w:b w:val="0"/>
                <w:noProof/>
                <w:kern w:val="2"/>
                <w:szCs w:val="24"/>
                <w14:ligatures w14:val="standardContextual"/>
              </w:rPr>
              <w:tab/>
            </w:r>
            <w:r w:rsidRPr="00C90756">
              <w:rPr>
                <w:rStyle w:val="Hyperlink"/>
                <w:noProof/>
              </w:rPr>
              <w:t>TMDL Implementation - Next Steps</w:t>
            </w:r>
            <w:r>
              <w:rPr>
                <w:noProof/>
                <w:webHidden/>
              </w:rPr>
              <w:tab/>
            </w:r>
            <w:r>
              <w:rPr>
                <w:noProof/>
                <w:webHidden/>
              </w:rPr>
              <w:fldChar w:fldCharType="begin"/>
            </w:r>
            <w:r>
              <w:rPr>
                <w:noProof/>
                <w:webHidden/>
              </w:rPr>
              <w:instrText xml:space="preserve"> PAGEREF _Toc217410183 \h </w:instrText>
            </w:r>
            <w:r>
              <w:rPr>
                <w:noProof/>
                <w:webHidden/>
              </w:rPr>
            </w:r>
            <w:r>
              <w:rPr>
                <w:noProof/>
                <w:webHidden/>
              </w:rPr>
              <w:fldChar w:fldCharType="separate"/>
            </w:r>
            <w:r>
              <w:rPr>
                <w:noProof/>
                <w:webHidden/>
              </w:rPr>
              <w:t>5-1</w:t>
            </w:r>
            <w:r>
              <w:rPr>
                <w:noProof/>
                <w:webHidden/>
              </w:rPr>
              <w:fldChar w:fldCharType="end"/>
            </w:r>
          </w:hyperlink>
        </w:p>
        <w:p w14:paraId="7E5898AF" w14:textId="39F1B9B0" w:rsidR="00785944" w:rsidRDefault="00785944">
          <w:pPr>
            <w:pStyle w:val="TOC2"/>
            <w:rPr>
              <w:rFonts w:asciiTheme="minorHAnsi" w:eastAsiaTheme="minorEastAsia" w:hAnsiTheme="minorHAnsi" w:cstheme="minorBidi"/>
              <w:noProof/>
              <w:kern w:val="2"/>
              <w:szCs w:val="24"/>
              <w14:ligatures w14:val="standardContextual"/>
            </w:rPr>
          </w:pPr>
          <w:hyperlink w:anchor="_Toc217410184" w:history="1">
            <w:r w:rsidRPr="00C90756">
              <w:rPr>
                <w:rStyle w:val="Hyperlink"/>
                <w:noProof/>
              </w:rPr>
              <w:t>5.1</w:t>
            </w:r>
            <w:r>
              <w:rPr>
                <w:rFonts w:asciiTheme="minorHAnsi" w:eastAsiaTheme="minorEastAsia" w:hAnsiTheme="minorHAnsi" w:cstheme="minorBidi"/>
                <w:noProof/>
                <w:kern w:val="2"/>
                <w:szCs w:val="24"/>
                <w14:ligatures w14:val="standardContextual"/>
              </w:rPr>
              <w:tab/>
            </w:r>
            <w:r w:rsidRPr="00C90756">
              <w:rPr>
                <w:rStyle w:val="Hyperlink"/>
                <w:noProof/>
              </w:rPr>
              <w:t>Dry Weather TMDL Implementation</w:t>
            </w:r>
            <w:r>
              <w:rPr>
                <w:noProof/>
                <w:webHidden/>
              </w:rPr>
              <w:tab/>
            </w:r>
            <w:r>
              <w:rPr>
                <w:noProof/>
                <w:webHidden/>
              </w:rPr>
              <w:fldChar w:fldCharType="begin"/>
            </w:r>
            <w:r>
              <w:rPr>
                <w:noProof/>
                <w:webHidden/>
              </w:rPr>
              <w:instrText xml:space="preserve"> PAGEREF _Toc217410184 \h </w:instrText>
            </w:r>
            <w:r>
              <w:rPr>
                <w:noProof/>
                <w:webHidden/>
              </w:rPr>
            </w:r>
            <w:r>
              <w:rPr>
                <w:noProof/>
                <w:webHidden/>
              </w:rPr>
              <w:fldChar w:fldCharType="separate"/>
            </w:r>
            <w:r>
              <w:rPr>
                <w:noProof/>
                <w:webHidden/>
              </w:rPr>
              <w:t>5-1</w:t>
            </w:r>
            <w:r>
              <w:rPr>
                <w:noProof/>
                <w:webHidden/>
              </w:rPr>
              <w:fldChar w:fldCharType="end"/>
            </w:r>
          </w:hyperlink>
        </w:p>
        <w:p w14:paraId="27E66D48" w14:textId="457942E3" w:rsidR="00785944" w:rsidRDefault="00785944">
          <w:pPr>
            <w:pStyle w:val="TOC2"/>
            <w:rPr>
              <w:rFonts w:asciiTheme="minorHAnsi" w:eastAsiaTheme="minorEastAsia" w:hAnsiTheme="minorHAnsi" w:cstheme="minorBidi"/>
              <w:noProof/>
              <w:kern w:val="2"/>
              <w:szCs w:val="24"/>
              <w14:ligatures w14:val="standardContextual"/>
            </w:rPr>
          </w:pPr>
          <w:hyperlink w:anchor="_Toc217410185" w:history="1">
            <w:r w:rsidRPr="00C90756">
              <w:rPr>
                <w:rStyle w:val="Hyperlink"/>
                <w:noProof/>
              </w:rPr>
              <w:t>5.2</w:t>
            </w:r>
            <w:r>
              <w:rPr>
                <w:rFonts w:asciiTheme="minorHAnsi" w:eastAsiaTheme="minorEastAsia" w:hAnsiTheme="minorHAnsi" w:cstheme="minorBidi"/>
                <w:noProof/>
                <w:kern w:val="2"/>
                <w:szCs w:val="24"/>
                <w14:ligatures w14:val="standardContextual"/>
              </w:rPr>
              <w:tab/>
            </w:r>
            <w:r w:rsidRPr="00C90756">
              <w:rPr>
                <w:rStyle w:val="Hyperlink"/>
                <w:noProof/>
              </w:rPr>
              <w:t>Limited Revisions to MSAR TMDLs</w:t>
            </w:r>
            <w:r>
              <w:rPr>
                <w:noProof/>
                <w:webHidden/>
              </w:rPr>
              <w:tab/>
            </w:r>
            <w:r>
              <w:rPr>
                <w:noProof/>
                <w:webHidden/>
              </w:rPr>
              <w:fldChar w:fldCharType="begin"/>
            </w:r>
            <w:r>
              <w:rPr>
                <w:noProof/>
                <w:webHidden/>
              </w:rPr>
              <w:instrText xml:space="preserve"> PAGEREF _Toc217410185 \h </w:instrText>
            </w:r>
            <w:r>
              <w:rPr>
                <w:noProof/>
                <w:webHidden/>
              </w:rPr>
            </w:r>
            <w:r>
              <w:rPr>
                <w:noProof/>
                <w:webHidden/>
              </w:rPr>
              <w:fldChar w:fldCharType="separate"/>
            </w:r>
            <w:r>
              <w:rPr>
                <w:noProof/>
                <w:webHidden/>
              </w:rPr>
              <w:t>5-2</w:t>
            </w:r>
            <w:r>
              <w:rPr>
                <w:noProof/>
                <w:webHidden/>
              </w:rPr>
              <w:fldChar w:fldCharType="end"/>
            </w:r>
          </w:hyperlink>
        </w:p>
        <w:p w14:paraId="4DFB38CC" w14:textId="424F3F7F" w:rsidR="00785944" w:rsidRDefault="00785944">
          <w:pPr>
            <w:pStyle w:val="TOC1"/>
            <w:rPr>
              <w:rFonts w:asciiTheme="minorHAnsi" w:eastAsiaTheme="minorEastAsia" w:hAnsiTheme="minorHAnsi" w:cstheme="minorBidi"/>
              <w:b w:val="0"/>
              <w:noProof/>
              <w:kern w:val="2"/>
              <w:szCs w:val="24"/>
              <w14:ligatures w14:val="standardContextual"/>
            </w:rPr>
          </w:pPr>
          <w:hyperlink w:anchor="_Toc217410186" w:history="1">
            <w:r w:rsidRPr="00C90756">
              <w:rPr>
                <w:rStyle w:val="Hyperlink"/>
                <w:noProof/>
              </w:rPr>
              <w:t>6.</w:t>
            </w:r>
            <w:r>
              <w:rPr>
                <w:rFonts w:asciiTheme="minorHAnsi" w:eastAsiaTheme="minorEastAsia" w:hAnsiTheme="minorHAnsi" w:cstheme="minorBidi"/>
                <w:b w:val="0"/>
                <w:noProof/>
                <w:kern w:val="2"/>
                <w:szCs w:val="24"/>
                <w14:ligatures w14:val="standardContextual"/>
              </w:rPr>
              <w:tab/>
            </w:r>
            <w:r w:rsidRPr="00C90756">
              <w:rPr>
                <w:rStyle w:val="Hyperlink"/>
                <w:noProof/>
              </w:rPr>
              <w:t>References</w:t>
            </w:r>
            <w:r>
              <w:rPr>
                <w:noProof/>
                <w:webHidden/>
              </w:rPr>
              <w:tab/>
            </w:r>
            <w:r>
              <w:rPr>
                <w:noProof/>
                <w:webHidden/>
              </w:rPr>
              <w:fldChar w:fldCharType="begin"/>
            </w:r>
            <w:r>
              <w:rPr>
                <w:noProof/>
                <w:webHidden/>
              </w:rPr>
              <w:instrText xml:space="preserve"> PAGEREF _Toc217410186 \h </w:instrText>
            </w:r>
            <w:r>
              <w:rPr>
                <w:noProof/>
                <w:webHidden/>
              </w:rPr>
            </w:r>
            <w:r>
              <w:rPr>
                <w:noProof/>
                <w:webHidden/>
              </w:rPr>
              <w:fldChar w:fldCharType="separate"/>
            </w:r>
            <w:r>
              <w:rPr>
                <w:noProof/>
                <w:webHidden/>
              </w:rPr>
              <w:t>6-1</w:t>
            </w:r>
            <w:r>
              <w:rPr>
                <w:noProof/>
                <w:webHidden/>
              </w:rPr>
              <w:fldChar w:fldCharType="end"/>
            </w:r>
          </w:hyperlink>
        </w:p>
        <w:p w14:paraId="4C25C148" w14:textId="39BEDB8D" w:rsidR="0078479C" w:rsidRDefault="0078479C">
          <w:r>
            <w:rPr>
              <w:b/>
              <w:bCs/>
              <w:noProof/>
            </w:rPr>
            <w:fldChar w:fldCharType="end"/>
          </w:r>
        </w:p>
      </w:sdtContent>
    </w:sdt>
    <w:bookmarkEnd w:id="2" w:displacedByCustomXml="prev"/>
    <w:p w14:paraId="403B9CFD" w14:textId="45415A0C" w:rsidR="004261FB" w:rsidRDefault="004261FB" w:rsidP="00C00CB6">
      <w:pPr>
        <w:pStyle w:val="BodyText"/>
        <w:spacing w:before="240" w:after="120"/>
        <w:rPr>
          <w:rFonts w:ascii="Arial" w:hAnsi="Arial" w:cs="Arial"/>
          <w:b/>
          <w:bCs/>
        </w:rPr>
      </w:pPr>
      <w:bookmarkStart w:id="3" w:name="_Hlk62916703"/>
      <w:r w:rsidRPr="00256711">
        <w:rPr>
          <w:rFonts w:ascii="Arial" w:hAnsi="Arial" w:cs="Arial"/>
          <w:b/>
          <w:bCs/>
        </w:rPr>
        <w:t>List of Figures</w:t>
      </w:r>
    </w:p>
    <w:p w14:paraId="15AF83D2" w14:textId="5F4C52F8"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r>
        <w:rPr>
          <w:rFonts w:ascii="Arial" w:hAnsi="Arial" w:cs="Arial"/>
          <w:b/>
          <w:bCs/>
        </w:rPr>
        <w:fldChar w:fldCharType="begin"/>
      </w:r>
      <w:r>
        <w:rPr>
          <w:rFonts w:ascii="Arial" w:hAnsi="Arial" w:cs="Arial"/>
          <w:b/>
          <w:bCs/>
        </w:rPr>
        <w:instrText xml:space="preserve"> TOC \c "Figure" \h</w:instrText>
      </w:r>
      <w:r>
        <w:rPr>
          <w:rFonts w:ascii="Arial" w:hAnsi="Arial" w:cs="Arial"/>
          <w:b/>
          <w:bCs/>
        </w:rPr>
        <w:fldChar w:fldCharType="separate"/>
      </w:r>
      <w:hyperlink w:anchor="_Toc217394749" w:history="1">
        <w:r w:rsidRPr="000750A4">
          <w:rPr>
            <w:rStyle w:val="Hyperlink"/>
            <w:noProof/>
          </w:rPr>
          <w:t>Figure 2</w:t>
        </w:r>
        <w:r w:rsidRPr="000750A4">
          <w:rPr>
            <w:rStyle w:val="Hyperlink"/>
            <w:noProof/>
          </w:rPr>
          <w:noBreakHyphen/>
          <w:t>1. Location of TMDL Compliance Monitoring Sites, Tier 1 Sites and POTWs in the MSAR Watershed</w:t>
        </w:r>
        <w:r>
          <w:rPr>
            <w:noProof/>
          </w:rPr>
          <w:tab/>
        </w:r>
        <w:r>
          <w:rPr>
            <w:noProof/>
          </w:rPr>
          <w:fldChar w:fldCharType="begin"/>
        </w:r>
        <w:r>
          <w:rPr>
            <w:noProof/>
          </w:rPr>
          <w:instrText xml:space="preserve"> PAGEREF _Toc217394749 \h </w:instrText>
        </w:r>
        <w:r>
          <w:rPr>
            <w:noProof/>
          </w:rPr>
        </w:r>
        <w:r>
          <w:rPr>
            <w:noProof/>
          </w:rPr>
          <w:fldChar w:fldCharType="separate"/>
        </w:r>
        <w:r w:rsidR="00785944">
          <w:rPr>
            <w:noProof/>
          </w:rPr>
          <w:t>2-4</w:t>
        </w:r>
        <w:r>
          <w:rPr>
            <w:noProof/>
          </w:rPr>
          <w:fldChar w:fldCharType="end"/>
        </w:r>
      </w:hyperlink>
    </w:p>
    <w:p w14:paraId="0960C132" w14:textId="6E5CA44F"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0" w:history="1">
        <w:r w:rsidRPr="000750A4">
          <w:rPr>
            <w:rStyle w:val="Hyperlink"/>
            <w:noProof/>
          </w:rPr>
          <w:t>Figure 2</w:t>
        </w:r>
        <w:r w:rsidRPr="000750A4">
          <w:rPr>
            <w:rStyle w:val="Hyperlink"/>
            <w:noProof/>
          </w:rPr>
          <w:noBreakHyphen/>
          <w:t xml:space="preserve">2.  Dry Weather Seasonal Geomean </w:t>
        </w:r>
        <w:r w:rsidRPr="000750A4">
          <w:rPr>
            <w:rStyle w:val="Hyperlink"/>
            <w:i/>
            <w:noProof/>
          </w:rPr>
          <w:t>E. coli</w:t>
        </w:r>
        <w:r w:rsidRPr="000750A4">
          <w:rPr>
            <w:rStyle w:val="Hyperlink"/>
            <w:noProof/>
          </w:rPr>
          <w:t xml:space="preserve"> Concentrations by Site and Season</w:t>
        </w:r>
        <w:r>
          <w:rPr>
            <w:noProof/>
          </w:rPr>
          <w:tab/>
        </w:r>
        <w:r>
          <w:rPr>
            <w:noProof/>
          </w:rPr>
          <w:fldChar w:fldCharType="begin"/>
        </w:r>
        <w:r>
          <w:rPr>
            <w:noProof/>
          </w:rPr>
          <w:instrText xml:space="preserve"> PAGEREF _Toc217394750 \h </w:instrText>
        </w:r>
        <w:r>
          <w:rPr>
            <w:noProof/>
          </w:rPr>
        </w:r>
        <w:r>
          <w:rPr>
            <w:noProof/>
          </w:rPr>
          <w:fldChar w:fldCharType="separate"/>
        </w:r>
        <w:r w:rsidR="00785944">
          <w:rPr>
            <w:noProof/>
          </w:rPr>
          <w:t>2-8</w:t>
        </w:r>
        <w:r>
          <w:rPr>
            <w:noProof/>
          </w:rPr>
          <w:fldChar w:fldCharType="end"/>
        </w:r>
      </w:hyperlink>
    </w:p>
    <w:p w14:paraId="5FE04D97" w14:textId="3F71FD5B"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1" w:history="1">
        <w:r w:rsidRPr="000750A4">
          <w:rPr>
            <w:rStyle w:val="Hyperlink"/>
            <w:noProof/>
          </w:rPr>
          <w:t>Figure 2</w:t>
        </w:r>
        <w:r w:rsidRPr="000750A4">
          <w:rPr>
            <w:rStyle w:val="Hyperlink"/>
            <w:noProof/>
          </w:rPr>
          <w:noBreakHyphen/>
          <w:t xml:space="preserve">3. Geomean of </w:t>
        </w:r>
        <w:r w:rsidRPr="000750A4">
          <w:rPr>
            <w:rStyle w:val="Hyperlink"/>
            <w:i/>
            <w:noProof/>
          </w:rPr>
          <w:t>E. coli</w:t>
        </w:r>
        <w:r w:rsidRPr="000750A4">
          <w:rPr>
            <w:rStyle w:val="Hyperlink"/>
            <w:noProof/>
          </w:rPr>
          <w:t xml:space="preserve"> Concentrations for Grab Samples during Active Wet Weather and Post-Storm Events</w:t>
        </w:r>
        <w:r>
          <w:rPr>
            <w:noProof/>
          </w:rPr>
          <w:tab/>
        </w:r>
        <w:r>
          <w:rPr>
            <w:noProof/>
          </w:rPr>
          <w:fldChar w:fldCharType="begin"/>
        </w:r>
        <w:r>
          <w:rPr>
            <w:noProof/>
          </w:rPr>
          <w:instrText xml:space="preserve"> PAGEREF _Toc217394751 \h </w:instrText>
        </w:r>
        <w:r>
          <w:rPr>
            <w:noProof/>
          </w:rPr>
        </w:r>
        <w:r>
          <w:rPr>
            <w:noProof/>
          </w:rPr>
          <w:fldChar w:fldCharType="separate"/>
        </w:r>
        <w:r w:rsidR="00785944">
          <w:rPr>
            <w:noProof/>
          </w:rPr>
          <w:t>2-9</w:t>
        </w:r>
        <w:r>
          <w:rPr>
            <w:noProof/>
          </w:rPr>
          <w:fldChar w:fldCharType="end"/>
        </w:r>
      </w:hyperlink>
    </w:p>
    <w:p w14:paraId="3B0D7D10" w14:textId="63858640"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2" w:history="1">
        <w:r w:rsidRPr="000750A4">
          <w:rPr>
            <w:rStyle w:val="Hyperlink"/>
            <w:noProof/>
          </w:rPr>
          <w:t>Figure 2</w:t>
        </w:r>
        <w:r w:rsidRPr="000750A4">
          <w:rPr>
            <w:rStyle w:val="Hyperlink"/>
            <w:noProof/>
          </w:rPr>
          <w:noBreakHyphen/>
          <w:t xml:space="preserve">4. </w:t>
        </w:r>
        <w:r w:rsidRPr="000750A4">
          <w:rPr>
            <w:rStyle w:val="Hyperlink"/>
            <w:i/>
            <w:noProof/>
          </w:rPr>
          <w:t>E. coli</w:t>
        </w:r>
        <w:r w:rsidRPr="000750A4">
          <w:rPr>
            <w:rStyle w:val="Hyperlink"/>
            <w:noProof/>
          </w:rPr>
          <w:t xml:space="preserve"> Concentrations for Post-storm Samples Over Time After Return to Pre-Wet Weather Event Flow Conditions (2007-2025)</w:t>
        </w:r>
        <w:r>
          <w:rPr>
            <w:noProof/>
          </w:rPr>
          <w:tab/>
        </w:r>
        <w:r>
          <w:rPr>
            <w:noProof/>
          </w:rPr>
          <w:fldChar w:fldCharType="begin"/>
        </w:r>
        <w:r>
          <w:rPr>
            <w:noProof/>
          </w:rPr>
          <w:instrText xml:space="preserve"> PAGEREF _Toc217394752 \h </w:instrText>
        </w:r>
        <w:r>
          <w:rPr>
            <w:noProof/>
          </w:rPr>
        </w:r>
        <w:r>
          <w:rPr>
            <w:noProof/>
          </w:rPr>
          <w:fldChar w:fldCharType="separate"/>
        </w:r>
        <w:r w:rsidR="00785944">
          <w:rPr>
            <w:noProof/>
          </w:rPr>
          <w:t>2-10</w:t>
        </w:r>
        <w:r>
          <w:rPr>
            <w:noProof/>
          </w:rPr>
          <w:fldChar w:fldCharType="end"/>
        </w:r>
      </w:hyperlink>
    </w:p>
    <w:p w14:paraId="0F83952C" w14:textId="76F40E6C"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3" w:history="1">
        <w:r w:rsidRPr="000750A4">
          <w:rPr>
            <w:rStyle w:val="Hyperlink"/>
            <w:noProof/>
          </w:rPr>
          <w:t>Figure 2</w:t>
        </w:r>
        <w:r w:rsidRPr="000750A4">
          <w:rPr>
            <w:rStyle w:val="Hyperlink"/>
            <w:noProof/>
          </w:rPr>
          <w:noBreakHyphen/>
          <w:t xml:space="preserve">5. Grab Sample and Rolling Geomeans of </w:t>
        </w:r>
        <w:r w:rsidRPr="000750A4">
          <w:rPr>
            <w:rStyle w:val="Hyperlink"/>
            <w:i/>
            <w:noProof/>
          </w:rPr>
          <w:t>E. coli</w:t>
        </w:r>
        <w:r w:rsidRPr="000750A4">
          <w:rPr>
            <w:rStyle w:val="Hyperlink"/>
            <w:noProof/>
          </w:rPr>
          <w:t xml:space="preserve"> Concentrations in the Santa Ana River Reach 3 at Mission Boulevard Bridge, WW-MISSION (2019-2025)</w:t>
        </w:r>
        <w:r>
          <w:rPr>
            <w:noProof/>
          </w:rPr>
          <w:tab/>
        </w:r>
        <w:r>
          <w:rPr>
            <w:noProof/>
          </w:rPr>
          <w:fldChar w:fldCharType="begin"/>
        </w:r>
        <w:r>
          <w:rPr>
            <w:noProof/>
          </w:rPr>
          <w:instrText xml:space="preserve"> PAGEREF _Toc217394753 \h </w:instrText>
        </w:r>
        <w:r>
          <w:rPr>
            <w:noProof/>
          </w:rPr>
        </w:r>
        <w:r>
          <w:rPr>
            <w:noProof/>
          </w:rPr>
          <w:fldChar w:fldCharType="separate"/>
        </w:r>
        <w:r w:rsidR="00785944">
          <w:rPr>
            <w:noProof/>
          </w:rPr>
          <w:t>2-14</w:t>
        </w:r>
        <w:r>
          <w:rPr>
            <w:noProof/>
          </w:rPr>
          <w:fldChar w:fldCharType="end"/>
        </w:r>
      </w:hyperlink>
    </w:p>
    <w:p w14:paraId="45FE81F7" w14:textId="422BF84D"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4" w:history="1">
        <w:r w:rsidRPr="000750A4">
          <w:rPr>
            <w:rStyle w:val="Hyperlink"/>
            <w:noProof/>
          </w:rPr>
          <w:t>Figure 3</w:t>
        </w:r>
        <w:r w:rsidRPr="000750A4">
          <w:rPr>
            <w:rStyle w:val="Hyperlink"/>
            <w:noProof/>
          </w:rPr>
          <w:noBreakHyphen/>
          <w:t>1. Map of Tier 1 Subwatersheds and Hydrologically Disconnected Drainage Areas during Dry Weather</w:t>
        </w:r>
        <w:r>
          <w:rPr>
            <w:noProof/>
          </w:rPr>
          <w:tab/>
        </w:r>
        <w:r>
          <w:rPr>
            <w:noProof/>
          </w:rPr>
          <w:fldChar w:fldCharType="begin"/>
        </w:r>
        <w:r>
          <w:rPr>
            <w:noProof/>
          </w:rPr>
          <w:instrText xml:space="preserve"> PAGEREF _Toc217394754 \h </w:instrText>
        </w:r>
        <w:r>
          <w:rPr>
            <w:noProof/>
          </w:rPr>
        </w:r>
        <w:r>
          <w:rPr>
            <w:noProof/>
          </w:rPr>
          <w:fldChar w:fldCharType="separate"/>
        </w:r>
        <w:r w:rsidR="00785944">
          <w:rPr>
            <w:noProof/>
          </w:rPr>
          <w:t>3-3</w:t>
        </w:r>
        <w:r>
          <w:rPr>
            <w:noProof/>
          </w:rPr>
          <w:fldChar w:fldCharType="end"/>
        </w:r>
      </w:hyperlink>
    </w:p>
    <w:p w14:paraId="4FCCB76C" w14:textId="4262181A"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5" w:history="1">
        <w:r w:rsidRPr="000750A4">
          <w:rPr>
            <w:rStyle w:val="Hyperlink"/>
            <w:noProof/>
          </w:rPr>
          <w:t>Figure 3</w:t>
        </w:r>
        <w:r w:rsidRPr="000750A4">
          <w:rPr>
            <w:rStyle w:val="Hyperlink"/>
            <w:noProof/>
          </w:rPr>
          <w:noBreakHyphen/>
          <w:t>2. Change in Measured DWF Rates from MS4 Outfalls Upstream of the Chino Creek and the Santa Ana River Compliance Monitoring Sites.</w:t>
        </w:r>
        <w:r>
          <w:rPr>
            <w:noProof/>
          </w:rPr>
          <w:tab/>
        </w:r>
        <w:r>
          <w:rPr>
            <w:noProof/>
          </w:rPr>
          <w:fldChar w:fldCharType="begin"/>
        </w:r>
        <w:r>
          <w:rPr>
            <w:noProof/>
          </w:rPr>
          <w:instrText xml:space="preserve"> PAGEREF _Toc217394755 \h </w:instrText>
        </w:r>
        <w:r>
          <w:rPr>
            <w:noProof/>
          </w:rPr>
        </w:r>
        <w:r>
          <w:rPr>
            <w:noProof/>
          </w:rPr>
          <w:fldChar w:fldCharType="separate"/>
        </w:r>
        <w:r w:rsidR="00785944">
          <w:rPr>
            <w:noProof/>
          </w:rPr>
          <w:t>3-6</w:t>
        </w:r>
        <w:r>
          <w:rPr>
            <w:noProof/>
          </w:rPr>
          <w:fldChar w:fldCharType="end"/>
        </w:r>
      </w:hyperlink>
    </w:p>
    <w:p w14:paraId="7BA58A24" w14:textId="77E89CDA"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6" w:history="1">
        <w:r w:rsidRPr="000750A4">
          <w:rPr>
            <w:rStyle w:val="Hyperlink"/>
            <w:noProof/>
          </w:rPr>
          <w:t>Figure 3</w:t>
        </w:r>
        <w:r w:rsidRPr="000750A4">
          <w:rPr>
            <w:rStyle w:val="Hyperlink"/>
            <w:noProof/>
          </w:rPr>
          <w:noBreakHyphen/>
          <w:t>3. Average August POTW Effluent Flow to Impaired Waters (2007-2025)</w:t>
        </w:r>
        <w:r>
          <w:rPr>
            <w:noProof/>
          </w:rPr>
          <w:tab/>
        </w:r>
        <w:r>
          <w:rPr>
            <w:noProof/>
          </w:rPr>
          <w:fldChar w:fldCharType="begin"/>
        </w:r>
        <w:r>
          <w:rPr>
            <w:noProof/>
          </w:rPr>
          <w:instrText xml:space="preserve"> PAGEREF _Toc217394756 \h </w:instrText>
        </w:r>
        <w:r>
          <w:rPr>
            <w:noProof/>
          </w:rPr>
        </w:r>
        <w:r>
          <w:rPr>
            <w:noProof/>
          </w:rPr>
          <w:fldChar w:fldCharType="separate"/>
        </w:r>
        <w:r w:rsidR="00785944">
          <w:rPr>
            <w:noProof/>
          </w:rPr>
          <w:t>3-7</w:t>
        </w:r>
        <w:r>
          <w:rPr>
            <w:noProof/>
          </w:rPr>
          <w:fldChar w:fldCharType="end"/>
        </w:r>
      </w:hyperlink>
    </w:p>
    <w:p w14:paraId="18B1741A" w14:textId="12DA6398"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7" w:history="1">
        <w:r w:rsidRPr="000750A4">
          <w:rPr>
            <w:rStyle w:val="Hyperlink"/>
            <w:noProof/>
          </w:rPr>
          <w:t>Figure 3</w:t>
        </w:r>
        <w:r w:rsidRPr="000750A4">
          <w:rPr>
            <w:rStyle w:val="Hyperlink"/>
            <w:noProof/>
          </w:rPr>
          <w:noBreakHyphen/>
          <w:t>4. Daily Effluent Flow from RP1 to Cucamonga Creek on Dates Concurrent with Tier 2 Source Investigation Sampling (2016-2025)</w:t>
        </w:r>
        <w:r>
          <w:rPr>
            <w:noProof/>
          </w:rPr>
          <w:tab/>
        </w:r>
        <w:r>
          <w:rPr>
            <w:noProof/>
          </w:rPr>
          <w:fldChar w:fldCharType="begin"/>
        </w:r>
        <w:r>
          <w:rPr>
            <w:noProof/>
          </w:rPr>
          <w:instrText xml:space="preserve"> PAGEREF _Toc217394757 \h </w:instrText>
        </w:r>
        <w:r>
          <w:rPr>
            <w:noProof/>
          </w:rPr>
        </w:r>
        <w:r>
          <w:rPr>
            <w:noProof/>
          </w:rPr>
          <w:fldChar w:fldCharType="separate"/>
        </w:r>
        <w:r w:rsidR="00785944">
          <w:rPr>
            <w:noProof/>
          </w:rPr>
          <w:t>3-8</w:t>
        </w:r>
        <w:r>
          <w:rPr>
            <w:noProof/>
          </w:rPr>
          <w:fldChar w:fldCharType="end"/>
        </w:r>
      </w:hyperlink>
    </w:p>
    <w:p w14:paraId="6ABFC802" w14:textId="217D9B8B"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8" w:history="1">
        <w:r w:rsidRPr="000750A4">
          <w:rPr>
            <w:rStyle w:val="Hyperlink"/>
            <w:noProof/>
          </w:rPr>
          <w:t>Figure 3</w:t>
        </w:r>
        <w:r w:rsidRPr="000750A4">
          <w:rPr>
            <w:rStyle w:val="Hyperlink"/>
            <w:noProof/>
          </w:rPr>
          <w:noBreakHyphen/>
          <w:t xml:space="preserve">5. Range of </w:t>
        </w:r>
        <w:r w:rsidRPr="000750A4">
          <w:rPr>
            <w:rStyle w:val="Hyperlink"/>
            <w:i/>
            <w:noProof/>
          </w:rPr>
          <w:t>E. coli</w:t>
        </w:r>
        <w:r w:rsidRPr="000750A4">
          <w:rPr>
            <w:rStyle w:val="Hyperlink"/>
            <w:noProof/>
          </w:rPr>
          <w:t xml:space="preserve"> Concentrations from 2025 Synoptic Study Sites</w:t>
        </w:r>
        <w:r>
          <w:rPr>
            <w:noProof/>
          </w:rPr>
          <w:tab/>
        </w:r>
        <w:r>
          <w:rPr>
            <w:noProof/>
          </w:rPr>
          <w:fldChar w:fldCharType="begin"/>
        </w:r>
        <w:r>
          <w:rPr>
            <w:noProof/>
          </w:rPr>
          <w:instrText xml:space="preserve"> PAGEREF _Toc217394758 \h </w:instrText>
        </w:r>
        <w:r>
          <w:rPr>
            <w:noProof/>
          </w:rPr>
        </w:r>
        <w:r>
          <w:rPr>
            <w:noProof/>
          </w:rPr>
          <w:fldChar w:fldCharType="separate"/>
        </w:r>
        <w:r w:rsidR="00785944">
          <w:rPr>
            <w:noProof/>
          </w:rPr>
          <w:t>3-9</w:t>
        </w:r>
        <w:r>
          <w:rPr>
            <w:noProof/>
          </w:rPr>
          <w:fldChar w:fldCharType="end"/>
        </w:r>
      </w:hyperlink>
    </w:p>
    <w:p w14:paraId="5A68E844" w14:textId="7130932E"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59" w:history="1">
        <w:r w:rsidRPr="000750A4">
          <w:rPr>
            <w:rStyle w:val="Hyperlink"/>
            <w:noProof/>
          </w:rPr>
          <w:t>Figure 3</w:t>
        </w:r>
        <w:r w:rsidRPr="000750A4">
          <w:rPr>
            <w:rStyle w:val="Hyperlink"/>
            <w:noProof/>
          </w:rPr>
          <w:noBreakHyphen/>
          <w:t xml:space="preserve">6. Comparison of 2025 Tier 1 Site </w:t>
        </w:r>
        <w:r w:rsidRPr="000750A4">
          <w:rPr>
            <w:rStyle w:val="Hyperlink"/>
            <w:i/>
            <w:noProof/>
          </w:rPr>
          <w:t>E. coli</w:t>
        </w:r>
        <w:r w:rsidRPr="000750A4">
          <w:rPr>
            <w:rStyle w:val="Hyperlink"/>
            <w:noProof/>
          </w:rPr>
          <w:t xml:space="preserve"> Geomeans with Previous Studies</w:t>
        </w:r>
        <w:r>
          <w:rPr>
            <w:noProof/>
          </w:rPr>
          <w:tab/>
        </w:r>
        <w:r>
          <w:rPr>
            <w:noProof/>
          </w:rPr>
          <w:fldChar w:fldCharType="begin"/>
        </w:r>
        <w:r>
          <w:rPr>
            <w:noProof/>
          </w:rPr>
          <w:instrText xml:space="preserve"> PAGEREF _Toc217394759 \h </w:instrText>
        </w:r>
        <w:r>
          <w:rPr>
            <w:noProof/>
          </w:rPr>
        </w:r>
        <w:r>
          <w:rPr>
            <w:noProof/>
          </w:rPr>
          <w:fldChar w:fldCharType="separate"/>
        </w:r>
        <w:r w:rsidR="00785944">
          <w:rPr>
            <w:noProof/>
          </w:rPr>
          <w:t>3-10</w:t>
        </w:r>
        <w:r>
          <w:rPr>
            <w:noProof/>
          </w:rPr>
          <w:fldChar w:fldCharType="end"/>
        </w:r>
      </w:hyperlink>
    </w:p>
    <w:p w14:paraId="05A355FE" w14:textId="43A0A05D"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0" w:history="1">
        <w:r w:rsidRPr="000750A4">
          <w:rPr>
            <w:rStyle w:val="Hyperlink"/>
            <w:noProof/>
          </w:rPr>
          <w:t>Figure 3</w:t>
        </w:r>
        <w:r w:rsidRPr="000750A4">
          <w:rPr>
            <w:rStyle w:val="Hyperlink"/>
            <w:noProof/>
          </w:rPr>
          <w:noBreakHyphen/>
          <w:t>7. Median MS4 E. coli Load from Tier 1 Sites Tributary to the Chino Creek and the Santa Ana River Watershed-wide Compliance Sites</w:t>
        </w:r>
        <w:r>
          <w:rPr>
            <w:noProof/>
          </w:rPr>
          <w:tab/>
        </w:r>
        <w:r>
          <w:rPr>
            <w:noProof/>
          </w:rPr>
          <w:fldChar w:fldCharType="begin"/>
        </w:r>
        <w:r>
          <w:rPr>
            <w:noProof/>
          </w:rPr>
          <w:instrText xml:space="preserve"> PAGEREF _Toc217394760 \h </w:instrText>
        </w:r>
        <w:r>
          <w:rPr>
            <w:noProof/>
          </w:rPr>
        </w:r>
        <w:r>
          <w:rPr>
            <w:noProof/>
          </w:rPr>
          <w:fldChar w:fldCharType="separate"/>
        </w:r>
        <w:r w:rsidR="00785944">
          <w:rPr>
            <w:noProof/>
          </w:rPr>
          <w:t>3-11</w:t>
        </w:r>
        <w:r>
          <w:rPr>
            <w:noProof/>
          </w:rPr>
          <w:fldChar w:fldCharType="end"/>
        </w:r>
      </w:hyperlink>
    </w:p>
    <w:p w14:paraId="6626AA38" w14:textId="1E81E0DA"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1" w:history="1">
        <w:r w:rsidRPr="000750A4">
          <w:rPr>
            <w:rStyle w:val="Hyperlink"/>
            <w:noProof/>
          </w:rPr>
          <w:t>Figure 3</w:t>
        </w:r>
        <w:r w:rsidRPr="000750A4">
          <w:rPr>
            <w:rStyle w:val="Hyperlink"/>
            <w:noProof/>
          </w:rPr>
          <w:noBreakHyphen/>
          <w:t xml:space="preserve">8. Historical </w:t>
        </w:r>
        <w:r w:rsidRPr="000750A4">
          <w:rPr>
            <w:rStyle w:val="Hyperlink"/>
            <w:i/>
            <w:noProof/>
          </w:rPr>
          <w:t>E. coli</w:t>
        </w:r>
        <w:r w:rsidRPr="000750A4">
          <w:rPr>
            <w:rStyle w:val="Hyperlink"/>
            <w:noProof/>
          </w:rPr>
          <w:t xml:space="preserve"> Data at Magnolia Center Storm Drain Compared with Synoptic Study </w:t>
        </w:r>
        <w:r w:rsidRPr="000750A4">
          <w:rPr>
            <w:rStyle w:val="Hyperlink"/>
            <w:i/>
            <w:noProof/>
          </w:rPr>
          <w:t>E. coli</w:t>
        </w:r>
        <w:r w:rsidRPr="000750A4">
          <w:rPr>
            <w:rStyle w:val="Hyperlink"/>
            <w:noProof/>
          </w:rPr>
          <w:t xml:space="preserve"> Results (T1-MCSD)</w:t>
        </w:r>
        <w:r>
          <w:rPr>
            <w:noProof/>
          </w:rPr>
          <w:tab/>
        </w:r>
        <w:r>
          <w:rPr>
            <w:noProof/>
          </w:rPr>
          <w:fldChar w:fldCharType="begin"/>
        </w:r>
        <w:r>
          <w:rPr>
            <w:noProof/>
          </w:rPr>
          <w:instrText xml:space="preserve"> PAGEREF _Toc217394761 \h </w:instrText>
        </w:r>
        <w:r>
          <w:rPr>
            <w:noProof/>
          </w:rPr>
        </w:r>
        <w:r>
          <w:rPr>
            <w:noProof/>
          </w:rPr>
          <w:fldChar w:fldCharType="separate"/>
        </w:r>
        <w:r w:rsidR="00785944">
          <w:rPr>
            <w:noProof/>
          </w:rPr>
          <w:t>3-13</w:t>
        </w:r>
        <w:r>
          <w:rPr>
            <w:noProof/>
          </w:rPr>
          <w:fldChar w:fldCharType="end"/>
        </w:r>
      </w:hyperlink>
    </w:p>
    <w:p w14:paraId="745D01FA" w14:textId="27B4F4ED"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2" w:history="1">
        <w:r w:rsidRPr="000750A4">
          <w:rPr>
            <w:rStyle w:val="Hyperlink"/>
            <w:noProof/>
          </w:rPr>
          <w:t>Figure 3</w:t>
        </w:r>
        <w:r w:rsidRPr="000750A4">
          <w:rPr>
            <w:rStyle w:val="Hyperlink"/>
            <w:noProof/>
          </w:rPr>
          <w:noBreakHyphen/>
          <w:t>9. Estimated Seepage Loss in Santa Ana River Reach 4</w:t>
        </w:r>
        <w:r>
          <w:rPr>
            <w:noProof/>
          </w:rPr>
          <w:tab/>
        </w:r>
        <w:r>
          <w:rPr>
            <w:noProof/>
          </w:rPr>
          <w:fldChar w:fldCharType="begin"/>
        </w:r>
        <w:r>
          <w:rPr>
            <w:noProof/>
          </w:rPr>
          <w:instrText xml:space="preserve"> PAGEREF _Toc217394762 \h </w:instrText>
        </w:r>
        <w:r>
          <w:rPr>
            <w:noProof/>
          </w:rPr>
        </w:r>
        <w:r>
          <w:rPr>
            <w:noProof/>
          </w:rPr>
          <w:fldChar w:fldCharType="separate"/>
        </w:r>
        <w:r w:rsidR="00785944">
          <w:rPr>
            <w:noProof/>
          </w:rPr>
          <w:t>3-14</w:t>
        </w:r>
        <w:r>
          <w:rPr>
            <w:noProof/>
          </w:rPr>
          <w:fldChar w:fldCharType="end"/>
        </w:r>
      </w:hyperlink>
    </w:p>
    <w:p w14:paraId="2F21D9A5" w14:textId="3523F920"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3" w:history="1">
        <w:r w:rsidRPr="000750A4">
          <w:rPr>
            <w:rStyle w:val="Hyperlink"/>
            <w:noProof/>
          </w:rPr>
          <w:t>Figure 3</w:t>
        </w:r>
        <w:r w:rsidRPr="000750A4">
          <w:rPr>
            <w:rStyle w:val="Hyperlink"/>
            <w:noProof/>
          </w:rPr>
          <w:noBreakHyphen/>
          <w:t>10. Schematic Showing Known Bacteria Inputs, Dry Weather Inflows and POTW Effluent Discharges to the Santa Ana River in Relation to Downstream Compliance Monitoring Sites</w:t>
        </w:r>
        <w:r>
          <w:rPr>
            <w:noProof/>
          </w:rPr>
          <w:tab/>
        </w:r>
        <w:r>
          <w:rPr>
            <w:noProof/>
          </w:rPr>
          <w:fldChar w:fldCharType="begin"/>
        </w:r>
        <w:r>
          <w:rPr>
            <w:noProof/>
          </w:rPr>
          <w:instrText xml:space="preserve"> PAGEREF _Toc217394763 \h </w:instrText>
        </w:r>
        <w:r>
          <w:rPr>
            <w:noProof/>
          </w:rPr>
        </w:r>
        <w:r>
          <w:rPr>
            <w:noProof/>
          </w:rPr>
          <w:fldChar w:fldCharType="separate"/>
        </w:r>
        <w:r w:rsidR="00785944">
          <w:rPr>
            <w:noProof/>
          </w:rPr>
          <w:t>3-16</w:t>
        </w:r>
        <w:r>
          <w:rPr>
            <w:noProof/>
          </w:rPr>
          <w:fldChar w:fldCharType="end"/>
        </w:r>
      </w:hyperlink>
    </w:p>
    <w:p w14:paraId="40A7524D" w14:textId="2F799294"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4" w:history="1">
        <w:r w:rsidRPr="000750A4">
          <w:rPr>
            <w:rStyle w:val="Hyperlink"/>
            <w:noProof/>
          </w:rPr>
          <w:t>Figure 3</w:t>
        </w:r>
        <w:r w:rsidRPr="000750A4">
          <w:rPr>
            <w:rStyle w:val="Hyperlink"/>
            <w:noProof/>
          </w:rPr>
          <w:noBreakHyphen/>
          <w:t xml:space="preserve">11. Comparison of Estimated Blended </w:t>
        </w:r>
        <w:r w:rsidRPr="000750A4">
          <w:rPr>
            <w:rStyle w:val="Hyperlink"/>
            <w:i/>
            <w:noProof/>
          </w:rPr>
          <w:t>E. coli</w:t>
        </w:r>
        <w:r w:rsidRPr="000750A4">
          <w:rPr>
            <w:rStyle w:val="Hyperlink"/>
            <w:noProof/>
          </w:rPr>
          <w:t xml:space="preserve"> Concentrations of MS4 Inflows with Downstream Watershed-wide Compliance Monitoring Data for Santa Ana River Sites</w:t>
        </w:r>
        <w:r>
          <w:rPr>
            <w:noProof/>
          </w:rPr>
          <w:tab/>
        </w:r>
        <w:r>
          <w:rPr>
            <w:noProof/>
          </w:rPr>
          <w:fldChar w:fldCharType="begin"/>
        </w:r>
        <w:r>
          <w:rPr>
            <w:noProof/>
          </w:rPr>
          <w:instrText xml:space="preserve"> PAGEREF _Toc217394764 \h </w:instrText>
        </w:r>
        <w:r>
          <w:rPr>
            <w:noProof/>
          </w:rPr>
        </w:r>
        <w:r>
          <w:rPr>
            <w:noProof/>
          </w:rPr>
          <w:fldChar w:fldCharType="separate"/>
        </w:r>
        <w:r w:rsidR="00785944">
          <w:rPr>
            <w:noProof/>
          </w:rPr>
          <w:t>3-17</w:t>
        </w:r>
        <w:r>
          <w:rPr>
            <w:noProof/>
          </w:rPr>
          <w:fldChar w:fldCharType="end"/>
        </w:r>
      </w:hyperlink>
    </w:p>
    <w:p w14:paraId="6E0D3920" w14:textId="6551AEDF"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5" w:history="1">
        <w:r w:rsidRPr="000750A4">
          <w:rPr>
            <w:rStyle w:val="Hyperlink"/>
            <w:noProof/>
          </w:rPr>
          <w:t>Figure 3</w:t>
        </w:r>
        <w:r w:rsidRPr="000750A4">
          <w:rPr>
            <w:rStyle w:val="Hyperlink"/>
            <w:noProof/>
          </w:rPr>
          <w:noBreakHyphen/>
          <w:t xml:space="preserve">12. Relative Contributions during 2025 Synoptic Study of </w:t>
        </w:r>
        <w:r w:rsidRPr="000750A4">
          <w:rPr>
            <w:rStyle w:val="Hyperlink"/>
            <w:i/>
            <w:noProof/>
          </w:rPr>
          <w:t>E. coli</w:t>
        </w:r>
        <w:r w:rsidRPr="000750A4">
          <w:rPr>
            <w:rStyle w:val="Hyperlink"/>
            <w:noProof/>
          </w:rPr>
          <w:t xml:space="preserve"> Loads (billion MPN/day) to Santa Ana River Reach 3 from Upstream Tier 1 MS4 Outfalls</w:t>
        </w:r>
        <w:r>
          <w:rPr>
            <w:noProof/>
          </w:rPr>
          <w:tab/>
        </w:r>
        <w:r>
          <w:rPr>
            <w:noProof/>
          </w:rPr>
          <w:fldChar w:fldCharType="begin"/>
        </w:r>
        <w:r>
          <w:rPr>
            <w:noProof/>
          </w:rPr>
          <w:instrText xml:space="preserve"> PAGEREF _Toc217394765 \h </w:instrText>
        </w:r>
        <w:r>
          <w:rPr>
            <w:noProof/>
          </w:rPr>
        </w:r>
        <w:r>
          <w:rPr>
            <w:noProof/>
          </w:rPr>
          <w:fldChar w:fldCharType="separate"/>
        </w:r>
        <w:r w:rsidR="00785944">
          <w:rPr>
            <w:noProof/>
          </w:rPr>
          <w:t>3-18</w:t>
        </w:r>
        <w:r>
          <w:rPr>
            <w:noProof/>
          </w:rPr>
          <w:fldChar w:fldCharType="end"/>
        </w:r>
      </w:hyperlink>
    </w:p>
    <w:p w14:paraId="0C5562B6" w14:textId="654842E3"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6" w:history="1">
        <w:r w:rsidRPr="000750A4">
          <w:rPr>
            <w:rStyle w:val="Hyperlink"/>
            <w:noProof/>
          </w:rPr>
          <w:t>Figure 3</w:t>
        </w:r>
        <w:r w:rsidRPr="000750A4">
          <w:rPr>
            <w:rStyle w:val="Hyperlink"/>
            <w:noProof/>
          </w:rPr>
          <w:noBreakHyphen/>
          <w:t>13. E. coli Concentrations in Santa Ana River at Mission Boulevard (WW-MISSION) during Dry Weather (2019-2025, n=151)</w:t>
        </w:r>
        <w:r>
          <w:rPr>
            <w:noProof/>
          </w:rPr>
          <w:tab/>
        </w:r>
        <w:r>
          <w:rPr>
            <w:noProof/>
          </w:rPr>
          <w:fldChar w:fldCharType="begin"/>
        </w:r>
        <w:r>
          <w:rPr>
            <w:noProof/>
          </w:rPr>
          <w:instrText xml:space="preserve"> PAGEREF _Toc217394766 \h </w:instrText>
        </w:r>
        <w:r>
          <w:rPr>
            <w:noProof/>
          </w:rPr>
        </w:r>
        <w:r>
          <w:rPr>
            <w:noProof/>
          </w:rPr>
          <w:fldChar w:fldCharType="separate"/>
        </w:r>
        <w:r w:rsidR="00785944">
          <w:rPr>
            <w:noProof/>
          </w:rPr>
          <w:t>3-18</w:t>
        </w:r>
        <w:r>
          <w:rPr>
            <w:noProof/>
          </w:rPr>
          <w:fldChar w:fldCharType="end"/>
        </w:r>
      </w:hyperlink>
    </w:p>
    <w:p w14:paraId="42B88AC0" w14:textId="754E44D4"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7" w:history="1">
        <w:r w:rsidRPr="000750A4">
          <w:rPr>
            <w:rStyle w:val="Hyperlink"/>
            <w:noProof/>
          </w:rPr>
          <w:t>Figure 3</w:t>
        </w:r>
        <w:r w:rsidRPr="000750A4">
          <w:rPr>
            <w:rStyle w:val="Hyperlink"/>
            <w:noProof/>
          </w:rPr>
          <w:noBreakHyphen/>
          <w:t xml:space="preserve">14. Relative Loading from Tier 1 Sites to Total MS4 </w:t>
        </w:r>
        <w:r w:rsidRPr="000750A4">
          <w:rPr>
            <w:rStyle w:val="Hyperlink"/>
            <w:i/>
            <w:noProof/>
          </w:rPr>
          <w:t>E. coli</w:t>
        </w:r>
        <w:r w:rsidRPr="000750A4">
          <w:rPr>
            <w:rStyle w:val="Hyperlink"/>
            <w:noProof/>
          </w:rPr>
          <w:t xml:space="preserve"> Load to the Santa Ana River Reach 3 Upstream from WW-S4 Compliance Monitoring Site</w:t>
        </w:r>
        <w:r>
          <w:rPr>
            <w:noProof/>
          </w:rPr>
          <w:tab/>
        </w:r>
        <w:r>
          <w:rPr>
            <w:noProof/>
          </w:rPr>
          <w:fldChar w:fldCharType="begin"/>
        </w:r>
        <w:r>
          <w:rPr>
            <w:noProof/>
          </w:rPr>
          <w:instrText xml:space="preserve"> PAGEREF _Toc217394767 \h </w:instrText>
        </w:r>
        <w:r>
          <w:rPr>
            <w:noProof/>
          </w:rPr>
        </w:r>
        <w:r>
          <w:rPr>
            <w:noProof/>
          </w:rPr>
          <w:fldChar w:fldCharType="separate"/>
        </w:r>
        <w:r w:rsidR="00785944">
          <w:rPr>
            <w:noProof/>
          </w:rPr>
          <w:t>3-19</w:t>
        </w:r>
        <w:r>
          <w:rPr>
            <w:noProof/>
          </w:rPr>
          <w:fldChar w:fldCharType="end"/>
        </w:r>
      </w:hyperlink>
    </w:p>
    <w:p w14:paraId="3CAFCF27" w14:textId="1FB13B67"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8" w:history="1">
        <w:r w:rsidRPr="000750A4">
          <w:rPr>
            <w:rStyle w:val="Hyperlink"/>
            <w:noProof/>
          </w:rPr>
          <w:t>Figure 3</w:t>
        </w:r>
        <w:r w:rsidRPr="000750A4">
          <w:rPr>
            <w:rStyle w:val="Hyperlink"/>
            <w:noProof/>
          </w:rPr>
          <w:noBreakHyphen/>
          <w:t>15. Schematic Showing Known Bacteria Inputs, Dry Weather Inflows and POTW Effluent Discharges to Chino Creek in Relation to Downstream Compliance Monitoring Site</w:t>
        </w:r>
        <w:r>
          <w:rPr>
            <w:noProof/>
          </w:rPr>
          <w:tab/>
        </w:r>
        <w:r>
          <w:rPr>
            <w:noProof/>
          </w:rPr>
          <w:fldChar w:fldCharType="begin"/>
        </w:r>
        <w:r>
          <w:rPr>
            <w:noProof/>
          </w:rPr>
          <w:instrText xml:space="preserve"> PAGEREF _Toc217394768 \h </w:instrText>
        </w:r>
        <w:r>
          <w:rPr>
            <w:noProof/>
          </w:rPr>
        </w:r>
        <w:r>
          <w:rPr>
            <w:noProof/>
          </w:rPr>
          <w:fldChar w:fldCharType="separate"/>
        </w:r>
        <w:r w:rsidR="00785944">
          <w:rPr>
            <w:noProof/>
          </w:rPr>
          <w:t>3-20</w:t>
        </w:r>
        <w:r>
          <w:rPr>
            <w:noProof/>
          </w:rPr>
          <w:fldChar w:fldCharType="end"/>
        </w:r>
      </w:hyperlink>
    </w:p>
    <w:p w14:paraId="3FAAD81F" w14:textId="065C8E67"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69" w:history="1">
        <w:r w:rsidRPr="000750A4">
          <w:rPr>
            <w:rStyle w:val="Hyperlink"/>
            <w:noProof/>
          </w:rPr>
          <w:t>Figure 3</w:t>
        </w:r>
        <w:r w:rsidRPr="000750A4">
          <w:rPr>
            <w:rStyle w:val="Hyperlink"/>
            <w:noProof/>
          </w:rPr>
          <w:noBreakHyphen/>
          <w:t xml:space="preserve">16. Comparison of Estimated Blended </w:t>
        </w:r>
        <w:r w:rsidRPr="000750A4">
          <w:rPr>
            <w:rStyle w:val="Hyperlink"/>
            <w:i/>
            <w:noProof/>
          </w:rPr>
          <w:t>E. coli</w:t>
        </w:r>
        <w:r w:rsidRPr="000750A4">
          <w:rPr>
            <w:rStyle w:val="Hyperlink"/>
            <w:noProof/>
          </w:rPr>
          <w:t xml:space="preserve"> Concentrations of MS4 Inflows with Downstream Watershed-wide Compliance Site Data for Chino Creek at Central Avenue</w:t>
        </w:r>
        <w:r>
          <w:rPr>
            <w:noProof/>
          </w:rPr>
          <w:tab/>
        </w:r>
        <w:r>
          <w:rPr>
            <w:noProof/>
          </w:rPr>
          <w:fldChar w:fldCharType="begin"/>
        </w:r>
        <w:r>
          <w:rPr>
            <w:noProof/>
          </w:rPr>
          <w:instrText xml:space="preserve"> PAGEREF _Toc217394769 \h </w:instrText>
        </w:r>
        <w:r>
          <w:rPr>
            <w:noProof/>
          </w:rPr>
        </w:r>
        <w:r>
          <w:rPr>
            <w:noProof/>
          </w:rPr>
          <w:fldChar w:fldCharType="separate"/>
        </w:r>
        <w:r w:rsidR="00785944">
          <w:rPr>
            <w:noProof/>
          </w:rPr>
          <w:t>3-21</w:t>
        </w:r>
        <w:r>
          <w:rPr>
            <w:noProof/>
          </w:rPr>
          <w:fldChar w:fldCharType="end"/>
        </w:r>
      </w:hyperlink>
    </w:p>
    <w:p w14:paraId="1831E5A5" w14:textId="0642876A"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0" w:history="1">
        <w:r w:rsidRPr="000750A4">
          <w:rPr>
            <w:rStyle w:val="Hyperlink"/>
            <w:noProof/>
          </w:rPr>
          <w:t>Figure 3</w:t>
        </w:r>
        <w:r w:rsidRPr="000750A4">
          <w:rPr>
            <w:rStyle w:val="Hyperlink"/>
            <w:noProof/>
          </w:rPr>
          <w:noBreakHyphen/>
          <w:t xml:space="preserve">17. Relative Loading from Tier 1 Sites to Total MS4 </w:t>
        </w:r>
        <w:r w:rsidRPr="000750A4">
          <w:rPr>
            <w:rStyle w:val="Hyperlink"/>
            <w:i/>
            <w:noProof/>
          </w:rPr>
          <w:t>E. coli</w:t>
        </w:r>
        <w:r w:rsidRPr="000750A4">
          <w:rPr>
            <w:rStyle w:val="Hyperlink"/>
            <w:noProof/>
          </w:rPr>
          <w:t xml:space="preserve"> Loads to the Chino Creek at Central Avenue Compliance Site</w:t>
        </w:r>
        <w:r>
          <w:rPr>
            <w:noProof/>
          </w:rPr>
          <w:tab/>
        </w:r>
        <w:r>
          <w:rPr>
            <w:noProof/>
          </w:rPr>
          <w:fldChar w:fldCharType="begin"/>
        </w:r>
        <w:r>
          <w:rPr>
            <w:noProof/>
          </w:rPr>
          <w:instrText xml:space="preserve"> PAGEREF _Toc217394770 \h </w:instrText>
        </w:r>
        <w:r>
          <w:rPr>
            <w:noProof/>
          </w:rPr>
        </w:r>
        <w:r>
          <w:rPr>
            <w:noProof/>
          </w:rPr>
          <w:fldChar w:fldCharType="separate"/>
        </w:r>
        <w:r w:rsidR="00785944">
          <w:rPr>
            <w:noProof/>
          </w:rPr>
          <w:t>3-21</w:t>
        </w:r>
        <w:r>
          <w:rPr>
            <w:noProof/>
          </w:rPr>
          <w:fldChar w:fldCharType="end"/>
        </w:r>
      </w:hyperlink>
    </w:p>
    <w:p w14:paraId="4D43B040" w14:textId="4002AEC1"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1" w:history="1">
        <w:r w:rsidRPr="000750A4">
          <w:rPr>
            <w:rStyle w:val="Hyperlink"/>
            <w:noProof/>
          </w:rPr>
          <w:t>Figure 3</w:t>
        </w:r>
        <w:r w:rsidRPr="000750A4">
          <w:rPr>
            <w:rStyle w:val="Hyperlink"/>
            <w:noProof/>
          </w:rPr>
          <w:noBreakHyphen/>
          <w:t>18. Schematic of Dry Weather Flow Retention and Key Inflows to Cucamonga Creek</w:t>
        </w:r>
        <w:r>
          <w:rPr>
            <w:noProof/>
          </w:rPr>
          <w:tab/>
        </w:r>
        <w:r>
          <w:rPr>
            <w:noProof/>
          </w:rPr>
          <w:fldChar w:fldCharType="begin"/>
        </w:r>
        <w:r>
          <w:rPr>
            <w:noProof/>
          </w:rPr>
          <w:instrText xml:space="preserve"> PAGEREF _Toc217394771 \h </w:instrText>
        </w:r>
        <w:r>
          <w:rPr>
            <w:noProof/>
          </w:rPr>
        </w:r>
        <w:r>
          <w:rPr>
            <w:noProof/>
          </w:rPr>
          <w:fldChar w:fldCharType="separate"/>
        </w:r>
        <w:r w:rsidR="00785944">
          <w:rPr>
            <w:noProof/>
          </w:rPr>
          <w:t>3-23</w:t>
        </w:r>
        <w:r>
          <w:rPr>
            <w:noProof/>
          </w:rPr>
          <w:fldChar w:fldCharType="end"/>
        </w:r>
      </w:hyperlink>
    </w:p>
    <w:p w14:paraId="38CD61C4" w14:textId="37FE88A6"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2" w:history="1">
        <w:r w:rsidRPr="000750A4">
          <w:rPr>
            <w:rStyle w:val="Hyperlink"/>
            <w:noProof/>
          </w:rPr>
          <w:t>Figure 3</w:t>
        </w:r>
        <w:r w:rsidRPr="000750A4">
          <w:rPr>
            <w:rStyle w:val="Hyperlink"/>
            <w:noProof/>
          </w:rPr>
          <w:noBreakHyphen/>
          <w:t>19. USGS Gauge 15-Minute Interval Flow at Cucamonga Creek near Mira Loma on 2025 Synoptic Study Dates</w:t>
        </w:r>
        <w:r>
          <w:rPr>
            <w:noProof/>
          </w:rPr>
          <w:tab/>
        </w:r>
        <w:r>
          <w:rPr>
            <w:noProof/>
          </w:rPr>
          <w:fldChar w:fldCharType="begin"/>
        </w:r>
        <w:r>
          <w:rPr>
            <w:noProof/>
          </w:rPr>
          <w:instrText xml:space="preserve"> PAGEREF _Toc217394772 \h </w:instrText>
        </w:r>
        <w:r>
          <w:rPr>
            <w:noProof/>
          </w:rPr>
        </w:r>
        <w:r>
          <w:rPr>
            <w:noProof/>
          </w:rPr>
          <w:fldChar w:fldCharType="separate"/>
        </w:r>
        <w:r w:rsidR="00785944">
          <w:rPr>
            <w:noProof/>
          </w:rPr>
          <w:t>3-25</w:t>
        </w:r>
        <w:r>
          <w:rPr>
            <w:noProof/>
          </w:rPr>
          <w:fldChar w:fldCharType="end"/>
        </w:r>
      </w:hyperlink>
    </w:p>
    <w:p w14:paraId="3A2C5FDD" w14:textId="02776D13"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3" w:history="1">
        <w:r w:rsidRPr="000750A4">
          <w:rPr>
            <w:rStyle w:val="Hyperlink"/>
            <w:noProof/>
          </w:rPr>
          <w:t>Figure 3</w:t>
        </w:r>
        <w:r w:rsidRPr="000750A4">
          <w:rPr>
            <w:rStyle w:val="Hyperlink"/>
            <w:noProof/>
          </w:rPr>
          <w:noBreakHyphen/>
          <w:t xml:space="preserve">20. Longitudinal Profile of Dry Weather </w:t>
        </w:r>
        <w:r w:rsidRPr="000750A4">
          <w:rPr>
            <w:rStyle w:val="Hyperlink"/>
            <w:i/>
            <w:noProof/>
          </w:rPr>
          <w:t>E. coli</w:t>
        </w:r>
        <w:r w:rsidRPr="000750A4">
          <w:rPr>
            <w:rStyle w:val="Hyperlink"/>
            <w:noProof/>
          </w:rPr>
          <w:t xml:space="preserve"> Loads within Cucamonga Creek (n = 70; 2017-2025)</w:t>
        </w:r>
        <w:r>
          <w:rPr>
            <w:noProof/>
          </w:rPr>
          <w:tab/>
        </w:r>
        <w:r>
          <w:rPr>
            <w:noProof/>
          </w:rPr>
          <w:fldChar w:fldCharType="begin"/>
        </w:r>
        <w:r>
          <w:rPr>
            <w:noProof/>
          </w:rPr>
          <w:instrText xml:space="preserve"> PAGEREF _Toc217394773 \h </w:instrText>
        </w:r>
        <w:r>
          <w:rPr>
            <w:noProof/>
          </w:rPr>
        </w:r>
        <w:r>
          <w:rPr>
            <w:noProof/>
          </w:rPr>
          <w:fldChar w:fldCharType="separate"/>
        </w:r>
        <w:r w:rsidR="00785944">
          <w:rPr>
            <w:noProof/>
          </w:rPr>
          <w:t>3-26</w:t>
        </w:r>
        <w:r>
          <w:rPr>
            <w:noProof/>
          </w:rPr>
          <w:fldChar w:fldCharType="end"/>
        </w:r>
      </w:hyperlink>
    </w:p>
    <w:p w14:paraId="53667BF3" w14:textId="7F8A13E7"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4" w:history="1">
        <w:r w:rsidRPr="000750A4">
          <w:rPr>
            <w:rStyle w:val="Hyperlink"/>
            <w:noProof/>
          </w:rPr>
          <w:t>Figure 3</w:t>
        </w:r>
        <w:r w:rsidRPr="000750A4">
          <w:rPr>
            <w:rStyle w:val="Hyperlink"/>
            <w:noProof/>
          </w:rPr>
          <w:noBreakHyphen/>
          <w:t>21. HF183 Geometric Mean Concentrations for Water Quality Samples Collected During the 2025 Synoptic Study</w:t>
        </w:r>
        <w:r>
          <w:rPr>
            <w:noProof/>
          </w:rPr>
          <w:tab/>
        </w:r>
        <w:r>
          <w:rPr>
            <w:noProof/>
          </w:rPr>
          <w:fldChar w:fldCharType="begin"/>
        </w:r>
        <w:r>
          <w:rPr>
            <w:noProof/>
          </w:rPr>
          <w:instrText xml:space="preserve"> PAGEREF _Toc217394774 \h </w:instrText>
        </w:r>
        <w:r>
          <w:rPr>
            <w:noProof/>
          </w:rPr>
        </w:r>
        <w:r>
          <w:rPr>
            <w:noProof/>
          </w:rPr>
          <w:fldChar w:fldCharType="separate"/>
        </w:r>
        <w:r w:rsidR="00785944">
          <w:rPr>
            <w:noProof/>
          </w:rPr>
          <w:t>3-30</w:t>
        </w:r>
        <w:r>
          <w:rPr>
            <w:noProof/>
          </w:rPr>
          <w:fldChar w:fldCharType="end"/>
        </w:r>
      </w:hyperlink>
    </w:p>
    <w:p w14:paraId="1DADEAE0" w14:textId="7467D083"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5" w:history="1">
        <w:r w:rsidRPr="000750A4">
          <w:rPr>
            <w:rStyle w:val="Hyperlink"/>
            <w:noProof/>
          </w:rPr>
          <w:t>Figure 3</w:t>
        </w:r>
        <w:r w:rsidRPr="000750A4">
          <w:rPr>
            <w:rStyle w:val="Hyperlink"/>
            <w:noProof/>
          </w:rPr>
          <w:noBreakHyphen/>
          <w:t xml:space="preserve">22. Box-Whisker Plots of </w:t>
        </w:r>
        <w:r w:rsidRPr="000750A4">
          <w:rPr>
            <w:rStyle w:val="Hyperlink"/>
            <w:i/>
            <w:noProof/>
          </w:rPr>
          <w:t xml:space="preserve">E. coli </w:t>
        </w:r>
        <w:r w:rsidRPr="000750A4">
          <w:rPr>
            <w:rStyle w:val="Hyperlink"/>
            <w:noProof/>
          </w:rPr>
          <w:t>Concentrations in Samples with/without Detection/Amplification of HF183 for MS4 and Mainstem Sites</w:t>
        </w:r>
        <w:r>
          <w:rPr>
            <w:noProof/>
          </w:rPr>
          <w:tab/>
        </w:r>
        <w:r>
          <w:rPr>
            <w:noProof/>
          </w:rPr>
          <w:fldChar w:fldCharType="begin"/>
        </w:r>
        <w:r>
          <w:rPr>
            <w:noProof/>
          </w:rPr>
          <w:instrText xml:space="preserve"> PAGEREF _Toc217394775 \h </w:instrText>
        </w:r>
        <w:r>
          <w:rPr>
            <w:noProof/>
          </w:rPr>
        </w:r>
        <w:r>
          <w:rPr>
            <w:noProof/>
          </w:rPr>
          <w:fldChar w:fldCharType="separate"/>
        </w:r>
        <w:r w:rsidR="00785944">
          <w:rPr>
            <w:noProof/>
          </w:rPr>
          <w:t>3-33</w:t>
        </w:r>
        <w:r>
          <w:rPr>
            <w:noProof/>
          </w:rPr>
          <w:fldChar w:fldCharType="end"/>
        </w:r>
      </w:hyperlink>
    </w:p>
    <w:p w14:paraId="341865CC" w14:textId="417A3336"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6" w:history="1">
        <w:r w:rsidRPr="000750A4">
          <w:rPr>
            <w:rStyle w:val="Hyperlink"/>
            <w:noProof/>
          </w:rPr>
          <w:t>Figure 3</w:t>
        </w:r>
        <w:r w:rsidRPr="000750A4">
          <w:rPr>
            <w:rStyle w:val="Hyperlink"/>
            <w:noProof/>
          </w:rPr>
          <w:noBreakHyphen/>
          <w:t>23. DWF Generation Rates at Each Tier 1 Site on Synoptic Study Sample Dates</w:t>
        </w:r>
        <w:r>
          <w:rPr>
            <w:noProof/>
          </w:rPr>
          <w:tab/>
        </w:r>
        <w:r>
          <w:rPr>
            <w:noProof/>
          </w:rPr>
          <w:fldChar w:fldCharType="begin"/>
        </w:r>
        <w:r>
          <w:rPr>
            <w:noProof/>
          </w:rPr>
          <w:instrText xml:space="preserve"> PAGEREF _Toc217394776 \h </w:instrText>
        </w:r>
        <w:r>
          <w:rPr>
            <w:noProof/>
          </w:rPr>
        </w:r>
        <w:r>
          <w:rPr>
            <w:noProof/>
          </w:rPr>
          <w:fldChar w:fldCharType="separate"/>
        </w:r>
        <w:r w:rsidR="00785944">
          <w:rPr>
            <w:noProof/>
          </w:rPr>
          <w:t>3-37</w:t>
        </w:r>
        <w:r>
          <w:rPr>
            <w:noProof/>
          </w:rPr>
          <w:fldChar w:fldCharType="end"/>
        </w:r>
      </w:hyperlink>
    </w:p>
    <w:p w14:paraId="27061575" w14:textId="74EED971"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7" w:history="1">
        <w:r w:rsidRPr="000750A4">
          <w:rPr>
            <w:rStyle w:val="Hyperlink"/>
            <w:noProof/>
          </w:rPr>
          <w:t>Figure 3</w:t>
        </w:r>
        <w:r w:rsidRPr="000750A4">
          <w:rPr>
            <w:rStyle w:val="Hyperlink"/>
            <w:noProof/>
          </w:rPr>
          <w:noBreakHyphen/>
          <w:t>24. E. coli Loads at Each Tier 1 Site on Synoptic Study Sample Dates</w:t>
        </w:r>
        <w:r>
          <w:rPr>
            <w:noProof/>
          </w:rPr>
          <w:tab/>
        </w:r>
        <w:r>
          <w:rPr>
            <w:noProof/>
          </w:rPr>
          <w:fldChar w:fldCharType="begin"/>
        </w:r>
        <w:r>
          <w:rPr>
            <w:noProof/>
          </w:rPr>
          <w:instrText xml:space="preserve"> PAGEREF _Toc217394777 \h </w:instrText>
        </w:r>
        <w:r>
          <w:rPr>
            <w:noProof/>
          </w:rPr>
        </w:r>
        <w:r>
          <w:rPr>
            <w:noProof/>
          </w:rPr>
          <w:fldChar w:fldCharType="separate"/>
        </w:r>
        <w:r w:rsidR="00785944">
          <w:rPr>
            <w:noProof/>
          </w:rPr>
          <w:t>3-37</w:t>
        </w:r>
        <w:r>
          <w:rPr>
            <w:noProof/>
          </w:rPr>
          <w:fldChar w:fldCharType="end"/>
        </w:r>
      </w:hyperlink>
    </w:p>
    <w:p w14:paraId="2F71F4E2" w14:textId="3B0AAAC5"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8" w:history="1">
        <w:r w:rsidRPr="000750A4">
          <w:rPr>
            <w:rStyle w:val="Hyperlink"/>
            <w:noProof/>
          </w:rPr>
          <w:t>Figure 3</w:t>
        </w:r>
        <w:r w:rsidRPr="000750A4">
          <w:rPr>
            <w:rStyle w:val="Hyperlink"/>
            <w:noProof/>
          </w:rPr>
          <w:noBreakHyphen/>
          <w:t>25. Concentration of Detected HF183 at Tier 1 and 2 Sites</w:t>
        </w:r>
        <w:r>
          <w:rPr>
            <w:noProof/>
          </w:rPr>
          <w:tab/>
        </w:r>
        <w:r>
          <w:rPr>
            <w:noProof/>
          </w:rPr>
          <w:fldChar w:fldCharType="begin"/>
        </w:r>
        <w:r>
          <w:rPr>
            <w:noProof/>
          </w:rPr>
          <w:instrText xml:space="preserve"> PAGEREF _Toc217394778 \h </w:instrText>
        </w:r>
        <w:r>
          <w:rPr>
            <w:noProof/>
          </w:rPr>
        </w:r>
        <w:r>
          <w:rPr>
            <w:noProof/>
          </w:rPr>
          <w:fldChar w:fldCharType="separate"/>
        </w:r>
        <w:r w:rsidR="00785944">
          <w:rPr>
            <w:noProof/>
          </w:rPr>
          <w:t>3-38</w:t>
        </w:r>
        <w:r>
          <w:rPr>
            <w:noProof/>
          </w:rPr>
          <w:fldChar w:fldCharType="end"/>
        </w:r>
      </w:hyperlink>
    </w:p>
    <w:p w14:paraId="41CC519A" w14:textId="68C9F549"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79" w:history="1">
        <w:r w:rsidRPr="000750A4">
          <w:rPr>
            <w:rStyle w:val="Hyperlink"/>
            <w:noProof/>
          </w:rPr>
          <w:t>Figure 3</w:t>
        </w:r>
        <w:r w:rsidRPr="000750A4">
          <w:rPr>
            <w:rStyle w:val="Hyperlink"/>
            <w:noProof/>
          </w:rPr>
          <w:noBreakHyphen/>
          <w:t>26. Bacteria Prioritization Score for Tier 1 and 2 Sites</w:t>
        </w:r>
        <w:r>
          <w:rPr>
            <w:noProof/>
          </w:rPr>
          <w:tab/>
        </w:r>
        <w:r>
          <w:rPr>
            <w:noProof/>
          </w:rPr>
          <w:fldChar w:fldCharType="begin"/>
        </w:r>
        <w:r>
          <w:rPr>
            <w:noProof/>
          </w:rPr>
          <w:instrText xml:space="preserve"> PAGEREF _Toc217394779 \h </w:instrText>
        </w:r>
        <w:r>
          <w:rPr>
            <w:noProof/>
          </w:rPr>
        </w:r>
        <w:r>
          <w:rPr>
            <w:noProof/>
          </w:rPr>
          <w:fldChar w:fldCharType="separate"/>
        </w:r>
        <w:r w:rsidR="00785944">
          <w:rPr>
            <w:noProof/>
          </w:rPr>
          <w:t>3-40</w:t>
        </w:r>
        <w:r>
          <w:rPr>
            <w:noProof/>
          </w:rPr>
          <w:fldChar w:fldCharType="end"/>
        </w:r>
      </w:hyperlink>
    </w:p>
    <w:p w14:paraId="56635012" w14:textId="38A227DD"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80" w:history="1">
        <w:r w:rsidRPr="000750A4">
          <w:rPr>
            <w:rStyle w:val="Hyperlink"/>
            <w:noProof/>
          </w:rPr>
          <w:t>Figure 4</w:t>
        </w:r>
        <w:r w:rsidRPr="000750A4">
          <w:rPr>
            <w:rStyle w:val="Hyperlink"/>
            <w:noProof/>
          </w:rPr>
          <w:noBreakHyphen/>
          <w:t>1. Sampling Locations to Assess Effectiveness of the Mill Creek Wetlands</w:t>
        </w:r>
        <w:r>
          <w:rPr>
            <w:noProof/>
          </w:rPr>
          <w:tab/>
        </w:r>
        <w:r>
          <w:rPr>
            <w:noProof/>
          </w:rPr>
          <w:fldChar w:fldCharType="begin"/>
        </w:r>
        <w:r>
          <w:rPr>
            <w:noProof/>
          </w:rPr>
          <w:instrText xml:space="preserve"> PAGEREF _Toc217394780 \h </w:instrText>
        </w:r>
        <w:r>
          <w:rPr>
            <w:noProof/>
          </w:rPr>
        </w:r>
        <w:r>
          <w:rPr>
            <w:noProof/>
          </w:rPr>
          <w:fldChar w:fldCharType="separate"/>
        </w:r>
        <w:r w:rsidR="00785944">
          <w:rPr>
            <w:noProof/>
          </w:rPr>
          <w:t>4-1</w:t>
        </w:r>
        <w:r>
          <w:rPr>
            <w:noProof/>
          </w:rPr>
          <w:fldChar w:fldCharType="end"/>
        </w:r>
      </w:hyperlink>
    </w:p>
    <w:p w14:paraId="3B039530" w14:textId="74F21891"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81" w:history="1">
        <w:r w:rsidRPr="000750A4">
          <w:rPr>
            <w:rStyle w:val="Hyperlink"/>
            <w:noProof/>
          </w:rPr>
          <w:t>Figure 4</w:t>
        </w:r>
        <w:r w:rsidRPr="000750A4">
          <w:rPr>
            <w:rStyle w:val="Hyperlink"/>
            <w:noProof/>
          </w:rPr>
          <w:noBreakHyphen/>
          <w:t>2. Strategic Vision for a Multi-Benefit Water Quality Strategy in the MSAR</w:t>
        </w:r>
        <w:r>
          <w:rPr>
            <w:noProof/>
          </w:rPr>
          <w:tab/>
        </w:r>
        <w:r>
          <w:rPr>
            <w:noProof/>
          </w:rPr>
          <w:fldChar w:fldCharType="begin"/>
        </w:r>
        <w:r>
          <w:rPr>
            <w:noProof/>
          </w:rPr>
          <w:instrText xml:space="preserve"> PAGEREF _Toc217394781 \h </w:instrText>
        </w:r>
        <w:r>
          <w:rPr>
            <w:noProof/>
          </w:rPr>
        </w:r>
        <w:r>
          <w:rPr>
            <w:noProof/>
          </w:rPr>
          <w:fldChar w:fldCharType="separate"/>
        </w:r>
        <w:r w:rsidR="00785944">
          <w:rPr>
            <w:noProof/>
          </w:rPr>
          <w:t>4-3</w:t>
        </w:r>
        <w:r>
          <w:rPr>
            <w:noProof/>
          </w:rPr>
          <w:fldChar w:fldCharType="end"/>
        </w:r>
      </w:hyperlink>
    </w:p>
    <w:p w14:paraId="137F1354" w14:textId="66CE33FE" w:rsidR="0023167A" w:rsidRDefault="0023167A" w:rsidP="0023167A">
      <w:pPr>
        <w:pStyle w:val="TableofFigures"/>
        <w:tabs>
          <w:tab w:val="right" w:leader="dot" w:pos="8990"/>
        </w:tabs>
        <w:ind w:left="1170" w:hanging="1170"/>
        <w:rPr>
          <w:rFonts w:asciiTheme="minorHAnsi" w:eastAsiaTheme="minorEastAsia" w:hAnsiTheme="minorHAnsi" w:cstheme="minorBidi"/>
          <w:noProof/>
          <w:kern w:val="2"/>
          <w:szCs w:val="24"/>
          <w14:ligatures w14:val="standardContextual"/>
        </w:rPr>
      </w:pPr>
      <w:hyperlink w:anchor="_Toc217394782" w:history="1">
        <w:r w:rsidRPr="000750A4">
          <w:rPr>
            <w:rStyle w:val="Hyperlink"/>
            <w:noProof/>
          </w:rPr>
          <w:t>Figure 5</w:t>
        </w:r>
        <w:r w:rsidRPr="000750A4">
          <w:rPr>
            <w:rStyle w:val="Hyperlink"/>
            <w:noProof/>
          </w:rPr>
          <w:noBreakHyphen/>
          <w:t>1. Framework for Study to Advance Understanding of In-Stream Fecal Bacteria Sources in Reach 3 of the SAR.</w:t>
        </w:r>
        <w:r>
          <w:rPr>
            <w:noProof/>
          </w:rPr>
          <w:tab/>
        </w:r>
        <w:r>
          <w:rPr>
            <w:noProof/>
          </w:rPr>
          <w:fldChar w:fldCharType="begin"/>
        </w:r>
        <w:r>
          <w:rPr>
            <w:noProof/>
          </w:rPr>
          <w:instrText xml:space="preserve"> PAGEREF _Toc217394782 \h </w:instrText>
        </w:r>
        <w:r>
          <w:rPr>
            <w:noProof/>
          </w:rPr>
        </w:r>
        <w:r>
          <w:rPr>
            <w:noProof/>
          </w:rPr>
          <w:fldChar w:fldCharType="separate"/>
        </w:r>
        <w:r w:rsidR="00785944">
          <w:rPr>
            <w:noProof/>
          </w:rPr>
          <w:t>5-2</w:t>
        </w:r>
        <w:r>
          <w:rPr>
            <w:noProof/>
          </w:rPr>
          <w:fldChar w:fldCharType="end"/>
        </w:r>
      </w:hyperlink>
    </w:p>
    <w:p w14:paraId="78CE2E06" w14:textId="0D153C89" w:rsidR="0023167A" w:rsidRDefault="0023167A" w:rsidP="00C00CB6">
      <w:pPr>
        <w:pStyle w:val="BodyText"/>
        <w:spacing w:before="240" w:after="120"/>
        <w:rPr>
          <w:rFonts w:ascii="Arial" w:hAnsi="Arial" w:cs="Arial"/>
          <w:b/>
          <w:bCs/>
        </w:rPr>
      </w:pPr>
      <w:r>
        <w:rPr>
          <w:rFonts w:ascii="Arial" w:hAnsi="Arial" w:cs="Arial"/>
          <w:b/>
          <w:bCs/>
        </w:rPr>
        <w:fldChar w:fldCharType="end"/>
      </w:r>
    </w:p>
    <w:p w14:paraId="4559F6DD" w14:textId="7DCECDCE" w:rsidR="00256711" w:rsidRDefault="00256711" w:rsidP="00C00CB6">
      <w:pPr>
        <w:pStyle w:val="BodyText"/>
        <w:spacing w:before="240" w:after="120"/>
        <w:rPr>
          <w:rFonts w:ascii="Arial" w:hAnsi="Arial" w:cs="Arial"/>
          <w:b/>
          <w:bCs/>
        </w:rPr>
      </w:pPr>
      <w:r>
        <w:rPr>
          <w:rFonts w:ascii="Arial" w:hAnsi="Arial" w:cs="Arial"/>
          <w:b/>
          <w:bCs/>
        </w:rPr>
        <w:t>List of Tables</w:t>
      </w:r>
    </w:p>
    <w:p w14:paraId="5FD0EC0B" w14:textId="75ECA9E3" w:rsidR="00FE614C" w:rsidRDefault="000C3A43"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r>
        <w:fldChar w:fldCharType="begin"/>
      </w:r>
      <w:r>
        <w:instrText xml:space="preserve"> TOC \</w:instrText>
      </w:r>
      <w:r w:rsidR="00262350">
        <w:instrText>h\</w:instrText>
      </w:r>
      <w:r>
        <w:instrText xml:space="preserve">c "Table" </w:instrText>
      </w:r>
      <w:r>
        <w:fldChar w:fldCharType="separate"/>
      </w:r>
      <w:hyperlink w:anchor="_Toc217391752" w:history="1">
        <w:r w:rsidR="00FE614C" w:rsidRPr="009C1236">
          <w:rPr>
            <w:rStyle w:val="Hyperlink"/>
            <w:noProof/>
          </w:rPr>
          <w:t>Table 1</w:t>
        </w:r>
        <w:r w:rsidR="00FE614C" w:rsidRPr="009C1236">
          <w:rPr>
            <w:rStyle w:val="Hyperlink"/>
            <w:noProof/>
          </w:rPr>
          <w:noBreakHyphen/>
          <w:t>1. MSAR Watershed Phase 1 TMDL Implementation Plan</w:t>
        </w:r>
        <w:r w:rsidR="00FE614C">
          <w:rPr>
            <w:noProof/>
          </w:rPr>
          <w:tab/>
        </w:r>
        <w:r w:rsidR="00FE614C">
          <w:rPr>
            <w:noProof/>
          </w:rPr>
          <w:fldChar w:fldCharType="begin"/>
        </w:r>
        <w:r w:rsidR="00FE614C">
          <w:rPr>
            <w:noProof/>
          </w:rPr>
          <w:instrText xml:space="preserve"> PAGEREF _Toc217391752 \h </w:instrText>
        </w:r>
        <w:r w:rsidR="00FE614C">
          <w:rPr>
            <w:noProof/>
          </w:rPr>
        </w:r>
        <w:r w:rsidR="00FE614C">
          <w:rPr>
            <w:noProof/>
          </w:rPr>
          <w:fldChar w:fldCharType="separate"/>
        </w:r>
        <w:r w:rsidR="00785944">
          <w:rPr>
            <w:noProof/>
          </w:rPr>
          <w:t>1-4</w:t>
        </w:r>
        <w:r w:rsidR="00FE614C">
          <w:rPr>
            <w:noProof/>
          </w:rPr>
          <w:fldChar w:fldCharType="end"/>
        </w:r>
      </w:hyperlink>
    </w:p>
    <w:p w14:paraId="6CFC5D67" w14:textId="5F831382"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53" w:history="1">
        <w:r w:rsidRPr="009C1236">
          <w:rPr>
            <w:rStyle w:val="Hyperlink"/>
            <w:noProof/>
          </w:rPr>
          <w:t>Table 2</w:t>
        </w:r>
        <w:r w:rsidRPr="009C1236">
          <w:rPr>
            <w:rStyle w:val="Hyperlink"/>
            <w:noProof/>
          </w:rPr>
          <w:noBreakHyphen/>
          <w:t>1. MSAR TMDLs Watershed-wide Monitoring Sites</w:t>
        </w:r>
        <w:r>
          <w:rPr>
            <w:noProof/>
          </w:rPr>
          <w:tab/>
        </w:r>
        <w:r>
          <w:rPr>
            <w:noProof/>
          </w:rPr>
          <w:fldChar w:fldCharType="begin"/>
        </w:r>
        <w:r>
          <w:rPr>
            <w:noProof/>
          </w:rPr>
          <w:instrText xml:space="preserve"> PAGEREF _Toc217391753 \h </w:instrText>
        </w:r>
        <w:r>
          <w:rPr>
            <w:noProof/>
          </w:rPr>
        </w:r>
        <w:r>
          <w:rPr>
            <w:noProof/>
          </w:rPr>
          <w:fldChar w:fldCharType="separate"/>
        </w:r>
        <w:r w:rsidR="00785944">
          <w:rPr>
            <w:noProof/>
          </w:rPr>
          <w:t>2-3</w:t>
        </w:r>
        <w:r>
          <w:rPr>
            <w:noProof/>
          </w:rPr>
          <w:fldChar w:fldCharType="end"/>
        </w:r>
      </w:hyperlink>
    </w:p>
    <w:p w14:paraId="2898187A" w14:textId="19F64770"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54" w:history="1">
        <w:r w:rsidRPr="009C1236">
          <w:rPr>
            <w:rStyle w:val="Hyperlink"/>
            <w:noProof/>
          </w:rPr>
          <w:t>Table 2</w:t>
        </w:r>
        <w:r w:rsidRPr="009C1236">
          <w:rPr>
            <w:rStyle w:val="Hyperlink"/>
            <w:noProof/>
          </w:rPr>
          <w:noBreakHyphen/>
          <w:t>2. Summary of Water Sample Collection Activity during 2023-2025 Period</w:t>
        </w:r>
        <w:r>
          <w:rPr>
            <w:noProof/>
          </w:rPr>
          <w:tab/>
        </w:r>
        <w:r>
          <w:rPr>
            <w:noProof/>
          </w:rPr>
          <w:fldChar w:fldCharType="begin"/>
        </w:r>
        <w:r>
          <w:rPr>
            <w:noProof/>
          </w:rPr>
          <w:instrText xml:space="preserve"> PAGEREF _Toc217391754 \h </w:instrText>
        </w:r>
        <w:r>
          <w:rPr>
            <w:noProof/>
          </w:rPr>
        </w:r>
        <w:r>
          <w:rPr>
            <w:noProof/>
          </w:rPr>
          <w:fldChar w:fldCharType="separate"/>
        </w:r>
        <w:r w:rsidR="00785944">
          <w:rPr>
            <w:noProof/>
          </w:rPr>
          <w:t>2-4</w:t>
        </w:r>
        <w:r>
          <w:rPr>
            <w:noProof/>
          </w:rPr>
          <w:fldChar w:fldCharType="end"/>
        </w:r>
      </w:hyperlink>
    </w:p>
    <w:p w14:paraId="6DEFD510" w14:textId="6D1257F4"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55" w:history="1">
        <w:r w:rsidRPr="009C1236">
          <w:rPr>
            <w:rStyle w:val="Hyperlink"/>
            <w:noProof/>
          </w:rPr>
          <w:t>Table 2</w:t>
        </w:r>
        <w:r w:rsidRPr="009C1236">
          <w:rPr>
            <w:rStyle w:val="Hyperlink"/>
            <w:noProof/>
          </w:rPr>
          <w:noBreakHyphen/>
          <w:t>3. Wet Event Samples Classified as Either Active Wet Weather or Post-Storm in the MSAR Watershed</w:t>
        </w:r>
        <w:r>
          <w:rPr>
            <w:noProof/>
          </w:rPr>
          <w:tab/>
        </w:r>
        <w:r>
          <w:rPr>
            <w:noProof/>
          </w:rPr>
          <w:fldChar w:fldCharType="begin"/>
        </w:r>
        <w:r>
          <w:rPr>
            <w:noProof/>
          </w:rPr>
          <w:instrText xml:space="preserve"> PAGEREF _Toc217391755 \h </w:instrText>
        </w:r>
        <w:r>
          <w:rPr>
            <w:noProof/>
          </w:rPr>
        </w:r>
        <w:r>
          <w:rPr>
            <w:noProof/>
          </w:rPr>
          <w:fldChar w:fldCharType="separate"/>
        </w:r>
        <w:r w:rsidR="00785944">
          <w:rPr>
            <w:noProof/>
          </w:rPr>
          <w:t>2-6</w:t>
        </w:r>
        <w:r>
          <w:rPr>
            <w:noProof/>
          </w:rPr>
          <w:fldChar w:fldCharType="end"/>
        </w:r>
      </w:hyperlink>
    </w:p>
    <w:p w14:paraId="24CDB15D" w14:textId="44E2957E"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56" w:history="1">
        <w:r w:rsidRPr="009C1236">
          <w:rPr>
            <w:rStyle w:val="Hyperlink"/>
            <w:noProof/>
          </w:rPr>
          <w:t>Table 2</w:t>
        </w:r>
        <w:r w:rsidRPr="009C1236">
          <w:rPr>
            <w:rStyle w:val="Hyperlink"/>
            <w:noProof/>
          </w:rPr>
          <w:noBreakHyphen/>
          <w:t xml:space="preserve">4. Dry Weather Exceedance Frequencies of WLAs/LAs for </w:t>
        </w:r>
        <w:r w:rsidRPr="009C1236">
          <w:rPr>
            <w:rStyle w:val="Hyperlink"/>
            <w:i/>
            <w:noProof/>
          </w:rPr>
          <w:t>E. coli</w:t>
        </w:r>
        <w:r w:rsidRPr="009C1236">
          <w:rPr>
            <w:rStyle w:val="Hyperlink"/>
            <w:noProof/>
          </w:rPr>
          <w:t xml:space="preserve"> during the 2023, 2024 and 2025 Warm Seasons</w:t>
        </w:r>
        <w:r>
          <w:rPr>
            <w:noProof/>
          </w:rPr>
          <w:tab/>
        </w:r>
        <w:r>
          <w:rPr>
            <w:noProof/>
          </w:rPr>
          <w:fldChar w:fldCharType="begin"/>
        </w:r>
        <w:r>
          <w:rPr>
            <w:noProof/>
          </w:rPr>
          <w:instrText xml:space="preserve"> PAGEREF _Toc217391756 \h </w:instrText>
        </w:r>
        <w:r>
          <w:rPr>
            <w:noProof/>
          </w:rPr>
        </w:r>
        <w:r>
          <w:rPr>
            <w:noProof/>
          </w:rPr>
          <w:fldChar w:fldCharType="separate"/>
        </w:r>
        <w:r w:rsidR="00785944">
          <w:rPr>
            <w:noProof/>
          </w:rPr>
          <w:t>2-10</w:t>
        </w:r>
        <w:r>
          <w:rPr>
            <w:noProof/>
          </w:rPr>
          <w:fldChar w:fldCharType="end"/>
        </w:r>
      </w:hyperlink>
    </w:p>
    <w:p w14:paraId="0219FBA7" w14:textId="44CA6416"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57" w:history="1">
        <w:r w:rsidRPr="009C1236">
          <w:rPr>
            <w:rStyle w:val="Hyperlink"/>
            <w:noProof/>
          </w:rPr>
          <w:t>Table 2</w:t>
        </w:r>
        <w:r w:rsidRPr="009C1236">
          <w:rPr>
            <w:rStyle w:val="Hyperlink"/>
            <w:noProof/>
          </w:rPr>
          <w:noBreakHyphen/>
          <w:t xml:space="preserve">5. Dry Weather Compliance with WLAs/LAs for </w:t>
        </w:r>
        <w:r w:rsidRPr="009C1236">
          <w:rPr>
            <w:rStyle w:val="Hyperlink"/>
            <w:i/>
            <w:noProof/>
          </w:rPr>
          <w:t>E. coli</w:t>
        </w:r>
        <w:r w:rsidRPr="009C1236">
          <w:rPr>
            <w:rStyle w:val="Hyperlink"/>
            <w:noProof/>
          </w:rPr>
          <w:t xml:space="preserve"> during the 2023, 2024, and 2025 Cool Seasons</w:t>
        </w:r>
        <w:r>
          <w:rPr>
            <w:noProof/>
          </w:rPr>
          <w:tab/>
        </w:r>
        <w:r>
          <w:rPr>
            <w:noProof/>
          </w:rPr>
          <w:fldChar w:fldCharType="begin"/>
        </w:r>
        <w:r>
          <w:rPr>
            <w:noProof/>
          </w:rPr>
          <w:instrText xml:space="preserve"> PAGEREF _Toc217391757 \h </w:instrText>
        </w:r>
        <w:r>
          <w:rPr>
            <w:noProof/>
          </w:rPr>
        </w:r>
        <w:r>
          <w:rPr>
            <w:noProof/>
          </w:rPr>
          <w:fldChar w:fldCharType="separate"/>
        </w:r>
        <w:r w:rsidR="00785944">
          <w:rPr>
            <w:noProof/>
          </w:rPr>
          <w:t>2-11</w:t>
        </w:r>
        <w:r>
          <w:rPr>
            <w:noProof/>
          </w:rPr>
          <w:fldChar w:fldCharType="end"/>
        </w:r>
      </w:hyperlink>
    </w:p>
    <w:p w14:paraId="39D7F85B" w14:textId="2C9573BF"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58" w:history="1">
        <w:r w:rsidRPr="009C1236">
          <w:rPr>
            <w:rStyle w:val="Hyperlink"/>
            <w:noProof/>
          </w:rPr>
          <w:t>Table 3</w:t>
        </w:r>
        <w:r w:rsidRPr="009C1236">
          <w:rPr>
            <w:rStyle w:val="Hyperlink"/>
            <w:noProof/>
          </w:rPr>
          <w:noBreakHyphen/>
          <w:t>1. Categorized Acreage in Each Jurisdiction within the MSAR Watershed</w:t>
        </w:r>
        <w:r>
          <w:rPr>
            <w:noProof/>
          </w:rPr>
          <w:tab/>
        </w:r>
        <w:r>
          <w:rPr>
            <w:noProof/>
          </w:rPr>
          <w:fldChar w:fldCharType="begin"/>
        </w:r>
        <w:r>
          <w:rPr>
            <w:noProof/>
          </w:rPr>
          <w:instrText xml:space="preserve"> PAGEREF _Toc217391758 \h </w:instrText>
        </w:r>
        <w:r>
          <w:rPr>
            <w:noProof/>
          </w:rPr>
        </w:r>
        <w:r>
          <w:rPr>
            <w:noProof/>
          </w:rPr>
          <w:fldChar w:fldCharType="separate"/>
        </w:r>
        <w:r w:rsidR="00785944">
          <w:rPr>
            <w:noProof/>
          </w:rPr>
          <w:t>3-4</w:t>
        </w:r>
        <w:r>
          <w:rPr>
            <w:noProof/>
          </w:rPr>
          <w:fldChar w:fldCharType="end"/>
        </w:r>
      </w:hyperlink>
    </w:p>
    <w:p w14:paraId="2D5F87DD" w14:textId="69CD6622"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59" w:history="1">
        <w:r w:rsidRPr="009C1236">
          <w:rPr>
            <w:rStyle w:val="Hyperlink"/>
            <w:noProof/>
          </w:rPr>
          <w:t>Table 3</w:t>
        </w:r>
        <w:r w:rsidRPr="009C1236">
          <w:rPr>
            <w:rStyle w:val="Hyperlink"/>
            <w:noProof/>
          </w:rPr>
          <w:noBreakHyphen/>
          <w:t>2. Comparison of Average DFW Measurements at Tier 1 Sites from 2007–2025</w:t>
        </w:r>
        <w:r>
          <w:rPr>
            <w:noProof/>
          </w:rPr>
          <w:tab/>
        </w:r>
        <w:r>
          <w:rPr>
            <w:noProof/>
          </w:rPr>
          <w:fldChar w:fldCharType="begin"/>
        </w:r>
        <w:r>
          <w:rPr>
            <w:noProof/>
          </w:rPr>
          <w:instrText xml:space="preserve"> PAGEREF _Toc217391759 \h </w:instrText>
        </w:r>
        <w:r>
          <w:rPr>
            <w:noProof/>
          </w:rPr>
        </w:r>
        <w:r>
          <w:rPr>
            <w:noProof/>
          </w:rPr>
          <w:fldChar w:fldCharType="separate"/>
        </w:r>
        <w:r w:rsidR="00785944">
          <w:rPr>
            <w:noProof/>
          </w:rPr>
          <w:t>3-5</w:t>
        </w:r>
        <w:r>
          <w:rPr>
            <w:noProof/>
          </w:rPr>
          <w:fldChar w:fldCharType="end"/>
        </w:r>
      </w:hyperlink>
    </w:p>
    <w:p w14:paraId="44EBFABB" w14:textId="760C5A87"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0" w:history="1">
        <w:r w:rsidRPr="009C1236">
          <w:rPr>
            <w:rStyle w:val="Hyperlink"/>
            <w:noProof/>
          </w:rPr>
          <w:t>Table 3</w:t>
        </w:r>
        <w:r w:rsidRPr="009C1236">
          <w:rPr>
            <w:rStyle w:val="Hyperlink"/>
            <w:noProof/>
          </w:rPr>
          <w:noBreakHyphen/>
          <w:t>3. CBRP Estimate of Required DWF Reduction Compared to Observed DWF Reduction Since 2007</w:t>
        </w:r>
        <w:r>
          <w:rPr>
            <w:noProof/>
          </w:rPr>
          <w:tab/>
        </w:r>
        <w:r>
          <w:rPr>
            <w:noProof/>
          </w:rPr>
          <w:fldChar w:fldCharType="begin"/>
        </w:r>
        <w:r>
          <w:rPr>
            <w:noProof/>
          </w:rPr>
          <w:instrText xml:space="preserve"> PAGEREF _Toc217391760 \h </w:instrText>
        </w:r>
        <w:r>
          <w:rPr>
            <w:noProof/>
          </w:rPr>
        </w:r>
        <w:r>
          <w:rPr>
            <w:noProof/>
          </w:rPr>
          <w:fldChar w:fldCharType="separate"/>
        </w:r>
        <w:r w:rsidR="00785944">
          <w:rPr>
            <w:noProof/>
          </w:rPr>
          <w:t>3-6</w:t>
        </w:r>
        <w:r>
          <w:rPr>
            <w:noProof/>
          </w:rPr>
          <w:fldChar w:fldCharType="end"/>
        </w:r>
      </w:hyperlink>
    </w:p>
    <w:p w14:paraId="2BFEC2C8" w14:textId="0D211B7E"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1" w:history="1">
        <w:r w:rsidRPr="009C1236">
          <w:rPr>
            <w:rStyle w:val="Hyperlink"/>
            <w:noProof/>
          </w:rPr>
          <w:t>Table 3</w:t>
        </w:r>
        <w:r w:rsidRPr="009C1236">
          <w:rPr>
            <w:rStyle w:val="Hyperlink"/>
            <w:noProof/>
          </w:rPr>
          <w:noBreakHyphen/>
          <w:t>4. Comparison of Median E. coli Load Estimates at Tier 1 Sites in 2007, 2012, 2019, and 2025</w:t>
        </w:r>
        <w:r>
          <w:rPr>
            <w:noProof/>
          </w:rPr>
          <w:tab/>
        </w:r>
        <w:r>
          <w:rPr>
            <w:noProof/>
          </w:rPr>
          <w:fldChar w:fldCharType="begin"/>
        </w:r>
        <w:r>
          <w:rPr>
            <w:noProof/>
          </w:rPr>
          <w:instrText xml:space="preserve"> PAGEREF _Toc217391761 \h </w:instrText>
        </w:r>
        <w:r>
          <w:rPr>
            <w:noProof/>
          </w:rPr>
        </w:r>
        <w:r>
          <w:rPr>
            <w:noProof/>
          </w:rPr>
          <w:fldChar w:fldCharType="separate"/>
        </w:r>
        <w:r w:rsidR="00785944">
          <w:rPr>
            <w:noProof/>
          </w:rPr>
          <w:t>3-12</w:t>
        </w:r>
        <w:r>
          <w:rPr>
            <w:noProof/>
          </w:rPr>
          <w:fldChar w:fldCharType="end"/>
        </w:r>
      </w:hyperlink>
    </w:p>
    <w:p w14:paraId="67834D3E" w14:textId="0B07A180"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2" w:history="1">
        <w:r w:rsidRPr="009C1236">
          <w:rPr>
            <w:rStyle w:val="Hyperlink"/>
            <w:noProof/>
          </w:rPr>
          <w:t>Table 3</w:t>
        </w:r>
        <w:r w:rsidRPr="009C1236">
          <w:rPr>
            <w:rStyle w:val="Hyperlink"/>
            <w:noProof/>
          </w:rPr>
          <w:noBreakHyphen/>
          <w:t>5. Summary of Data Sources (2017-2025) Used to Support Tier 2 Source Investigation in the Cucamonga Creek Subwatershed</w:t>
        </w:r>
        <w:r>
          <w:rPr>
            <w:noProof/>
          </w:rPr>
          <w:tab/>
        </w:r>
        <w:r>
          <w:rPr>
            <w:noProof/>
          </w:rPr>
          <w:fldChar w:fldCharType="begin"/>
        </w:r>
        <w:r>
          <w:rPr>
            <w:noProof/>
          </w:rPr>
          <w:instrText xml:space="preserve"> PAGEREF _Toc217391762 \h </w:instrText>
        </w:r>
        <w:r>
          <w:rPr>
            <w:noProof/>
          </w:rPr>
        </w:r>
        <w:r>
          <w:rPr>
            <w:noProof/>
          </w:rPr>
          <w:fldChar w:fldCharType="separate"/>
        </w:r>
        <w:r w:rsidR="00785944">
          <w:rPr>
            <w:noProof/>
          </w:rPr>
          <w:t>3-24</w:t>
        </w:r>
        <w:r>
          <w:rPr>
            <w:noProof/>
          </w:rPr>
          <w:fldChar w:fldCharType="end"/>
        </w:r>
      </w:hyperlink>
    </w:p>
    <w:p w14:paraId="33373484" w14:textId="7B0BE746"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3" w:history="1">
        <w:r w:rsidRPr="009C1236">
          <w:rPr>
            <w:rStyle w:val="Hyperlink"/>
            <w:noProof/>
          </w:rPr>
          <w:t>Table 3</w:t>
        </w:r>
        <w:r w:rsidRPr="009C1236">
          <w:rPr>
            <w:rStyle w:val="Hyperlink"/>
            <w:noProof/>
          </w:rPr>
          <w:noBreakHyphen/>
          <w:t>6. Summary of E. coli Sample Results in Cucamonga Creek Subwatershed, Tier 2 Source Investigations (2016-2025) (see Figures 3-5 and 4-8 for site locations)</w:t>
        </w:r>
        <w:r>
          <w:rPr>
            <w:noProof/>
          </w:rPr>
          <w:tab/>
        </w:r>
        <w:r>
          <w:rPr>
            <w:noProof/>
          </w:rPr>
          <w:fldChar w:fldCharType="begin"/>
        </w:r>
        <w:r>
          <w:rPr>
            <w:noProof/>
          </w:rPr>
          <w:instrText xml:space="preserve"> PAGEREF _Toc217391763 \h </w:instrText>
        </w:r>
        <w:r>
          <w:rPr>
            <w:noProof/>
          </w:rPr>
        </w:r>
        <w:r>
          <w:rPr>
            <w:noProof/>
          </w:rPr>
          <w:fldChar w:fldCharType="separate"/>
        </w:r>
        <w:r w:rsidR="00785944">
          <w:rPr>
            <w:noProof/>
          </w:rPr>
          <w:t>3-24</w:t>
        </w:r>
        <w:r>
          <w:rPr>
            <w:noProof/>
          </w:rPr>
          <w:fldChar w:fldCharType="end"/>
        </w:r>
      </w:hyperlink>
    </w:p>
    <w:p w14:paraId="67E6827E" w14:textId="4C5674AE"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4" w:history="1">
        <w:r w:rsidRPr="009C1236">
          <w:rPr>
            <w:rStyle w:val="Hyperlink"/>
            <w:noProof/>
          </w:rPr>
          <w:t>Table 3</w:t>
        </w:r>
        <w:r w:rsidRPr="009C1236">
          <w:rPr>
            <w:rStyle w:val="Hyperlink"/>
            <w:noProof/>
          </w:rPr>
          <w:noBreakHyphen/>
          <w:t>7. HF183 Results for POTW Effluent Samples</w:t>
        </w:r>
        <w:r>
          <w:rPr>
            <w:noProof/>
          </w:rPr>
          <w:tab/>
        </w:r>
        <w:r>
          <w:rPr>
            <w:noProof/>
          </w:rPr>
          <w:fldChar w:fldCharType="begin"/>
        </w:r>
        <w:r>
          <w:rPr>
            <w:noProof/>
          </w:rPr>
          <w:instrText xml:space="preserve"> PAGEREF _Toc217391764 \h </w:instrText>
        </w:r>
        <w:r>
          <w:rPr>
            <w:noProof/>
          </w:rPr>
        </w:r>
        <w:r>
          <w:rPr>
            <w:noProof/>
          </w:rPr>
          <w:fldChar w:fldCharType="separate"/>
        </w:r>
        <w:r w:rsidR="00785944">
          <w:rPr>
            <w:noProof/>
          </w:rPr>
          <w:t>3-29</w:t>
        </w:r>
        <w:r>
          <w:rPr>
            <w:noProof/>
          </w:rPr>
          <w:fldChar w:fldCharType="end"/>
        </w:r>
      </w:hyperlink>
    </w:p>
    <w:p w14:paraId="1129141D" w14:textId="65E6E8B0"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5" w:history="1">
        <w:r w:rsidRPr="009C1236">
          <w:rPr>
            <w:rStyle w:val="Hyperlink"/>
            <w:noProof/>
          </w:rPr>
          <w:t>Table 3</w:t>
        </w:r>
        <w:r w:rsidRPr="009C1236">
          <w:rPr>
            <w:rStyle w:val="Hyperlink"/>
            <w:noProof/>
          </w:rPr>
          <w:noBreakHyphen/>
          <w:t>8. HF183 Results at Watershed-wide Compliance Sites and Other Non-Compliance Sites in the Mainstem Santa Ana River</w:t>
        </w:r>
        <w:r>
          <w:rPr>
            <w:noProof/>
          </w:rPr>
          <w:tab/>
        </w:r>
        <w:r>
          <w:rPr>
            <w:noProof/>
          </w:rPr>
          <w:fldChar w:fldCharType="begin"/>
        </w:r>
        <w:r>
          <w:rPr>
            <w:noProof/>
          </w:rPr>
          <w:instrText xml:space="preserve"> PAGEREF _Toc217391765 \h </w:instrText>
        </w:r>
        <w:r>
          <w:rPr>
            <w:noProof/>
          </w:rPr>
        </w:r>
        <w:r>
          <w:rPr>
            <w:noProof/>
          </w:rPr>
          <w:fldChar w:fldCharType="separate"/>
        </w:r>
        <w:r w:rsidR="00785944">
          <w:rPr>
            <w:noProof/>
          </w:rPr>
          <w:t>3-31</w:t>
        </w:r>
        <w:r>
          <w:rPr>
            <w:noProof/>
          </w:rPr>
          <w:fldChar w:fldCharType="end"/>
        </w:r>
      </w:hyperlink>
    </w:p>
    <w:p w14:paraId="6FF54512" w14:textId="03A4A367"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6" w:history="1">
        <w:r w:rsidRPr="009C1236">
          <w:rPr>
            <w:rStyle w:val="Hyperlink"/>
            <w:noProof/>
          </w:rPr>
          <w:t>Table 3</w:t>
        </w:r>
        <w:r w:rsidRPr="009C1236">
          <w:rPr>
            <w:rStyle w:val="Hyperlink"/>
            <w:noProof/>
          </w:rPr>
          <w:noBreakHyphen/>
          <w:t>9. HF183 Results at</w:t>
        </w:r>
        <w:r w:rsidRPr="009C1236">
          <w:rPr>
            <w:rStyle w:val="Hyperlink"/>
            <w:bCs/>
            <w:noProof/>
          </w:rPr>
          <w:t xml:space="preserve"> Tier 1 and Tier 2 Sites</w:t>
        </w:r>
        <w:r>
          <w:rPr>
            <w:noProof/>
          </w:rPr>
          <w:tab/>
        </w:r>
        <w:r>
          <w:rPr>
            <w:noProof/>
          </w:rPr>
          <w:fldChar w:fldCharType="begin"/>
        </w:r>
        <w:r>
          <w:rPr>
            <w:noProof/>
          </w:rPr>
          <w:instrText xml:space="preserve"> PAGEREF _Toc217391766 \h </w:instrText>
        </w:r>
        <w:r>
          <w:rPr>
            <w:noProof/>
          </w:rPr>
        </w:r>
        <w:r>
          <w:rPr>
            <w:noProof/>
          </w:rPr>
          <w:fldChar w:fldCharType="separate"/>
        </w:r>
        <w:r w:rsidR="00785944">
          <w:rPr>
            <w:noProof/>
          </w:rPr>
          <w:t>3-32</w:t>
        </w:r>
        <w:r>
          <w:rPr>
            <w:noProof/>
          </w:rPr>
          <w:fldChar w:fldCharType="end"/>
        </w:r>
      </w:hyperlink>
    </w:p>
    <w:p w14:paraId="2F67A7A5" w14:textId="255F900B"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7" w:history="1">
        <w:r w:rsidRPr="009C1236">
          <w:rPr>
            <w:rStyle w:val="Hyperlink"/>
            <w:noProof/>
          </w:rPr>
          <w:t>Table 3</w:t>
        </w:r>
        <w:r w:rsidRPr="009C1236">
          <w:rPr>
            <w:rStyle w:val="Hyperlink"/>
            <w:noProof/>
          </w:rPr>
          <w:noBreakHyphen/>
          <w:t xml:space="preserve">10. Student T-Test Results Comparing </w:t>
        </w:r>
        <w:r w:rsidRPr="009C1236">
          <w:rPr>
            <w:rStyle w:val="Hyperlink"/>
            <w:i/>
            <w:noProof/>
          </w:rPr>
          <w:t>E. coli C</w:t>
        </w:r>
        <w:r w:rsidRPr="009C1236">
          <w:rPr>
            <w:rStyle w:val="Hyperlink"/>
            <w:noProof/>
          </w:rPr>
          <w:t>oncentrations in Samples with/without Detection Human Marker HF183 for all Tier-1 and 2 Sites</w:t>
        </w:r>
        <w:r>
          <w:rPr>
            <w:noProof/>
          </w:rPr>
          <w:tab/>
        </w:r>
        <w:r>
          <w:rPr>
            <w:noProof/>
          </w:rPr>
          <w:fldChar w:fldCharType="begin"/>
        </w:r>
        <w:r>
          <w:rPr>
            <w:noProof/>
          </w:rPr>
          <w:instrText xml:space="preserve"> PAGEREF _Toc217391767 \h </w:instrText>
        </w:r>
        <w:r>
          <w:rPr>
            <w:noProof/>
          </w:rPr>
        </w:r>
        <w:r>
          <w:rPr>
            <w:noProof/>
          </w:rPr>
          <w:fldChar w:fldCharType="separate"/>
        </w:r>
        <w:r w:rsidR="00785944">
          <w:rPr>
            <w:noProof/>
          </w:rPr>
          <w:t>3-34</w:t>
        </w:r>
        <w:r>
          <w:rPr>
            <w:noProof/>
          </w:rPr>
          <w:fldChar w:fldCharType="end"/>
        </w:r>
      </w:hyperlink>
    </w:p>
    <w:p w14:paraId="36973232" w14:textId="3FBB0EF7"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8" w:history="1">
        <w:r w:rsidRPr="009C1236">
          <w:rPr>
            <w:rStyle w:val="Hyperlink"/>
            <w:noProof/>
          </w:rPr>
          <w:t>Table 3</w:t>
        </w:r>
        <w:r w:rsidRPr="009C1236">
          <w:rPr>
            <w:rStyle w:val="Hyperlink"/>
            <w:noProof/>
          </w:rPr>
          <w:noBreakHyphen/>
          <w:t xml:space="preserve">11. Student T-Test Results Comparing </w:t>
        </w:r>
        <w:r w:rsidRPr="009C1236">
          <w:rPr>
            <w:rStyle w:val="Hyperlink"/>
            <w:i/>
            <w:noProof/>
          </w:rPr>
          <w:t>E. coli C</w:t>
        </w:r>
        <w:r w:rsidRPr="009C1236">
          <w:rPr>
            <w:rStyle w:val="Hyperlink"/>
            <w:noProof/>
          </w:rPr>
          <w:t>oncentrations in Samples with/without Detection of Human Marker HF183 for Mainstem Samples</w:t>
        </w:r>
        <w:r>
          <w:rPr>
            <w:noProof/>
          </w:rPr>
          <w:tab/>
        </w:r>
        <w:r>
          <w:rPr>
            <w:noProof/>
          </w:rPr>
          <w:fldChar w:fldCharType="begin"/>
        </w:r>
        <w:r>
          <w:rPr>
            <w:noProof/>
          </w:rPr>
          <w:instrText xml:space="preserve"> PAGEREF _Toc217391768 \h </w:instrText>
        </w:r>
        <w:r>
          <w:rPr>
            <w:noProof/>
          </w:rPr>
        </w:r>
        <w:r>
          <w:rPr>
            <w:noProof/>
          </w:rPr>
          <w:fldChar w:fldCharType="separate"/>
        </w:r>
        <w:r w:rsidR="00785944">
          <w:rPr>
            <w:noProof/>
          </w:rPr>
          <w:t>3-34</w:t>
        </w:r>
        <w:r>
          <w:rPr>
            <w:noProof/>
          </w:rPr>
          <w:fldChar w:fldCharType="end"/>
        </w:r>
      </w:hyperlink>
    </w:p>
    <w:p w14:paraId="616D660E" w14:textId="701CFFCB"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69" w:history="1">
        <w:r w:rsidRPr="009C1236">
          <w:rPr>
            <w:rStyle w:val="Hyperlink"/>
            <w:noProof/>
          </w:rPr>
          <w:t>Table 3</w:t>
        </w:r>
        <w:r w:rsidRPr="009C1236">
          <w:rPr>
            <w:rStyle w:val="Hyperlink"/>
            <w:noProof/>
          </w:rPr>
          <w:noBreakHyphen/>
          <w:t>12. Tier 1 and Tier 2 Sites for Prioritization</w:t>
        </w:r>
        <w:r>
          <w:rPr>
            <w:noProof/>
          </w:rPr>
          <w:tab/>
        </w:r>
        <w:r>
          <w:rPr>
            <w:noProof/>
          </w:rPr>
          <w:fldChar w:fldCharType="begin"/>
        </w:r>
        <w:r>
          <w:rPr>
            <w:noProof/>
          </w:rPr>
          <w:instrText xml:space="preserve"> PAGEREF _Toc217391769 \h </w:instrText>
        </w:r>
        <w:r>
          <w:rPr>
            <w:noProof/>
          </w:rPr>
        </w:r>
        <w:r>
          <w:rPr>
            <w:noProof/>
          </w:rPr>
          <w:fldChar w:fldCharType="separate"/>
        </w:r>
        <w:r w:rsidR="00785944">
          <w:rPr>
            <w:noProof/>
          </w:rPr>
          <w:t>3-35</w:t>
        </w:r>
        <w:r>
          <w:rPr>
            <w:noProof/>
          </w:rPr>
          <w:fldChar w:fldCharType="end"/>
        </w:r>
      </w:hyperlink>
    </w:p>
    <w:p w14:paraId="3CF10246" w14:textId="39A96D35"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70" w:history="1">
        <w:r w:rsidRPr="009C1236">
          <w:rPr>
            <w:rStyle w:val="Hyperlink"/>
            <w:noProof/>
          </w:rPr>
          <w:t>Table 3</w:t>
        </w:r>
        <w:r w:rsidRPr="009C1236">
          <w:rPr>
            <w:rStyle w:val="Hyperlink"/>
            <w:noProof/>
          </w:rPr>
          <w:noBreakHyphen/>
          <w:t>13. HF183 Criteria Scores</w:t>
        </w:r>
        <w:r>
          <w:rPr>
            <w:noProof/>
          </w:rPr>
          <w:tab/>
        </w:r>
        <w:r>
          <w:rPr>
            <w:noProof/>
          </w:rPr>
          <w:fldChar w:fldCharType="begin"/>
        </w:r>
        <w:r>
          <w:rPr>
            <w:noProof/>
          </w:rPr>
          <w:instrText xml:space="preserve"> PAGEREF _Toc217391770 \h </w:instrText>
        </w:r>
        <w:r>
          <w:rPr>
            <w:noProof/>
          </w:rPr>
        </w:r>
        <w:r>
          <w:rPr>
            <w:noProof/>
          </w:rPr>
          <w:fldChar w:fldCharType="separate"/>
        </w:r>
        <w:r w:rsidR="00785944">
          <w:rPr>
            <w:noProof/>
          </w:rPr>
          <w:t>3-36</w:t>
        </w:r>
        <w:r>
          <w:rPr>
            <w:noProof/>
          </w:rPr>
          <w:fldChar w:fldCharType="end"/>
        </w:r>
      </w:hyperlink>
    </w:p>
    <w:p w14:paraId="04F11372" w14:textId="6EE297B7"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71" w:history="1">
        <w:r w:rsidRPr="009C1236">
          <w:rPr>
            <w:rStyle w:val="Hyperlink"/>
            <w:noProof/>
          </w:rPr>
          <w:t>Table 3</w:t>
        </w:r>
        <w:r w:rsidRPr="009C1236">
          <w:rPr>
            <w:rStyle w:val="Hyperlink"/>
            <w:noProof/>
          </w:rPr>
          <w:noBreakHyphen/>
          <w:t>14. Relative Rank Results for each Prioritization Criterion and the Final Composite Score for each Tier 1 Site</w:t>
        </w:r>
        <w:r>
          <w:rPr>
            <w:noProof/>
          </w:rPr>
          <w:tab/>
        </w:r>
        <w:r>
          <w:rPr>
            <w:noProof/>
          </w:rPr>
          <w:fldChar w:fldCharType="begin"/>
        </w:r>
        <w:r>
          <w:rPr>
            <w:noProof/>
          </w:rPr>
          <w:instrText xml:space="preserve"> PAGEREF _Toc217391771 \h </w:instrText>
        </w:r>
        <w:r>
          <w:rPr>
            <w:noProof/>
          </w:rPr>
        </w:r>
        <w:r>
          <w:rPr>
            <w:noProof/>
          </w:rPr>
          <w:fldChar w:fldCharType="separate"/>
        </w:r>
        <w:r w:rsidR="00785944">
          <w:rPr>
            <w:noProof/>
          </w:rPr>
          <w:t>3-39</w:t>
        </w:r>
        <w:r>
          <w:rPr>
            <w:noProof/>
          </w:rPr>
          <w:fldChar w:fldCharType="end"/>
        </w:r>
      </w:hyperlink>
    </w:p>
    <w:p w14:paraId="2F83B1FD" w14:textId="24A75FD4"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72" w:history="1">
        <w:r w:rsidRPr="009C1236">
          <w:rPr>
            <w:rStyle w:val="Hyperlink"/>
            <w:noProof/>
          </w:rPr>
          <w:t>Table 3</w:t>
        </w:r>
        <w:r w:rsidRPr="009C1236">
          <w:rPr>
            <w:rStyle w:val="Hyperlink"/>
            <w:noProof/>
          </w:rPr>
          <w:noBreakHyphen/>
          <w:t xml:space="preserve">15. Concentrations of </w:t>
        </w:r>
        <w:r w:rsidRPr="009C1236">
          <w:rPr>
            <w:rStyle w:val="Hyperlink"/>
            <w:i/>
            <w:noProof/>
          </w:rPr>
          <w:t>E. coli</w:t>
        </w:r>
        <w:r w:rsidRPr="009C1236">
          <w:rPr>
            <w:rStyle w:val="Hyperlink"/>
            <w:noProof/>
          </w:rPr>
          <w:t xml:space="preserve"> in bottom sediment from MSAR TMDL waters and tributaries</w:t>
        </w:r>
        <w:r>
          <w:rPr>
            <w:noProof/>
          </w:rPr>
          <w:tab/>
        </w:r>
        <w:r>
          <w:rPr>
            <w:noProof/>
          </w:rPr>
          <w:fldChar w:fldCharType="begin"/>
        </w:r>
        <w:r>
          <w:rPr>
            <w:noProof/>
          </w:rPr>
          <w:instrText xml:space="preserve"> PAGEREF _Toc217391772 \h </w:instrText>
        </w:r>
        <w:r>
          <w:rPr>
            <w:noProof/>
          </w:rPr>
        </w:r>
        <w:r>
          <w:rPr>
            <w:noProof/>
          </w:rPr>
          <w:fldChar w:fldCharType="separate"/>
        </w:r>
        <w:r w:rsidR="00785944">
          <w:rPr>
            <w:noProof/>
          </w:rPr>
          <w:t>3-43</w:t>
        </w:r>
        <w:r>
          <w:rPr>
            <w:noProof/>
          </w:rPr>
          <w:fldChar w:fldCharType="end"/>
        </w:r>
      </w:hyperlink>
    </w:p>
    <w:p w14:paraId="6A500BE0" w14:textId="70564B6B"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73" w:history="1">
        <w:r w:rsidRPr="009C1236">
          <w:rPr>
            <w:rStyle w:val="Hyperlink"/>
            <w:noProof/>
          </w:rPr>
          <w:t>Table 4</w:t>
        </w:r>
        <w:r w:rsidRPr="009C1236">
          <w:rPr>
            <w:rStyle w:val="Hyperlink"/>
            <w:noProof/>
          </w:rPr>
          <w:noBreakHyphen/>
          <w:t>1. Estimate of Reduction in E. coli Load Resulting from Implementation of the Mill Creek Wetlands BMP, 2017-2025</w:t>
        </w:r>
        <w:r>
          <w:rPr>
            <w:noProof/>
          </w:rPr>
          <w:tab/>
        </w:r>
        <w:r>
          <w:rPr>
            <w:noProof/>
          </w:rPr>
          <w:fldChar w:fldCharType="begin"/>
        </w:r>
        <w:r>
          <w:rPr>
            <w:noProof/>
          </w:rPr>
          <w:instrText xml:space="preserve"> PAGEREF _Toc217391773 \h </w:instrText>
        </w:r>
        <w:r>
          <w:rPr>
            <w:noProof/>
          </w:rPr>
        </w:r>
        <w:r>
          <w:rPr>
            <w:noProof/>
          </w:rPr>
          <w:fldChar w:fldCharType="separate"/>
        </w:r>
        <w:r w:rsidR="00785944">
          <w:rPr>
            <w:noProof/>
          </w:rPr>
          <w:t>4-2</w:t>
        </w:r>
        <w:r>
          <w:rPr>
            <w:noProof/>
          </w:rPr>
          <w:fldChar w:fldCharType="end"/>
        </w:r>
      </w:hyperlink>
    </w:p>
    <w:p w14:paraId="1BE48FD5" w14:textId="21FBE8D8" w:rsidR="00FE614C" w:rsidRDefault="00FE614C" w:rsidP="00FE614C">
      <w:pPr>
        <w:pStyle w:val="TableofFigures"/>
        <w:tabs>
          <w:tab w:val="right" w:leader="dot" w:pos="8990"/>
        </w:tabs>
        <w:ind w:left="1080" w:hanging="1080"/>
        <w:rPr>
          <w:rFonts w:asciiTheme="minorHAnsi" w:eastAsiaTheme="minorEastAsia" w:hAnsiTheme="minorHAnsi" w:cstheme="minorBidi"/>
          <w:noProof/>
          <w:kern w:val="2"/>
          <w:szCs w:val="24"/>
          <w14:ligatures w14:val="standardContextual"/>
        </w:rPr>
      </w:pPr>
      <w:hyperlink w:anchor="_Toc217391774" w:history="1">
        <w:r w:rsidRPr="009C1236">
          <w:rPr>
            <w:rStyle w:val="Hyperlink"/>
            <w:noProof/>
          </w:rPr>
          <w:t>Table 4</w:t>
        </w:r>
        <w:r w:rsidRPr="009C1236">
          <w:rPr>
            <w:rStyle w:val="Hyperlink"/>
            <w:noProof/>
          </w:rPr>
          <w:noBreakHyphen/>
          <w:t>2. Changes in Number of Dairies and Animal Units in Chino Basin Area of the Santa Ana Region, 1999 – 202</w:t>
        </w:r>
        <w:r w:rsidR="00924B9D">
          <w:rPr>
            <w:rStyle w:val="Hyperlink"/>
            <w:noProof/>
          </w:rPr>
          <w:t>5</w:t>
        </w:r>
        <w:r>
          <w:rPr>
            <w:noProof/>
          </w:rPr>
          <w:tab/>
        </w:r>
        <w:r>
          <w:rPr>
            <w:noProof/>
          </w:rPr>
          <w:fldChar w:fldCharType="begin"/>
        </w:r>
        <w:r>
          <w:rPr>
            <w:noProof/>
          </w:rPr>
          <w:instrText xml:space="preserve"> PAGEREF _Toc217391774 \h </w:instrText>
        </w:r>
        <w:r>
          <w:rPr>
            <w:noProof/>
          </w:rPr>
        </w:r>
        <w:r>
          <w:rPr>
            <w:noProof/>
          </w:rPr>
          <w:fldChar w:fldCharType="separate"/>
        </w:r>
        <w:r w:rsidR="00785944">
          <w:rPr>
            <w:noProof/>
          </w:rPr>
          <w:t>4-5</w:t>
        </w:r>
        <w:r>
          <w:rPr>
            <w:noProof/>
          </w:rPr>
          <w:fldChar w:fldCharType="end"/>
        </w:r>
      </w:hyperlink>
    </w:p>
    <w:p w14:paraId="4B95FD97" w14:textId="77777777" w:rsidR="00FE614C" w:rsidRDefault="000C3A43" w:rsidP="00FE614C">
      <w:pPr>
        <w:pStyle w:val="TableofFigures"/>
        <w:tabs>
          <w:tab w:val="left" w:pos="1260"/>
          <w:tab w:val="right" w:leader="dot" w:pos="8990"/>
        </w:tabs>
        <w:spacing w:after="120"/>
        <w:ind w:left="1080" w:hanging="1080"/>
      </w:pPr>
      <w:r>
        <w:fldChar w:fldCharType="end"/>
      </w:r>
    </w:p>
    <w:p w14:paraId="047AA009" w14:textId="5B58D891" w:rsidR="00C00CB6" w:rsidRPr="002714B2" w:rsidRDefault="00C00CB6" w:rsidP="002714B2">
      <w:pPr>
        <w:pStyle w:val="BodyText"/>
        <w:spacing w:before="240" w:after="120"/>
        <w:rPr>
          <w:rFonts w:ascii="Arial" w:hAnsi="Arial" w:cs="Arial"/>
          <w:b/>
          <w:bCs/>
        </w:rPr>
      </w:pPr>
      <w:r w:rsidRPr="00553C78">
        <w:rPr>
          <w:rFonts w:ascii="Arial" w:hAnsi="Arial" w:cs="Arial"/>
          <w:b/>
          <w:bCs/>
        </w:rPr>
        <w:t>Appendices</w:t>
      </w:r>
      <w:r w:rsidR="007475D4" w:rsidRPr="002714B2">
        <w:rPr>
          <w:rFonts w:ascii="Arial" w:hAnsi="Arial" w:cs="Arial"/>
          <w:b/>
          <w:bCs/>
        </w:rPr>
        <w:t xml:space="preserve"> </w:t>
      </w:r>
    </w:p>
    <w:p w14:paraId="3FDD4A04" w14:textId="53816E6D" w:rsidR="00D36B4E" w:rsidRDefault="00D36B4E" w:rsidP="00D36B4E">
      <w:pPr>
        <w:pStyle w:val="BodyText"/>
        <w:tabs>
          <w:tab w:val="left" w:pos="1512"/>
        </w:tabs>
        <w:spacing w:after="60"/>
        <w:ind w:left="1530" w:hanging="1530"/>
      </w:pPr>
      <w:r>
        <w:t>Appendix A:</w:t>
      </w:r>
      <w:r>
        <w:tab/>
        <w:t>Timeline of Key TMDL Implementation Activities</w:t>
      </w:r>
    </w:p>
    <w:p w14:paraId="305462A8" w14:textId="7D94E82E" w:rsidR="00D51050" w:rsidRDefault="00D51050" w:rsidP="00254ED6">
      <w:pPr>
        <w:pStyle w:val="BodyText"/>
        <w:tabs>
          <w:tab w:val="left" w:pos="1512"/>
        </w:tabs>
        <w:spacing w:after="60"/>
      </w:pPr>
      <w:r>
        <w:t xml:space="preserve">Appendix </w:t>
      </w:r>
      <w:r w:rsidR="00D36B4E">
        <w:t>B</w:t>
      </w:r>
      <w:r>
        <w:t>:</w:t>
      </w:r>
      <w:r w:rsidR="00D55651">
        <w:tab/>
      </w:r>
      <w:r w:rsidR="003814B4">
        <w:t>Previous MSAR Special Studies</w:t>
      </w:r>
    </w:p>
    <w:p w14:paraId="5496527B" w14:textId="66485E22" w:rsidR="00814877" w:rsidRDefault="00814877" w:rsidP="00254ED6">
      <w:pPr>
        <w:pStyle w:val="BodyText"/>
        <w:tabs>
          <w:tab w:val="left" w:pos="1512"/>
        </w:tabs>
        <w:spacing w:after="60"/>
      </w:pPr>
      <w:r>
        <w:t>A</w:t>
      </w:r>
      <w:r w:rsidR="00DE68D5">
        <w:t xml:space="preserve">ppendix </w:t>
      </w:r>
      <w:r w:rsidR="00D36B4E">
        <w:t>C</w:t>
      </w:r>
      <w:r w:rsidR="004864FF">
        <w:t>:</w:t>
      </w:r>
      <w:r>
        <w:tab/>
      </w:r>
      <w:r w:rsidR="003814B4">
        <w:t>Triennial Report Key Findings</w:t>
      </w:r>
    </w:p>
    <w:p w14:paraId="0BFA83C0" w14:textId="7B77620B" w:rsidR="0033537B" w:rsidRDefault="0033537B" w:rsidP="00254ED6">
      <w:pPr>
        <w:pStyle w:val="BodyText"/>
        <w:tabs>
          <w:tab w:val="left" w:pos="1512"/>
        </w:tabs>
        <w:spacing w:after="60"/>
      </w:pPr>
      <w:r>
        <w:t xml:space="preserve">Appendix </w:t>
      </w:r>
      <w:r w:rsidR="00D36B4E">
        <w:t>D</w:t>
      </w:r>
      <w:r>
        <w:t>:</w:t>
      </w:r>
      <w:r>
        <w:tab/>
      </w:r>
      <w:r w:rsidR="006A219A">
        <w:t>Bacterial Indicator Data – Watershed Wide Monitoring Sites</w:t>
      </w:r>
    </w:p>
    <w:p w14:paraId="6DBD79B2" w14:textId="146CB4C8" w:rsidR="00DF3266" w:rsidRDefault="00DF3266" w:rsidP="00254ED6">
      <w:pPr>
        <w:pStyle w:val="BodyText"/>
        <w:tabs>
          <w:tab w:val="left" w:pos="1512"/>
        </w:tabs>
        <w:spacing w:after="60"/>
      </w:pPr>
    </w:p>
    <w:p w14:paraId="6E7F0644" w14:textId="63156CDF" w:rsidR="00062561" w:rsidRDefault="00062561">
      <w:pPr>
        <w:spacing w:line="240" w:lineRule="auto"/>
      </w:pPr>
      <w:r>
        <w:br w:type="page"/>
      </w:r>
    </w:p>
    <w:bookmarkEnd w:id="3"/>
    <w:p w14:paraId="44076BC7" w14:textId="6C04881D" w:rsidR="00EF3570" w:rsidRPr="002714B2" w:rsidRDefault="007A459E" w:rsidP="002714B2">
      <w:pPr>
        <w:pStyle w:val="BodyText"/>
        <w:spacing w:before="240" w:after="120"/>
        <w:rPr>
          <w:rFonts w:ascii="Arial" w:hAnsi="Arial" w:cs="Arial"/>
          <w:b/>
          <w:bCs/>
        </w:rPr>
      </w:pPr>
      <w:r w:rsidRPr="002714B2">
        <w:rPr>
          <w:rFonts w:ascii="Arial" w:hAnsi="Arial" w:cs="Arial"/>
          <w:b/>
          <w:bCs/>
        </w:rPr>
        <w:lastRenderedPageBreak/>
        <w:t>Acronym</w:t>
      </w:r>
      <w:r w:rsidR="00392513" w:rsidRPr="002714B2">
        <w:rPr>
          <w:rFonts w:ascii="Arial" w:hAnsi="Arial" w:cs="Arial"/>
          <w:b/>
          <w:bCs/>
        </w:rPr>
        <w:t>s</w:t>
      </w:r>
    </w:p>
    <w:tbl>
      <w:tblPr>
        <w:tblStyle w:val="TableGrid11"/>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5755"/>
      </w:tblGrid>
      <w:tr w:rsidR="0095436D" w:rsidRPr="0095436D" w14:paraId="764C3AF6" w14:textId="77777777" w:rsidTr="0095436D">
        <w:trPr>
          <w:trHeight w:val="432"/>
          <w:tblHeader/>
        </w:trPr>
        <w:tc>
          <w:tcPr>
            <w:tcW w:w="3330" w:type="dxa"/>
            <w:shd w:val="clear" w:color="auto" w:fill="F2F2F2" w:themeFill="background1" w:themeFillShade="F2"/>
            <w:vAlign w:val="center"/>
          </w:tcPr>
          <w:p w14:paraId="35D67015" w14:textId="77777777" w:rsidR="0048591F" w:rsidRPr="0095436D" w:rsidRDefault="0048591F" w:rsidP="007C68AE">
            <w:pPr>
              <w:spacing w:line="240" w:lineRule="auto"/>
              <w:jc w:val="center"/>
              <w:rPr>
                <w:rFonts w:ascii="Arial" w:hAnsi="Arial" w:cs="Arial"/>
                <w:b/>
                <w:sz w:val="19"/>
                <w:szCs w:val="19"/>
              </w:rPr>
            </w:pPr>
            <w:r w:rsidRPr="0095436D">
              <w:rPr>
                <w:rFonts w:ascii="Arial" w:hAnsi="Arial" w:cs="Arial"/>
                <w:b/>
                <w:sz w:val="19"/>
                <w:szCs w:val="19"/>
              </w:rPr>
              <w:t>Acronym</w:t>
            </w:r>
          </w:p>
        </w:tc>
        <w:tc>
          <w:tcPr>
            <w:tcW w:w="5755" w:type="dxa"/>
            <w:shd w:val="clear" w:color="auto" w:fill="F2F2F2" w:themeFill="background1" w:themeFillShade="F2"/>
            <w:vAlign w:val="center"/>
          </w:tcPr>
          <w:p w14:paraId="7E96B289" w14:textId="77777777" w:rsidR="0048591F" w:rsidRPr="0095436D" w:rsidRDefault="0048591F" w:rsidP="007C68AE">
            <w:pPr>
              <w:spacing w:line="240" w:lineRule="auto"/>
              <w:jc w:val="center"/>
              <w:rPr>
                <w:rFonts w:ascii="Arial" w:hAnsi="Arial" w:cs="Arial"/>
                <w:b/>
                <w:sz w:val="19"/>
                <w:szCs w:val="19"/>
              </w:rPr>
            </w:pPr>
            <w:r w:rsidRPr="0095436D">
              <w:rPr>
                <w:rFonts w:ascii="Arial" w:hAnsi="Arial" w:cs="Arial"/>
                <w:b/>
                <w:sz w:val="19"/>
                <w:szCs w:val="19"/>
              </w:rPr>
              <w:t>Definition</w:t>
            </w:r>
          </w:p>
        </w:tc>
      </w:tr>
      <w:tr w:rsidR="0048591F" w:rsidRPr="00062561" w14:paraId="04FC7D74" w14:textId="77777777" w:rsidTr="0095436D">
        <w:trPr>
          <w:trHeight w:val="288"/>
        </w:trPr>
        <w:tc>
          <w:tcPr>
            <w:tcW w:w="3330" w:type="dxa"/>
            <w:vAlign w:val="center"/>
          </w:tcPr>
          <w:p w14:paraId="7D3BF85A" w14:textId="56092B1D" w:rsidR="0048591F" w:rsidRPr="007E7F05" w:rsidRDefault="001745E0" w:rsidP="007C68AE">
            <w:pPr>
              <w:spacing w:line="240" w:lineRule="auto"/>
              <w:rPr>
                <w:rFonts w:ascii="Arial" w:hAnsi="Arial" w:cs="Arial"/>
                <w:sz w:val="19"/>
                <w:szCs w:val="19"/>
              </w:rPr>
            </w:pPr>
            <w:proofErr w:type="spellStart"/>
            <w:r>
              <w:rPr>
                <w:rFonts w:ascii="Arial" w:hAnsi="Arial" w:cs="Arial"/>
                <w:sz w:val="19"/>
                <w:szCs w:val="19"/>
              </w:rPr>
              <w:t>AgSEP</w:t>
            </w:r>
            <w:proofErr w:type="spellEnd"/>
          </w:p>
        </w:tc>
        <w:tc>
          <w:tcPr>
            <w:tcW w:w="5755" w:type="dxa"/>
            <w:vAlign w:val="center"/>
          </w:tcPr>
          <w:p w14:paraId="00B398E0" w14:textId="2A24299A" w:rsidR="0048591F" w:rsidRPr="007E7F05" w:rsidRDefault="001745E0" w:rsidP="007C68AE">
            <w:pPr>
              <w:spacing w:line="240" w:lineRule="auto"/>
              <w:rPr>
                <w:rFonts w:ascii="Arial" w:hAnsi="Arial" w:cs="Arial"/>
                <w:sz w:val="19"/>
                <w:szCs w:val="19"/>
              </w:rPr>
            </w:pPr>
            <w:r>
              <w:rPr>
                <w:rFonts w:ascii="Arial" w:hAnsi="Arial" w:cs="Arial"/>
                <w:sz w:val="19"/>
                <w:szCs w:val="19"/>
              </w:rPr>
              <w:t>Bacterial Indicator Agricultural Source Evaluation Plan</w:t>
            </w:r>
          </w:p>
        </w:tc>
      </w:tr>
      <w:tr w:rsidR="0048591F" w:rsidRPr="00062561" w14:paraId="1155C1D0" w14:textId="77777777" w:rsidTr="0095436D">
        <w:trPr>
          <w:trHeight w:val="288"/>
        </w:trPr>
        <w:tc>
          <w:tcPr>
            <w:tcW w:w="3330" w:type="dxa"/>
            <w:vAlign w:val="center"/>
          </w:tcPr>
          <w:p w14:paraId="0E4DAB31" w14:textId="19C57034" w:rsidR="0048591F" w:rsidRPr="007E7F05" w:rsidRDefault="00D96E87" w:rsidP="007C68AE">
            <w:pPr>
              <w:spacing w:line="240" w:lineRule="auto"/>
              <w:rPr>
                <w:rFonts w:ascii="Arial" w:hAnsi="Arial" w:cs="Arial"/>
                <w:sz w:val="19"/>
                <w:szCs w:val="19"/>
              </w:rPr>
            </w:pPr>
            <w:r>
              <w:rPr>
                <w:rFonts w:ascii="Arial" w:hAnsi="Arial" w:cs="Arial"/>
                <w:sz w:val="19"/>
                <w:szCs w:val="19"/>
              </w:rPr>
              <w:t>Basin Plan</w:t>
            </w:r>
          </w:p>
        </w:tc>
        <w:tc>
          <w:tcPr>
            <w:tcW w:w="5755" w:type="dxa"/>
            <w:vAlign w:val="center"/>
          </w:tcPr>
          <w:p w14:paraId="54AD2448" w14:textId="1C54237A" w:rsidR="0048591F" w:rsidRPr="007E7F05" w:rsidRDefault="00D96E87" w:rsidP="007C68AE">
            <w:pPr>
              <w:spacing w:line="240" w:lineRule="auto"/>
              <w:rPr>
                <w:rFonts w:ascii="Arial" w:hAnsi="Arial" w:cs="Arial"/>
                <w:sz w:val="19"/>
                <w:szCs w:val="19"/>
              </w:rPr>
            </w:pPr>
            <w:r w:rsidRPr="00D96E87">
              <w:rPr>
                <w:rFonts w:ascii="Arial" w:hAnsi="Arial" w:cs="Arial"/>
                <w:sz w:val="19"/>
                <w:szCs w:val="19"/>
              </w:rPr>
              <w:t>Water Quality Control Plan for the Santa Ana River Basin</w:t>
            </w:r>
          </w:p>
        </w:tc>
      </w:tr>
      <w:tr w:rsidR="0048591F" w:rsidRPr="00062561" w14:paraId="6FD31624" w14:textId="77777777" w:rsidTr="0095436D">
        <w:trPr>
          <w:trHeight w:val="288"/>
        </w:trPr>
        <w:tc>
          <w:tcPr>
            <w:tcW w:w="3330" w:type="dxa"/>
            <w:vAlign w:val="center"/>
          </w:tcPr>
          <w:p w14:paraId="21F9125E" w14:textId="77671492" w:rsidR="0048591F" w:rsidRPr="007E7F05" w:rsidRDefault="001745E0" w:rsidP="007C68AE">
            <w:pPr>
              <w:spacing w:line="240" w:lineRule="auto"/>
              <w:rPr>
                <w:rFonts w:ascii="Arial" w:hAnsi="Arial" w:cs="Arial"/>
                <w:sz w:val="19"/>
                <w:szCs w:val="19"/>
              </w:rPr>
            </w:pPr>
            <w:r>
              <w:rPr>
                <w:rFonts w:ascii="Arial" w:hAnsi="Arial" w:cs="Arial"/>
                <w:sz w:val="19"/>
                <w:szCs w:val="19"/>
              </w:rPr>
              <w:t>BASMP</w:t>
            </w:r>
          </w:p>
        </w:tc>
        <w:tc>
          <w:tcPr>
            <w:tcW w:w="5755" w:type="dxa"/>
            <w:vAlign w:val="center"/>
          </w:tcPr>
          <w:p w14:paraId="6B4276C3" w14:textId="15DBD4BD" w:rsidR="0048591F" w:rsidRPr="007E7F05" w:rsidRDefault="001745E0" w:rsidP="007C68AE">
            <w:pPr>
              <w:spacing w:line="240" w:lineRule="auto"/>
              <w:rPr>
                <w:rFonts w:ascii="Arial" w:hAnsi="Arial" w:cs="Arial"/>
                <w:sz w:val="19"/>
                <w:szCs w:val="19"/>
              </w:rPr>
            </w:pPr>
            <w:r>
              <w:rPr>
                <w:rFonts w:ascii="Arial" w:hAnsi="Arial" w:cs="Arial"/>
                <w:sz w:val="19"/>
                <w:szCs w:val="19"/>
              </w:rPr>
              <w:t>Bacterial Indicator Agricultural Source Management Plan</w:t>
            </w:r>
          </w:p>
        </w:tc>
      </w:tr>
      <w:tr w:rsidR="00784603" w:rsidRPr="00062561" w14:paraId="5B5FE7EA" w14:textId="77777777" w:rsidTr="0095436D">
        <w:trPr>
          <w:trHeight w:val="288"/>
        </w:trPr>
        <w:tc>
          <w:tcPr>
            <w:tcW w:w="3330" w:type="dxa"/>
            <w:vAlign w:val="center"/>
          </w:tcPr>
          <w:p w14:paraId="7A237EC3" w14:textId="021DF030" w:rsidR="00784603" w:rsidRDefault="00784603" w:rsidP="007C68AE">
            <w:pPr>
              <w:spacing w:line="240" w:lineRule="auto"/>
              <w:rPr>
                <w:rFonts w:ascii="Arial" w:hAnsi="Arial" w:cs="Arial"/>
                <w:sz w:val="19"/>
                <w:szCs w:val="19"/>
              </w:rPr>
            </w:pPr>
            <w:r>
              <w:rPr>
                <w:rFonts w:ascii="Arial" w:hAnsi="Arial" w:cs="Arial"/>
                <w:sz w:val="19"/>
                <w:szCs w:val="19"/>
              </w:rPr>
              <w:t>BDL</w:t>
            </w:r>
          </w:p>
        </w:tc>
        <w:tc>
          <w:tcPr>
            <w:tcW w:w="5755" w:type="dxa"/>
            <w:vAlign w:val="center"/>
          </w:tcPr>
          <w:p w14:paraId="3EC309E8" w14:textId="770319BF" w:rsidR="00784603" w:rsidRDefault="00784603" w:rsidP="007C68AE">
            <w:pPr>
              <w:spacing w:line="240" w:lineRule="auto"/>
              <w:rPr>
                <w:rFonts w:ascii="Arial" w:hAnsi="Arial" w:cs="Arial"/>
                <w:sz w:val="19"/>
                <w:szCs w:val="19"/>
              </w:rPr>
            </w:pPr>
            <w:r>
              <w:rPr>
                <w:rFonts w:ascii="Arial" w:hAnsi="Arial" w:cs="Arial"/>
                <w:sz w:val="19"/>
                <w:szCs w:val="19"/>
              </w:rPr>
              <w:t>Below Detection Limit</w:t>
            </w:r>
          </w:p>
        </w:tc>
      </w:tr>
      <w:tr w:rsidR="0048591F" w:rsidRPr="00062561" w14:paraId="3813CE25" w14:textId="77777777" w:rsidTr="0095436D">
        <w:trPr>
          <w:trHeight w:val="288"/>
        </w:trPr>
        <w:tc>
          <w:tcPr>
            <w:tcW w:w="3330" w:type="dxa"/>
            <w:vAlign w:val="center"/>
          </w:tcPr>
          <w:p w14:paraId="1005544C" w14:textId="6FDFA9F7" w:rsidR="0048591F" w:rsidRPr="007E7F05" w:rsidRDefault="000C1AA1" w:rsidP="007C68AE">
            <w:pPr>
              <w:spacing w:line="240" w:lineRule="auto"/>
              <w:rPr>
                <w:rFonts w:ascii="Arial" w:hAnsi="Arial" w:cs="Arial"/>
                <w:sz w:val="19"/>
                <w:szCs w:val="19"/>
              </w:rPr>
            </w:pPr>
            <w:r>
              <w:rPr>
                <w:rFonts w:ascii="Arial" w:hAnsi="Arial" w:cs="Arial"/>
                <w:sz w:val="19"/>
                <w:szCs w:val="19"/>
              </w:rPr>
              <w:t>BMP</w:t>
            </w:r>
          </w:p>
        </w:tc>
        <w:tc>
          <w:tcPr>
            <w:tcW w:w="5755" w:type="dxa"/>
            <w:vAlign w:val="center"/>
          </w:tcPr>
          <w:p w14:paraId="377FACC5" w14:textId="4F40EC62" w:rsidR="0048591F" w:rsidRPr="007E7F05" w:rsidRDefault="000C1AA1" w:rsidP="007C68AE">
            <w:pPr>
              <w:spacing w:line="240" w:lineRule="auto"/>
              <w:rPr>
                <w:rFonts w:ascii="Arial" w:hAnsi="Arial" w:cs="Arial"/>
                <w:sz w:val="19"/>
                <w:szCs w:val="19"/>
              </w:rPr>
            </w:pPr>
            <w:r>
              <w:rPr>
                <w:rFonts w:ascii="Arial" w:hAnsi="Arial" w:cs="Arial"/>
                <w:sz w:val="19"/>
                <w:szCs w:val="19"/>
              </w:rPr>
              <w:t>Best Management Practice</w:t>
            </w:r>
          </w:p>
        </w:tc>
      </w:tr>
      <w:tr w:rsidR="00786CDE" w:rsidRPr="00062561" w14:paraId="7756EA1D" w14:textId="77777777" w:rsidTr="0095436D">
        <w:trPr>
          <w:trHeight w:val="288"/>
        </w:trPr>
        <w:tc>
          <w:tcPr>
            <w:tcW w:w="3330" w:type="dxa"/>
            <w:vAlign w:val="center"/>
          </w:tcPr>
          <w:p w14:paraId="4ED074BF" w14:textId="1442F5C3" w:rsidR="00786CDE" w:rsidRDefault="00786CDE" w:rsidP="007C68AE">
            <w:pPr>
              <w:spacing w:line="240" w:lineRule="auto"/>
              <w:rPr>
                <w:rFonts w:ascii="Arial" w:hAnsi="Arial" w:cs="Arial"/>
                <w:sz w:val="19"/>
                <w:szCs w:val="19"/>
              </w:rPr>
            </w:pPr>
            <w:r>
              <w:rPr>
                <w:rFonts w:ascii="Arial" w:hAnsi="Arial" w:cs="Arial"/>
                <w:sz w:val="19"/>
                <w:szCs w:val="19"/>
              </w:rPr>
              <w:t>BXSP</w:t>
            </w:r>
          </w:p>
        </w:tc>
        <w:tc>
          <w:tcPr>
            <w:tcW w:w="5755" w:type="dxa"/>
            <w:vAlign w:val="center"/>
          </w:tcPr>
          <w:p w14:paraId="2E1BB0B5" w14:textId="7E0CC0CC" w:rsidR="00786CDE" w:rsidRDefault="00786CDE" w:rsidP="007C68AE">
            <w:pPr>
              <w:spacing w:line="240" w:lineRule="auto"/>
              <w:rPr>
                <w:rFonts w:ascii="Arial" w:hAnsi="Arial" w:cs="Arial"/>
                <w:sz w:val="19"/>
                <w:szCs w:val="19"/>
              </w:rPr>
            </w:pPr>
            <w:r>
              <w:rPr>
                <w:rFonts w:ascii="Arial" w:hAnsi="Arial" w:cs="Arial"/>
                <w:sz w:val="19"/>
                <w:szCs w:val="19"/>
              </w:rPr>
              <w:t>Box Springs Channel</w:t>
            </w:r>
          </w:p>
        </w:tc>
      </w:tr>
      <w:tr w:rsidR="0048591F" w:rsidRPr="00062561" w14:paraId="0F29925D" w14:textId="77777777" w:rsidTr="0095436D">
        <w:trPr>
          <w:trHeight w:val="288"/>
        </w:trPr>
        <w:tc>
          <w:tcPr>
            <w:tcW w:w="3330" w:type="dxa"/>
            <w:vAlign w:val="center"/>
          </w:tcPr>
          <w:p w14:paraId="319C5E4C" w14:textId="4681759F" w:rsidR="0048591F" w:rsidRPr="007E7F05" w:rsidRDefault="00D96E87" w:rsidP="007C68AE">
            <w:pPr>
              <w:spacing w:line="240" w:lineRule="auto"/>
              <w:rPr>
                <w:rFonts w:ascii="Arial" w:hAnsi="Arial" w:cs="Arial"/>
                <w:sz w:val="19"/>
                <w:szCs w:val="19"/>
              </w:rPr>
            </w:pPr>
            <w:r>
              <w:rPr>
                <w:rFonts w:ascii="Arial" w:hAnsi="Arial" w:cs="Arial"/>
                <w:sz w:val="19"/>
                <w:szCs w:val="19"/>
              </w:rPr>
              <w:t>CAFO</w:t>
            </w:r>
          </w:p>
        </w:tc>
        <w:tc>
          <w:tcPr>
            <w:tcW w:w="5755" w:type="dxa"/>
            <w:vAlign w:val="center"/>
          </w:tcPr>
          <w:p w14:paraId="56DA48D9" w14:textId="12A85E9A" w:rsidR="0048591F" w:rsidRPr="007E7F05" w:rsidRDefault="00D96E87" w:rsidP="007C68AE">
            <w:pPr>
              <w:spacing w:line="240" w:lineRule="auto"/>
              <w:rPr>
                <w:rFonts w:ascii="Arial" w:hAnsi="Arial" w:cs="Arial"/>
                <w:sz w:val="19"/>
                <w:szCs w:val="19"/>
              </w:rPr>
            </w:pPr>
            <w:r>
              <w:rPr>
                <w:rFonts w:ascii="Arial" w:hAnsi="Arial" w:cs="Arial"/>
                <w:sz w:val="19"/>
                <w:szCs w:val="19"/>
              </w:rPr>
              <w:t>Concentrated Animal Feeding Operation</w:t>
            </w:r>
          </w:p>
        </w:tc>
      </w:tr>
      <w:tr w:rsidR="0048591F" w:rsidRPr="00062561" w14:paraId="3295CDA7" w14:textId="77777777" w:rsidTr="0095436D">
        <w:trPr>
          <w:trHeight w:val="288"/>
        </w:trPr>
        <w:tc>
          <w:tcPr>
            <w:tcW w:w="3330" w:type="dxa"/>
            <w:vAlign w:val="center"/>
          </w:tcPr>
          <w:p w14:paraId="2A62144E" w14:textId="5F8CD557" w:rsidR="0048591F" w:rsidRPr="007E7F05" w:rsidRDefault="00D96E87" w:rsidP="007C68AE">
            <w:pPr>
              <w:spacing w:line="240" w:lineRule="auto"/>
              <w:rPr>
                <w:rFonts w:ascii="Arial" w:hAnsi="Arial" w:cs="Arial"/>
                <w:sz w:val="19"/>
                <w:szCs w:val="19"/>
              </w:rPr>
            </w:pPr>
            <w:r>
              <w:rPr>
                <w:rFonts w:ascii="Arial" w:hAnsi="Arial" w:cs="Arial"/>
                <w:sz w:val="19"/>
                <w:szCs w:val="19"/>
              </w:rPr>
              <w:t>CBRP</w:t>
            </w:r>
          </w:p>
        </w:tc>
        <w:tc>
          <w:tcPr>
            <w:tcW w:w="5755" w:type="dxa"/>
            <w:vAlign w:val="center"/>
          </w:tcPr>
          <w:p w14:paraId="0FB1C9C2" w14:textId="2FD7BCE3" w:rsidR="0048591F" w:rsidRPr="007E7F05" w:rsidRDefault="00D96E87" w:rsidP="007C68AE">
            <w:pPr>
              <w:spacing w:line="240" w:lineRule="auto"/>
              <w:rPr>
                <w:rFonts w:ascii="Arial" w:hAnsi="Arial" w:cs="Arial"/>
                <w:sz w:val="19"/>
                <w:szCs w:val="19"/>
              </w:rPr>
            </w:pPr>
            <w:r>
              <w:rPr>
                <w:rFonts w:ascii="Arial" w:hAnsi="Arial" w:cs="Arial"/>
                <w:sz w:val="19"/>
                <w:szCs w:val="19"/>
              </w:rPr>
              <w:t>Comprehensive Bacteria Reduction Plan</w:t>
            </w:r>
          </w:p>
        </w:tc>
      </w:tr>
      <w:tr w:rsidR="0048591F" w:rsidRPr="00062561" w14:paraId="078019AB" w14:textId="77777777" w:rsidTr="0095436D">
        <w:trPr>
          <w:trHeight w:val="288"/>
        </w:trPr>
        <w:tc>
          <w:tcPr>
            <w:tcW w:w="3330" w:type="dxa"/>
            <w:vAlign w:val="center"/>
          </w:tcPr>
          <w:p w14:paraId="37FF3FA8" w14:textId="40BB5083" w:rsidR="0048591F" w:rsidRPr="007E7F05" w:rsidRDefault="00B629CB" w:rsidP="007C68AE">
            <w:pPr>
              <w:spacing w:line="240" w:lineRule="auto"/>
              <w:rPr>
                <w:rFonts w:ascii="Arial" w:hAnsi="Arial" w:cs="Arial"/>
                <w:sz w:val="19"/>
                <w:szCs w:val="19"/>
              </w:rPr>
            </w:pPr>
            <w:r>
              <w:rPr>
                <w:rFonts w:ascii="Arial" w:hAnsi="Arial" w:cs="Arial"/>
                <w:sz w:val="19"/>
                <w:szCs w:val="19"/>
              </w:rPr>
              <w:t>CBW</w:t>
            </w:r>
          </w:p>
        </w:tc>
        <w:tc>
          <w:tcPr>
            <w:tcW w:w="5755" w:type="dxa"/>
            <w:vAlign w:val="center"/>
          </w:tcPr>
          <w:p w14:paraId="5639EE84" w14:textId="5DAC941F" w:rsidR="0048591F" w:rsidRPr="007E7F05" w:rsidRDefault="00B629CB" w:rsidP="007C68AE">
            <w:pPr>
              <w:spacing w:line="240" w:lineRule="auto"/>
              <w:rPr>
                <w:rFonts w:ascii="Arial" w:hAnsi="Arial" w:cs="Arial"/>
                <w:sz w:val="19"/>
                <w:szCs w:val="19"/>
              </w:rPr>
            </w:pPr>
            <w:r>
              <w:rPr>
                <w:rFonts w:ascii="Arial" w:hAnsi="Arial" w:cs="Arial"/>
                <w:sz w:val="19"/>
                <w:szCs w:val="19"/>
              </w:rPr>
              <w:t>Chino Basin Watermaster</w:t>
            </w:r>
          </w:p>
        </w:tc>
      </w:tr>
      <w:tr w:rsidR="00AB3DD8" w:rsidRPr="00062561" w14:paraId="4DA4D962" w14:textId="77777777" w:rsidTr="0095436D">
        <w:trPr>
          <w:trHeight w:val="288"/>
        </w:trPr>
        <w:tc>
          <w:tcPr>
            <w:tcW w:w="3330" w:type="dxa"/>
            <w:vAlign w:val="center"/>
          </w:tcPr>
          <w:p w14:paraId="5F927D2D" w14:textId="4F4A366B" w:rsidR="00AB3DD8" w:rsidRDefault="00AB3DD8" w:rsidP="007C68AE">
            <w:pPr>
              <w:spacing w:line="240" w:lineRule="auto"/>
              <w:rPr>
                <w:rFonts w:ascii="Arial" w:hAnsi="Arial" w:cs="Arial"/>
                <w:sz w:val="19"/>
                <w:szCs w:val="19"/>
              </w:rPr>
            </w:pPr>
            <w:r>
              <w:rPr>
                <w:rFonts w:ascii="Arial" w:hAnsi="Arial" w:cs="Arial"/>
                <w:sz w:val="19"/>
                <w:szCs w:val="19"/>
              </w:rPr>
              <w:t>CC WRP</w:t>
            </w:r>
          </w:p>
        </w:tc>
        <w:tc>
          <w:tcPr>
            <w:tcW w:w="5755" w:type="dxa"/>
            <w:vAlign w:val="center"/>
          </w:tcPr>
          <w:p w14:paraId="11D90516" w14:textId="755B2A4C" w:rsidR="00AB3DD8" w:rsidRDefault="00AB3DD8" w:rsidP="007C68AE">
            <w:pPr>
              <w:spacing w:line="240" w:lineRule="auto"/>
              <w:rPr>
                <w:rFonts w:ascii="Arial" w:hAnsi="Arial" w:cs="Arial"/>
                <w:sz w:val="19"/>
                <w:szCs w:val="19"/>
              </w:rPr>
            </w:pPr>
            <w:r>
              <w:rPr>
                <w:rFonts w:ascii="Arial" w:hAnsi="Arial" w:cs="Arial"/>
                <w:sz w:val="19"/>
                <w:szCs w:val="19"/>
              </w:rPr>
              <w:t>Carbon Canyon Water Reclamation Plant</w:t>
            </w:r>
          </w:p>
        </w:tc>
      </w:tr>
      <w:tr w:rsidR="008A7BA7" w:rsidRPr="00062561" w14:paraId="72255EAC" w14:textId="77777777" w:rsidTr="0095436D">
        <w:trPr>
          <w:trHeight w:val="288"/>
        </w:trPr>
        <w:tc>
          <w:tcPr>
            <w:tcW w:w="3330" w:type="dxa"/>
            <w:vAlign w:val="center"/>
          </w:tcPr>
          <w:p w14:paraId="610B3CAB" w14:textId="7620B552" w:rsidR="008A7BA7" w:rsidRDefault="008A7BA7" w:rsidP="007C68AE">
            <w:pPr>
              <w:spacing w:line="240" w:lineRule="auto"/>
              <w:rPr>
                <w:rFonts w:ascii="Arial" w:hAnsi="Arial" w:cs="Arial"/>
                <w:sz w:val="19"/>
                <w:szCs w:val="19"/>
              </w:rPr>
            </w:pPr>
            <w:r>
              <w:rPr>
                <w:rFonts w:ascii="Arial" w:hAnsi="Arial" w:cs="Arial"/>
                <w:sz w:val="19"/>
                <w:szCs w:val="19"/>
              </w:rPr>
              <w:t>cfs</w:t>
            </w:r>
          </w:p>
        </w:tc>
        <w:tc>
          <w:tcPr>
            <w:tcW w:w="5755" w:type="dxa"/>
            <w:vAlign w:val="center"/>
          </w:tcPr>
          <w:p w14:paraId="0723594C" w14:textId="62EFEDBA" w:rsidR="008A7BA7" w:rsidRDefault="008A7BA7" w:rsidP="007C68AE">
            <w:pPr>
              <w:spacing w:line="240" w:lineRule="auto"/>
              <w:rPr>
                <w:rFonts w:ascii="Arial" w:hAnsi="Arial" w:cs="Arial"/>
                <w:sz w:val="19"/>
                <w:szCs w:val="19"/>
              </w:rPr>
            </w:pPr>
            <w:r>
              <w:rPr>
                <w:rFonts w:ascii="Arial" w:hAnsi="Arial" w:cs="Arial"/>
                <w:sz w:val="19"/>
                <w:szCs w:val="19"/>
              </w:rPr>
              <w:t>Cubic feet per second</w:t>
            </w:r>
          </w:p>
        </w:tc>
      </w:tr>
      <w:tr w:rsidR="00AB3DD8" w:rsidRPr="00062561" w14:paraId="11950A8C" w14:textId="77777777" w:rsidTr="0095436D">
        <w:trPr>
          <w:trHeight w:val="288"/>
        </w:trPr>
        <w:tc>
          <w:tcPr>
            <w:tcW w:w="3330" w:type="dxa"/>
            <w:vAlign w:val="center"/>
          </w:tcPr>
          <w:p w14:paraId="4BA4220D" w14:textId="03C68E17" w:rsidR="00AB3DD8" w:rsidRDefault="00AB3DD8" w:rsidP="007C68AE">
            <w:pPr>
              <w:spacing w:line="240" w:lineRule="auto"/>
              <w:rPr>
                <w:rFonts w:ascii="Arial" w:hAnsi="Arial" w:cs="Arial"/>
                <w:sz w:val="19"/>
                <w:szCs w:val="19"/>
              </w:rPr>
            </w:pPr>
            <w:proofErr w:type="spellStart"/>
            <w:r>
              <w:rPr>
                <w:rFonts w:ascii="Arial" w:hAnsi="Arial" w:cs="Arial"/>
                <w:sz w:val="19"/>
                <w:szCs w:val="19"/>
              </w:rPr>
              <w:t>cfu</w:t>
            </w:r>
            <w:proofErr w:type="spellEnd"/>
          </w:p>
        </w:tc>
        <w:tc>
          <w:tcPr>
            <w:tcW w:w="5755" w:type="dxa"/>
            <w:vAlign w:val="center"/>
          </w:tcPr>
          <w:p w14:paraId="72BB2C07" w14:textId="72B1F207" w:rsidR="00AB3DD8" w:rsidRDefault="00AB3DD8" w:rsidP="007C68AE">
            <w:pPr>
              <w:spacing w:line="240" w:lineRule="auto"/>
              <w:rPr>
                <w:rFonts w:ascii="Arial" w:hAnsi="Arial" w:cs="Arial"/>
                <w:sz w:val="19"/>
                <w:szCs w:val="19"/>
              </w:rPr>
            </w:pPr>
            <w:r>
              <w:rPr>
                <w:rFonts w:ascii="Arial" w:hAnsi="Arial" w:cs="Arial"/>
                <w:sz w:val="19"/>
                <w:szCs w:val="19"/>
              </w:rPr>
              <w:t>Colony Forming Units</w:t>
            </w:r>
          </w:p>
        </w:tc>
      </w:tr>
      <w:tr w:rsidR="000C1AA1" w:rsidRPr="00062561" w14:paraId="74EE4D18" w14:textId="77777777" w:rsidTr="0095436D">
        <w:trPr>
          <w:trHeight w:val="288"/>
        </w:trPr>
        <w:tc>
          <w:tcPr>
            <w:tcW w:w="3330" w:type="dxa"/>
            <w:vAlign w:val="center"/>
          </w:tcPr>
          <w:p w14:paraId="0A1B7854" w14:textId="6A581000" w:rsidR="000C1AA1" w:rsidRDefault="000C1AA1" w:rsidP="007C68AE">
            <w:pPr>
              <w:spacing w:line="240" w:lineRule="auto"/>
              <w:rPr>
                <w:rFonts w:ascii="Arial" w:hAnsi="Arial" w:cs="Arial"/>
                <w:sz w:val="19"/>
                <w:szCs w:val="19"/>
              </w:rPr>
            </w:pPr>
            <w:r>
              <w:rPr>
                <w:rFonts w:ascii="Arial" w:hAnsi="Arial" w:cs="Arial"/>
                <w:sz w:val="19"/>
                <w:szCs w:val="19"/>
              </w:rPr>
              <w:t>CIMP</w:t>
            </w:r>
          </w:p>
        </w:tc>
        <w:tc>
          <w:tcPr>
            <w:tcW w:w="5755" w:type="dxa"/>
            <w:vAlign w:val="center"/>
          </w:tcPr>
          <w:p w14:paraId="5AE3EC55" w14:textId="3A082E9F" w:rsidR="000C1AA1" w:rsidRDefault="000C1AA1" w:rsidP="007C68AE">
            <w:pPr>
              <w:spacing w:line="240" w:lineRule="auto"/>
              <w:rPr>
                <w:rFonts w:ascii="Arial" w:hAnsi="Arial" w:cs="Arial"/>
                <w:sz w:val="19"/>
                <w:szCs w:val="19"/>
              </w:rPr>
            </w:pPr>
            <w:r w:rsidRPr="000C1AA1">
              <w:rPr>
                <w:rFonts w:ascii="Arial" w:hAnsi="Arial" w:cs="Arial"/>
                <w:sz w:val="19"/>
                <w:szCs w:val="19"/>
              </w:rPr>
              <w:t>Coordinated Integrated Monitoring Program</w:t>
            </w:r>
          </w:p>
        </w:tc>
      </w:tr>
      <w:tr w:rsidR="0048591F" w:rsidRPr="00062561" w14:paraId="01091FA3" w14:textId="77777777" w:rsidTr="0095436D">
        <w:trPr>
          <w:trHeight w:val="288"/>
        </w:trPr>
        <w:tc>
          <w:tcPr>
            <w:tcW w:w="3330" w:type="dxa"/>
            <w:vAlign w:val="center"/>
          </w:tcPr>
          <w:p w14:paraId="5865752F" w14:textId="01B623E4" w:rsidR="0048591F" w:rsidRPr="007E7F05" w:rsidRDefault="001745E0" w:rsidP="007C68AE">
            <w:pPr>
              <w:spacing w:line="240" w:lineRule="auto"/>
              <w:rPr>
                <w:rFonts w:ascii="Arial" w:hAnsi="Arial" w:cs="Arial"/>
                <w:sz w:val="19"/>
                <w:szCs w:val="19"/>
              </w:rPr>
            </w:pPr>
            <w:r>
              <w:rPr>
                <w:rFonts w:ascii="Arial" w:hAnsi="Arial" w:cs="Arial"/>
                <w:sz w:val="19"/>
                <w:szCs w:val="19"/>
              </w:rPr>
              <w:t>DAMP</w:t>
            </w:r>
          </w:p>
        </w:tc>
        <w:tc>
          <w:tcPr>
            <w:tcW w:w="5755" w:type="dxa"/>
            <w:vAlign w:val="center"/>
          </w:tcPr>
          <w:p w14:paraId="474D7187" w14:textId="25ED725B" w:rsidR="0048591F" w:rsidRPr="007E7F05" w:rsidRDefault="001745E0" w:rsidP="007C68AE">
            <w:pPr>
              <w:spacing w:line="240" w:lineRule="auto"/>
              <w:rPr>
                <w:rFonts w:ascii="Arial" w:hAnsi="Arial" w:cs="Arial"/>
                <w:sz w:val="19"/>
                <w:szCs w:val="19"/>
              </w:rPr>
            </w:pPr>
            <w:r>
              <w:rPr>
                <w:rFonts w:ascii="Arial" w:hAnsi="Arial" w:cs="Arial"/>
                <w:sz w:val="19"/>
                <w:szCs w:val="19"/>
              </w:rPr>
              <w:t>Drainage Area Management Plan</w:t>
            </w:r>
          </w:p>
        </w:tc>
      </w:tr>
      <w:tr w:rsidR="00786CDE" w:rsidRPr="00062561" w14:paraId="5AF14EF4" w14:textId="77777777" w:rsidTr="0095436D">
        <w:trPr>
          <w:trHeight w:val="288"/>
        </w:trPr>
        <w:tc>
          <w:tcPr>
            <w:tcW w:w="3330" w:type="dxa"/>
            <w:vAlign w:val="center"/>
          </w:tcPr>
          <w:p w14:paraId="1B7A542B" w14:textId="18EECDCF" w:rsidR="00786CDE" w:rsidRDefault="00786CDE" w:rsidP="007C68AE">
            <w:pPr>
              <w:spacing w:line="240" w:lineRule="auto"/>
              <w:rPr>
                <w:rFonts w:ascii="Arial" w:hAnsi="Arial" w:cs="Arial"/>
                <w:sz w:val="19"/>
                <w:szCs w:val="19"/>
              </w:rPr>
            </w:pPr>
            <w:r>
              <w:rPr>
                <w:rFonts w:ascii="Arial" w:hAnsi="Arial" w:cs="Arial"/>
                <w:sz w:val="19"/>
                <w:szCs w:val="19"/>
              </w:rPr>
              <w:t>DOC</w:t>
            </w:r>
          </w:p>
        </w:tc>
        <w:tc>
          <w:tcPr>
            <w:tcW w:w="5755" w:type="dxa"/>
            <w:vAlign w:val="center"/>
          </w:tcPr>
          <w:p w14:paraId="3EFBBF93" w14:textId="353C877F" w:rsidR="00786CDE" w:rsidRDefault="00786CDE" w:rsidP="007C68AE">
            <w:pPr>
              <w:spacing w:line="240" w:lineRule="auto"/>
              <w:rPr>
                <w:rFonts w:ascii="Arial" w:hAnsi="Arial" w:cs="Arial"/>
                <w:sz w:val="19"/>
                <w:szCs w:val="19"/>
              </w:rPr>
            </w:pPr>
            <w:r>
              <w:rPr>
                <w:rFonts w:ascii="Arial" w:hAnsi="Arial" w:cs="Arial"/>
                <w:sz w:val="19"/>
                <w:szCs w:val="19"/>
              </w:rPr>
              <w:t>Dissolved Organic Carbon</w:t>
            </w:r>
          </w:p>
        </w:tc>
      </w:tr>
      <w:tr w:rsidR="0048591F" w:rsidRPr="00062561" w14:paraId="20281A66" w14:textId="77777777" w:rsidTr="0095436D">
        <w:trPr>
          <w:trHeight w:val="288"/>
        </w:trPr>
        <w:tc>
          <w:tcPr>
            <w:tcW w:w="3330" w:type="dxa"/>
            <w:vAlign w:val="center"/>
          </w:tcPr>
          <w:p w14:paraId="560F70A7" w14:textId="17834F09" w:rsidR="0048591F" w:rsidRPr="007E7F05" w:rsidRDefault="006624DB" w:rsidP="007C68AE">
            <w:pPr>
              <w:spacing w:line="240" w:lineRule="auto"/>
              <w:rPr>
                <w:rFonts w:ascii="Arial" w:hAnsi="Arial" w:cs="Arial"/>
                <w:sz w:val="19"/>
                <w:szCs w:val="19"/>
              </w:rPr>
            </w:pPr>
            <w:r>
              <w:rPr>
                <w:rFonts w:ascii="Arial" w:hAnsi="Arial" w:cs="Arial"/>
                <w:sz w:val="19"/>
                <w:szCs w:val="19"/>
              </w:rPr>
              <w:t>DWF</w:t>
            </w:r>
          </w:p>
        </w:tc>
        <w:tc>
          <w:tcPr>
            <w:tcW w:w="5755" w:type="dxa"/>
            <w:vAlign w:val="center"/>
          </w:tcPr>
          <w:p w14:paraId="2961989A" w14:textId="2EF6460D" w:rsidR="0048591F" w:rsidRPr="007E7F05" w:rsidRDefault="006624DB" w:rsidP="007C68AE">
            <w:pPr>
              <w:spacing w:line="240" w:lineRule="auto"/>
              <w:rPr>
                <w:rFonts w:ascii="Arial" w:hAnsi="Arial" w:cs="Arial"/>
                <w:sz w:val="19"/>
                <w:szCs w:val="19"/>
              </w:rPr>
            </w:pPr>
            <w:r>
              <w:rPr>
                <w:rFonts w:ascii="Arial" w:hAnsi="Arial" w:cs="Arial"/>
                <w:sz w:val="19"/>
                <w:szCs w:val="19"/>
              </w:rPr>
              <w:t>Dry Weather Flow</w:t>
            </w:r>
          </w:p>
        </w:tc>
      </w:tr>
      <w:tr w:rsidR="0048591F" w:rsidRPr="00062561" w14:paraId="5905B9CD" w14:textId="77777777" w:rsidTr="0095436D">
        <w:trPr>
          <w:trHeight w:val="288"/>
        </w:trPr>
        <w:tc>
          <w:tcPr>
            <w:tcW w:w="3330" w:type="dxa"/>
            <w:vAlign w:val="center"/>
          </w:tcPr>
          <w:p w14:paraId="4939FF40" w14:textId="1D256184" w:rsidR="0048591F" w:rsidRPr="00D96E87" w:rsidRDefault="00D96E87" w:rsidP="007C68AE">
            <w:pPr>
              <w:spacing w:line="240" w:lineRule="auto"/>
              <w:rPr>
                <w:rFonts w:ascii="Arial" w:hAnsi="Arial" w:cs="Arial"/>
                <w:i/>
                <w:iCs/>
                <w:sz w:val="19"/>
                <w:szCs w:val="19"/>
              </w:rPr>
            </w:pPr>
            <w:r w:rsidRPr="00D96E87">
              <w:rPr>
                <w:rFonts w:ascii="Arial" w:hAnsi="Arial" w:cs="Arial"/>
                <w:i/>
                <w:iCs/>
                <w:sz w:val="19"/>
                <w:szCs w:val="19"/>
              </w:rPr>
              <w:t>E. coli</w:t>
            </w:r>
          </w:p>
        </w:tc>
        <w:tc>
          <w:tcPr>
            <w:tcW w:w="5755" w:type="dxa"/>
            <w:vAlign w:val="center"/>
          </w:tcPr>
          <w:p w14:paraId="51021C55" w14:textId="2A943B08" w:rsidR="0048591F" w:rsidRPr="00D96E87" w:rsidRDefault="00D96E87" w:rsidP="007C68AE">
            <w:pPr>
              <w:spacing w:line="240" w:lineRule="auto"/>
              <w:rPr>
                <w:rFonts w:ascii="Arial" w:hAnsi="Arial" w:cs="Arial"/>
                <w:i/>
                <w:iCs/>
                <w:sz w:val="19"/>
                <w:szCs w:val="19"/>
              </w:rPr>
            </w:pPr>
            <w:r w:rsidRPr="00D96E87">
              <w:rPr>
                <w:rFonts w:ascii="Arial" w:hAnsi="Arial" w:cs="Arial"/>
                <w:i/>
                <w:iCs/>
                <w:sz w:val="19"/>
                <w:szCs w:val="19"/>
              </w:rPr>
              <w:t>Escherichia coli</w:t>
            </w:r>
          </w:p>
        </w:tc>
      </w:tr>
      <w:tr w:rsidR="000C1AA1" w:rsidRPr="00062561" w14:paraId="66E5AE30" w14:textId="77777777" w:rsidTr="0095436D">
        <w:trPr>
          <w:trHeight w:val="288"/>
        </w:trPr>
        <w:tc>
          <w:tcPr>
            <w:tcW w:w="3330" w:type="dxa"/>
            <w:vAlign w:val="center"/>
          </w:tcPr>
          <w:p w14:paraId="52FB6557" w14:textId="34FCAD85" w:rsidR="000C1AA1" w:rsidRPr="00D96E87" w:rsidRDefault="000C1AA1" w:rsidP="000C1AA1">
            <w:pPr>
              <w:spacing w:line="240" w:lineRule="auto"/>
              <w:rPr>
                <w:rFonts w:ascii="Arial" w:hAnsi="Arial" w:cs="Arial"/>
                <w:i/>
                <w:iCs/>
                <w:sz w:val="19"/>
                <w:szCs w:val="19"/>
              </w:rPr>
            </w:pPr>
            <w:r w:rsidRPr="000C1AA1">
              <w:rPr>
                <w:rFonts w:ascii="Arial" w:hAnsi="Arial" w:cs="Arial"/>
                <w:sz w:val="19"/>
                <w:szCs w:val="19"/>
              </w:rPr>
              <w:t>ESG</w:t>
            </w:r>
            <w:r>
              <w:rPr>
                <w:rFonts w:ascii="Arial" w:hAnsi="Arial" w:cs="Arial"/>
                <w:sz w:val="19"/>
                <w:szCs w:val="19"/>
              </w:rPr>
              <w:t>V</w:t>
            </w:r>
          </w:p>
        </w:tc>
        <w:tc>
          <w:tcPr>
            <w:tcW w:w="5755" w:type="dxa"/>
            <w:vAlign w:val="center"/>
          </w:tcPr>
          <w:p w14:paraId="116B92A6" w14:textId="661F20E9" w:rsidR="000C1AA1" w:rsidRPr="00D96E87" w:rsidRDefault="000C1AA1" w:rsidP="000C1AA1">
            <w:pPr>
              <w:spacing w:line="240" w:lineRule="auto"/>
              <w:rPr>
                <w:rFonts w:ascii="Arial" w:hAnsi="Arial" w:cs="Arial"/>
                <w:i/>
                <w:iCs/>
                <w:sz w:val="19"/>
                <w:szCs w:val="19"/>
              </w:rPr>
            </w:pPr>
            <w:r w:rsidRPr="000C1AA1">
              <w:rPr>
                <w:rFonts w:ascii="Arial" w:hAnsi="Arial" w:cs="Arial"/>
                <w:sz w:val="19"/>
                <w:szCs w:val="19"/>
              </w:rPr>
              <w:t>East San Gabriel Valle</w:t>
            </w:r>
            <w:r>
              <w:rPr>
                <w:rFonts w:ascii="Arial" w:hAnsi="Arial" w:cs="Arial"/>
                <w:sz w:val="19"/>
                <w:szCs w:val="19"/>
              </w:rPr>
              <w:t>y</w:t>
            </w:r>
          </w:p>
        </w:tc>
      </w:tr>
      <w:tr w:rsidR="000C1AA1" w:rsidRPr="00062561" w14:paraId="18091B41" w14:textId="77777777" w:rsidTr="0095436D">
        <w:trPr>
          <w:trHeight w:val="288"/>
        </w:trPr>
        <w:tc>
          <w:tcPr>
            <w:tcW w:w="3330" w:type="dxa"/>
            <w:vAlign w:val="center"/>
          </w:tcPr>
          <w:p w14:paraId="2FD794A1" w14:textId="34D479AB" w:rsidR="000C1AA1" w:rsidRPr="000C1AA1" w:rsidRDefault="000C1AA1" w:rsidP="007C68AE">
            <w:pPr>
              <w:spacing w:line="240" w:lineRule="auto"/>
              <w:rPr>
                <w:rFonts w:ascii="Arial" w:hAnsi="Arial" w:cs="Arial"/>
                <w:sz w:val="19"/>
                <w:szCs w:val="19"/>
              </w:rPr>
            </w:pPr>
            <w:r w:rsidRPr="000C1AA1">
              <w:rPr>
                <w:rFonts w:ascii="Arial" w:hAnsi="Arial" w:cs="Arial"/>
                <w:sz w:val="19"/>
                <w:szCs w:val="19"/>
              </w:rPr>
              <w:t>ESGVWMP</w:t>
            </w:r>
          </w:p>
        </w:tc>
        <w:tc>
          <w:tcPr>
            <w:tcW w:w="5755" w:type="dxa"/>
            <w:vAlign w:val="center"/>
          </w:tcPr>
          <w:p w14:paraId="7C6DB6C2" w14:textId="201CA71F" w:rsidR="000C1AA1" w:rsidRPr="000C1AA1" w:rsidRDefault="000C1AA1" w:rsidP="007C68AE">
            <w:pPr>
              <w:spacing w:line="240" w:lineRule="auto"/>
              <w:rPr>
                <w:rFonts w:ascii="Arial" w:hAnsi="Arial" w:cs="Arial"/>
                <w:sz w:val="19"/>
                <w:szCs w:val="19"/>
              </w:rPr>
            </w:pPr>
            <w:r w:rsidRPr="000C1AA1">
              <w:rPr>
                <w:rFonts w:ascii="Arial" w:hAnsi="Arial" w:cs="Arial"/>
                <w:sz w:val="19"/>
                <w:szCs w:val="19"/>
              </w:rPr>
              <w:t xml:space="preserve">East San Gabriel Valley Watershed </w:t>
            </w:r>
            <w:r>
              <w:rPr>
                <w:rFonts w:ascii="Arial" w:hAnsi="Arial" w:cs="Arial"/>
                <w:sz w:val="19"/>
                <w:szCs w:val="19"/>
              </w:rPr>
              <w:t>M</w:t>
            </w:r>
            <w:r w:rsidRPr="000C1AA1">
              <w:rPr>
                <w:rFonts w:ascii="Arial" w:hAnsi="Arial" w:cs="Arial"/>
                <w:sz w:val="19"/>
                <w:szCs w:val="19"/>
              </w:rPr>
              <w:t>anagement Program</w:t>
            </w:r>
          </w:p>
        </w:tc>
      </w:tr>
      <w:tr w:rsidR="00BA0746" w:rsidRPr="00062561" w14:paraId="6900E431" w14:textId="77777777" w:rsidTr="0095436D">
        <w:trPr>
          <w:trHeight w:val="288"/>
        </w:trPr>
        <w:tc>
          <w:tcPr>
            <w:tcW w:w="3330" w:type="dxa"/>
            <w:vAlign w:val="center"/>
          </w:tcPr>
          <w:p w14:paraId="0565CB7A" w14:textId="53D13F24" w:rsidR="00BA0746" w:rsidRPr="00BA0746" w:rsidRDefault="00BA0746" w:rsidP="007C68AE">
            <w:pPr>
              <w:spacing w:line="240" w:lineRule="auto"/>
              <w:rPr>
                <w:rFonts w:ascii="Arial" w:hAnsi="Arial" w:cs="Arial"/>
                <w:sz w:val="19"/>
                <w:szCs w:val="19"/>
              </w:rPr>
            </w:pPr>
            <w:r>
              <w:rPr>
                <w:rFonts w:ascii="Arial" w:hAnsi="Arial" w:cs="Arial"/>
                <w:sz w:val="19"/>
                <w:szCs w:val="19"/>
              </w:rPr>
              <w:t>FBRP</w:t>
            </w:r>
          </w:p>
        </w:tc>
        <w:tc>
          <w:tcPr>
            <w:tcW w:w="5755" w:type="dxa"/>
            <w:vAlign w:val="center"/>
          </w:tcPr>
          <w:p w14:paraId="2D3BC4FD" w14:textId="4E40C58A" w:rsidR="00BA0746" w:rsidRPr="00BA0746" w:rsidRDefault="00BA0746" w:rsidP="007C68AE">
            <w:pPr>
              <w:spacing w:line="240" w:lineRule="auto"/>
              <w:rPr>
                <w:rFonts w:ascii="Arial" w:hAnsi="Arial" w:cs="Arial"/>
                <w:sz w:val="19"/>
                <w:szCs w:val="19"/>
              </w:rPr>
            </w:pPr>
            <w:r>
              <w:rPr>
                <w:rFonts w:ascii="Arial" w:hAnsi="Arial" w:cs="Arial"/>
                <w:sz w:val="19"/>
                <w:szCs w:val="19"/>
              </w:rPr>
              <w:t>Facility Bacteria Reduction Plan</w:t>
            </w:r>
          </w:p>
        </w:tc>
      </w:tr>
      <w:tr w:rsidR="008574EF" w:rsidRPr="00062561" w14:paraId="0BDF09ED" w14:textId="77777777" w:rsidTr="0095436D">
        <w:trPr>
          <w:trHeight w:val="288"/>
        </w:trPr>
        <w:tc>
          <w:tcPr>
            <w:tcW w:w="3330" w:type="dxa"/>
            <w:vAlign w:val="center"/>
          </w:tcPr>
          <w:p w14:paraId="25109D36" w14:textId="6E3A07CC" w:rsidR="008574EF" w:rsidRDefault="008574EF" w:rsidP="007C68AE">
            <w:pPr>
              <w:spacing w:line="240" w:lineRule="auto"/>
              <w:rPr>
                <w:rFonts w:ascii="Arial" w:hAnsi="Arial" w:cs="Arial"/>
                <w:sz w:val="19"/>
                <w:szCs w:val="19"/>
              </w:rPr>
            </w:pPr>
            <w:r>
              <w:rPr>
                <w:rFonts w:ascii="Arial" w:hAnsi="Arial" w:cs="Arial"/>
                <w:sz w:val="19"/>
                <w:szCs w:val="19"/>
              </w:rPr>
              <w:t>gal/ac/day</w:t>
            </w:r>
          </w:p>
        </w:tc>
        <w:tc>
          <w:tcPr>
            <w:tcW w:w="5755" w:type="dxa"/>
            <w:vAlign w:val="center"/>
          </w:tcPr>
          <w:p w14:paraId="096BE93A" w14:textId="37D499AC" w:rsidR="008574EF" w:rsidRDefault="008574EF" w:rsidP="007C68AE">
            <w:pPr>
              <w:spacing w:line="240" w:lineRule="auto"/>
              <w:rPr>
                <w:rFonts w:ascii="Arial" w:hAnsi="Arial" w:cs="Arial"/>
                <w:sz w:val="19"/>
                <w:szCs w:val="19"/>
              </w:rPr>
            </w:pPr>
            <w:r w:rsidRPr="008574EF">
              <w:rPr>
                <w:rFonts w:ascii="Arial" w:hAnsi="Arial" w:cs="Arial"/>
                <w:sz w:val="19"/>
                <w:szCs w:val="19"/>
              </w:rPr>
              <w:t>gallons per acre per day</w:t>
            </w:r>
          </w:p>
        </w:tc>
      </w:tr>
      <w:tr w:rsidR="00AC0FC2" w:rsidRPr="00062561" w14:paraId="33763943" w14:textId="77777777" w:rsidTr="0095436D">
        <w:trPr>
          <w:trHeight w:val="288"/>
        </w:trPr>
        <w:tc>
          <w:tcPr>
            <w:tcW w:w="3330" w:type="dxa"/>
            <w:vAlign w:val="center"/>
          </w:tcPr>
          <w:p w14:paraId="38F15067" w14:textId="0FDF22FB" w:rsidR="00AC0FC2" w:rsidRDefault="00AC0FC2" w:rsidP="007C68AE">
            <w:pPr>
              <w:spacing w:line="240" w:lineRule="auto"/>
              <w:rPr>
                <w:rFonts w:ascii="Arial" w:hAnsi="Arial" w:cs="Arial"/>
                <w:sz w:val="19"/>
                <w:szCs w:val="19"/>
              </w:rPr>
            </w:pPr>
            <w:proofErr w:type="spellStart"/>
            <w:r>
              <w:rPr>
                <w:rFonts w:ascii="Arial" w:hAnsi="Arial" w:cs="Arial"/>
                <w:sz w:val="19"/>
                <w:szCs w:val="19"/>
              </w:rPr>
              <w:t>gc</w:t>
            </w:r>
            <w:proofErr w:type="spellEnd"/>
          </w:p>
        </w:tc>
        <w:tc>
          <w:tcPr>
            <w:tcW w:w="5755" w:type="dxa"/>
            <w:vAlign w:val="center"/>
          </w:tcPr>
          <w:p w14:paraId="1CA650CB" w14:textId="3473B254" w:rsidR="00AC0FC2" w:rsidRDefault="00AC0FC2" w:rsidP="007C68AE">
            <w:pPr>
              <w:spacing w:line="240" w:lineRule="auto"/>
              <w:rPr>
                <w:rFonts w:ascii="Arial" w:hAnsi="Arial" w:cs="Arial"/>
                <w:sz w:val="19"/>
                <w:szCs w:val="19"/>
              </w:rPr>
            </w:pPr>
            <w:r>
              <w:rPr>
                <w:rFonts w:ascii="Arial" w:hAnsi="Arial" w:cs="Arial"/>
                <w:sz w:val="19"/>
                <w:szCs w:val="19"/>
              </w:rPr>
              <w:t>Gene Copies</w:t>
            </w:r>
          </w:p>
        </w:tc>
      </w:tr>
      <w:tr w:rsidR="00AC0FC2" w:rsidRPr="00062561" w14:paraId="65034E99" w14:textId="77777777" w:rsidTr="0095436D">
        <w:trPr>
          <w:trHeight w:val="288"/>
        </w:trPr>
        <w:tc>
          <w:tcPr>
            <w:tcW w:w="3330" w:type="dxa"/>
            <w:vAlign w:val="center"/>
          </w:tcPr>
          <w:p w14:paraId="44CEF209" w14:textId="664EC33F" w:rsidR="00AC0FC2" w:rsidRDefault="00AC0FC2" w:rsidP="007C68AE">
            <w:pPr>
              <w:spacing w:line="240" w:lineRule="auto"/>
              <w:rPr>
                <w:rFonts w:ascii="Arial" w:hAnsi="Arial" w:cs="Arial"/>
                <w:sz w:val="19"/>
                <w:szCs w:val="19"/>
              </w:rPr>
            </w:pPr>
            <w:r>
              <w:rPr>
                <w:rFonts w:ascii="Arial" w:hAnsi="Arial" w:cs="Arial"/>
                <w:sz w:val="19"/>
                <w:szCs w:val="19"/>
              </w:rPr>
              <w:t xml:space="preserve">HF </w:t>
            </w:r>
          </w:p>
        </w:tc>
        <w:tc>
          <w:tcPr>
            <w:tcW w:w="5755" w:type="dxa"/>
            <w:vAlign w:val="center"/>
          </w:tcPr>
          <w:p w14:paraId="5228098D" w14:textId="3A274ABB" w:rsidR="00AC0FC2" w:rsidRDefault="00AC0FC2" w:rsidP="007C68AE">
            <w:pPr>
              <w:spacing w:line="240" w:lineRule="auto"/>
              <w:rPr>
                <w:rFonts w:ascii="Arial" w:hAnsi="Arial" w:cs="Arial"/>
                <w:sz w:val="19"/>
                <w:szCs w:val="19"/>
              </w:rPr>
            </w:pPr>
            <w:r>
              <w:rPr>
                <w:rFonts w:ascii="Arial" w:hAnsi="Arial" w:cs="Arial"/>
                <w:sz w:val="19"/>
                <w:szCs w:val="19"/>
              </w:rPr>
              <w:t>Human Feces</w:t>
            </w:r>
          </w:p>
        </w:tc>
      </w:tr>
      <w:tr w:rsidR="0048591F" w:rsidRPr="00062561" w14:paraId="375B88E5" w14:textId="77777777" w:rsidTr="0095436D">
        <w:trPr>
          <w:trHeight w:val="288"/>
        </w:trPr>
        <w:tc>
          <w:tcPr>
            <w:tcW w:w="3330" w:type="dxa"/>
            <w:vAlign w:val="center"/>
          </w:tcPr>
          <w:p w14:paraId="4E239825" w14:textId="06143C95" w:rsidR="0048591F" w:rsidRPr="007E7F05" w:rsidRDefault="007F05C4" w:rsidP="007C68AE">
            <w:pPr>
              <w:spacing w:line="240" w:lineRule="auto"/>
              <w:rPr>
                <w:rFonts w:ascii="Arial" w:hAnsi="Arial" w:cs="Arial"/>
                <w:sz w:val="19"/>
                <w:szCs w:val="19"/>
              </w:rPr>
            </w:pPr>
            <w:r>
              <w:rPr>
                <w:rFonts w:ascii="Arial" w:hAnsi="Arial" w:cs="Arial"/>
                <w:sz w:val="19"/>
                <w:szCs w:val="19"/>
              </w:rPr>
              <w:t>IEUA</w:t>
            </w:r>
          </w:p>
        </w:tc>
        <w:tc>
          <w:tcPr>
            <w:tcW w:w="5755" w:type="dxa"/>
            <w:vAlign w:val="center"/>
          </w:tcPr>
          <w:p w14:paraId="4690AD77" w14:textId="65F32BC4" w:rsidR="0048591F" w:rsidRPr="007E7F05" w:rsidRDefault="007F05C4" w:rsidP="007C68AE">
            <w:pPr>
              <w:spacing w:line="240" w:lineRule="auto"/>
              <w:rPr>
                <w:rFonts w:ascii="Arial" w:hAnsi="Arial" w:cs="Arial"/>
                <w:sz w:val="19"/>
                <w:szCs w:val="19"/>
              </w:rPr>
            </w:pPr>
            <w:r>
              <w:rPr>
                <w:rFonts w:ascii="Arial" w:hAnsi="Arial" w:cs="Arial"/>
                <w:sz w:val="19"/>
                <w:szCs w:val="19"/>
              </w:rPr>
              <w:t>Inland Empire Utilities Agency</w:t>
            </w:r>
          </w:p>
        </w:tc>
      </w:tr>
      <w:tr w:rsidR="0048591F" w:rsidRPr="00062561" w14:paraId="33D69D98" w14:textId="77777777" w:rsidTr="0095436D">
        <w:trPr>
          <w:trHeight w:val="288"/>
        </w:trPr>
        <w:tc>
          <w:tcPr>
            <w:tcW w:w="3330" w:type="dxa"/>
            <w:vAlign w:val="center"/>
          </w:tcPr>
          <w:p w14:paraId="29F6E487" w14:textId="7827D023" w:rsidR="0048591F" w:rsidRPr="007E7F05" w:rsidRDefault="00D96E87" w:rsidP="007C68AE">
            <w:pPr>
              <w:spacing w:line="240" w:lineRule="auto"/>
              <w:rPr>
                <w:rFonts w:ascii="Arial" w:hAnsi="Arial" w:cs="Arial"/>
                <w:sz w:val="19"/>
                <w:szCs w:val="19"/>
              </w:rPr>
            </w:pPr>
            <w:r>
              <w:rPr>
                <w:rFonts w:ascii="Arial" w:hAnsi="Arial" w:cs="Arial"/>
                <w:sz w:val="19"/>
                <w:szCs w:val="19"/>
              </w:rPr>
              <w:t>LA</w:t>
            </w:r>
          </w:p>
        </w:tc>
        <w:tc>
          <w:tcPr>
            <w:tcW w:w="5755" w:type="dxa"/>
            <w:vAlign w:val="center"/>
          </w:tcPr>
          <w:p w14:paraId="7FA9E582" w14:textId="33B942CB" w:rsidR="0048591F" w:rsidRPr="007E7F05" w:rsidRDefault="00D96E87" w:rsidP="007C68AE">
            <w:pPr>
              <w:spacing w:line="240" w:lineRule="auto"/>
              <w:rPr>
                <w:rFonts w:ascii="Arial" w:hAnsi="Arial" w:cs="Arial"/>
                <w:sz w:val="19"/>
                <w:szCs w:val="19"/>
              </w:rPr>
            </w:pPr>
            <w:r>
              <w:rPr>
                <w:rFonts w:ascii="Arial" w:hAnsi="Arial" w:cs="Arial"/>
                <w:sz w:val="19"/>
                <w:szCs w:val="19"/>
              </w:rPr>
              <w:t>Load Allocation</w:t>
            </w:r>
          </w:p>
        </w:tc>
      </w:tr>
      <w:tr w:rsidR="0048591F" w:rsidRPr="00062561" w14:paraId="37FEEB7E" w14:textId="77777777" w:rsidTr="0095436D">
        <w:trPr>
          <w:trHeight w:val="288"/>
        </w:trPr>
        <w:tc>
          <w:tcPr>
            <w:tcW w:w="3330" w:type="dxa"/>
            <w:vAlign w:val="center"/>
          </w:tcPr>
          <w:p w14:paraId="4B68A350" w14:textId="1E55E4DF" w:rsidR="0048591F" w:rsidRPr="007E7F05" w:rsidRDefault="00910587" w:rsidP="007C68AE">
            <w:pPr>
              <w:spacing w:line="240" w:lineRule="auto"/>
              <w:rPr>
                <w:rFonts w:ascii="Arial" w:hAnsi="Arial" w:cs="Arial"/>
                <w:sz w:val="19"/>
                <w:szCs w:val="19"/>
              </w:rPr>
            </w:pPr>
            <w:r>
              <w:rPr>
                <w:rFonts w:ascii="Arial" w:hAnsi="Arial" w:cs="Arial"/>
                <w:sz w:val="19"/>
                <w:szCs w:val="19"/>
              </w:rPr>
              <w:t>lbs</w:t>
            </w:r>
          </w:p>
        </w:tc>
        <w:tc>
          <w:tcPr>
            <w:tcW w:w="5755" w:type="dxa"/>
            <w:vAlign w:val="center"/>
          </w:tcPr>
          <w:p w14:paraId="084E1EC4" w14:textId="7BB25547" w:rsidR="0048591F" w:rsidRPr="007E7F05" w:rsidRDefault="00910587" w:rsidP="007C68AE">
            <w:pPr>
              <w:spacing w:line="240" w:lineRule="auto"/>
              <w:rPr>
                <w:rFonts w:ascii="Arial" w:hAnsi="Arial" w:cs="Arial"/>
                <w:sz w:val="19"/>
                <w:szCs w:val="19"/>
              </w:rPr>
            </w:pPr>
            <w:r>
              <w:rPr>
                <w:rFonts w:ascii="Arial" w:hAnsi="Arial" w:cs="Arial"/>
                <w:sz w:val="19"/>
                <w:szCs w:val="19"/>
              </w:rPr>
              <w:t>Pounds</w:t>
            </w:r>
          </w:p>
        </w:tc>
      </w:tr>
      <w:tr w:rsidR="0014321E" w:rsidRPr="00062561" w14:paraId="7B76621C" w14:textId="77777777" w:rsidTr="0095436D">
        <w:trPr>
          <w:trHeight w:val="288"/>
        </w:trPr>
        <w:tc>
          <w:tcPr>
            <w:tcW w:w="3330" w:type="dxa"/>
            <w:vAlign w:val="center"/>
          </w:tcPr>
          <w:p w14:paraId="4443F825" w14:textId="1F18F312" w:rsidR="0014321E" w:rsidRPr="0014321E" w:rsidRDefault="0014321E" w:rsidP="007C68AE">
            <w:pPr>
              <w:spacing w:line="240" w:lineRule="auto"/>
              <w:rPr>
                <w:rFonts w:ascii="Arial" w:hAnsi="Arial" w:cs="Arial"/>
                <w:sz w:val="19"/>
                <w:szCs w:val="19"/>
              </w:rPr>
            </w:pPr>
            <w:r w:rsidRPr="0014321E">
              <w:rPr>
                <w:rFonts w:ascii="Arial" w:hAnsi="Arial" w:cs="Arial"/>
                <w:sz w:val="19"/>
                <w:szCs w:val="19"/>
              </w:rPr>
              <w:t>Los Angeles Water Board</w:t>
            </w:r>
          </w:p>
        </w:tc>
        <w:tc>
          <w:tcPr>
            <w:tcW w:w="5755" w:type="dxa"/>
            <w:vAlign w:val="center"/>
          </w:tcPr>
          <w:p w14:paraId="7E937EDA" w14:textId="77136ED5" w:rsidR="0014321E" w:rsidRPr="0014321E" w:rsidRDefault="0014321E" w:rsidP="007C68AE">
            <w:pPr>
              <w:spacing w:line="240" w:lineRule="auto"/>
              <w:rPr>
                <w:rFonts w:ascii="Arial" w:hAnsi="Arial" w:cs="Arial"/>
                <w:sz w:val="19"/>
                <w:szCs w:val="19"/>
              </w:rPr>
            </w:pPr>
            <w:r w:rsidRPr="0014321E">
              <w:rPr>
                <w:rFonts w:ascii="Arial" w:hAnsi="Arial" w:cs="Arial"/>
                <w:sz w:val="19"/>
                <w:szCs w:val="19"/>
              </w:rPr>
              <w:t>Los Angeles Regional Water Quality Control Board</w:t>
            </w:r>
          </w:p>
        </w:tc>
      </w:tr>
      <w:tr w:rsidR="008574EF" w:rsidRPr="00062561" w14:paraId="78081D66" w14:textId="77777777" w:rsidTr="0095436D">
        <w:trPr>
          <w:trHeight w:val="288"/>
        </w:trPr>
        <w:tc>
          <w:tcPr>
            <w:tcW w:w="3330" w:type="dxa"/>
            <w:vAlign w:val="center"/>
          </w:tcPr>
          <w:p w14:paraId="3FA73DA4" w14:textId="175864E4" w:rsidR="008574EF" w:rsidRPr="0014321E" w:rsidRDefault="008574EF" w:rsidP="007C68AE">
            <w:pPr>
              <w:spacing w:line="240" w:lineRule="auto"/>
              <w:rPr>
                <w:rFonts w:ascii="Arial" w:hAnsi="Arial" w:cs="Arial"/>
                <w:sz w:val="19"/>
                <w:szCs w:val="19"/>
              </w:rPr>
            </w:pPr>
            <w:r>
              <w:rPr>
                <w:rFonts w:ascii="Arial" w:hAnsi="Arial" w:cs="Arial"/>
                <w:sz w:val="19"/>
                <w:szCs w:val="19"/>
              </w:rPr>
              <w:t>LSD</w:t>
            </w:r>
          </w:p>
        </w:tc>
        <w:tc>
          <w:tcPr>
            <w:tcW w:w="5755" w:type="dxa"/>
            <w:vAlign w:val="center"/>
          </w:tcPr>
          <w:p w14:paraId="0DF48111" w14:textId="6A29C4BE" w:rsidR="008574EF" w:rsidRPr="0014321E" w:rsidRDefault="008574EF" w:rsidP="007C68AE">
            <w:pPr>
              <w:spacing w:line="240" w:lineRule="auto"/>
              <w:rPr>
                <w:rFonts w:ascii="Arial" w:hAnsi="Arial" w:cs="Arial"/>
                <w:sz w:val="19"/>
                <w:szCs w:val="19"/>
              </w:rPr>
            </w:pPr>
            <w:r w:rsidRPr="008574EF">
              <w:rPr>
                <w:rFonts w:ascii="Arial" w:hAnsi="Arial" w:cs="Arial"/>
                <w:sz w:val="19"/>
                <w:szCs w:val="19"/>
              </w:rPr>
              <w:t xml:space="preserve">Log Standard Deviation </w:t>
            </w:r>
          </w:p>
        </w:tc>
      </w:tr>
      <w:tr w:rsidR="0048591F" w:rsidRPr="00062561" w14:paraId="38C35556" w14:textId="77777777" w:rsidTr="0095436D">
        <w:trPr>
          <w:trHeight w:val="288"/>
        </w:trPr>
        <w:tc>
          <w:tcPr>
            <w:tcW w:w="3330" w:type="dxa"/>
            <w:vAlign w:val="center"/>
          </w:tcPr>
          <w:p w14:paraId="2917CD1B" w14:textId="41B93718" w:rsidR="0048591F" w:rsidRPr="007E7F05" w:rsidRDefault="007F05C4" w:rsidP="007C68AE">
            <w:pPr>
              <w:spacing w:line="240" w:lineRule="auto"/>
              <w:rPr>
                <w:rFonts w:ascii="Arial" w:hAnsi="Arial" w:cs="Arial"/>
                <w:sz w:val="19"/>
                <w:szCs w:val="19"/>
              </w:rPr>
            </w:pPr>
            <w:r>
              <w:rPr>
                <w:rFonts w:ascii="Arial" w:hAnsi="Arial" w:cs="Arial"/>
                <w:sz w:val="19"/>
                <w:szCs w:val="19"/>
              </w:rPr>
              <w:t>MBB</w:t>
            </w:r>
          </w:p>
        </w:tc>
        <w:tc>
          <w:tcPr>
            <w:tcW w:w="5755" w:type="dxa"/>
            <w:vAlign w:val="center"/>
          </w:tcPr>
          <w:p w14:paraId="11244DA4" w14:textId="4ECAB1F0" w:rsidR="0048591F" w:rsidRPr="007E7F05" w:rsidRDefault="007F05C4" w:rsidP="007C68AE">
            <w:pPr>
              <w:spacing w:line="240" w:lineRule="auto"/>
              <w:rPr>
                <w:rFonts w:ascii="Arial" w:hAnsi="Arial" w:cs="Arial"/>
                <w:sz w:val="19"/>
                <w:szCs w:val="19"/>
              </w:rPr>
            </w:pPr>
            <w:r>
              <w:rPr>
                <w:rFonts w:ascii="Arial" w:hAnsi="Arial" w:cs="Arial"/>
                <w:sz w:val="19"/>
                <w:szCs w:val="19"/>
              </w:rPr>
              <w:t>Mission Boulevard Bridge</w:t>
            </w:r>
          </w:p>
        </w:tc>
      </w:tr>
      <w:tr w:rsidR="00786CDE" w:rsidRPr="00062561" w14:paraId="627477F7" w14:textId="77777777" w:rsidTr="0095436D">
        <w:trPr>
          <w:trHeight w:val="288"/>
        </w:trPr>
        <w:tc>
          <w:tcPr>
            <w:tcW w:w="3330" w:type="dxa"/>
            <w:vAlign w:val="center"/>
          </w:tcPr>
          <w:p w14:paraId="123FE562" w14:textId="02D946A4" w:rsidR="00786CDE" w:rsidRDefault="00786CDE" w:rsidP="007C68AE">
            <w:pPr>
              <w:spacing w:line="240" w:lineRule="auto"/>
              <w:rPr>
                <w:rFonts w:ascii="Arial" w:hAnsi="Arial" w:cs="Arial"/>
                <w:sz w:val="19"/>
                <w:szCs w:val="19"/>
              </w:rPr>
            </w:pPr>
            <w:r>
              <w:rPr>
                <w:rFonts w:ascii="Arial" w:hAnsi="Arial" w:cs="Arial"/>
                <w:sz w:val="19"/>
                <w:szCs w:val="19"/>
              </w:rPr>
              <w:t>MCSD</w:t>
            </w:r>
          </w:p>
        </w:tc>
        <w:tc>
          <w:tcPr>
            <w:tcW w:w="5755" w:type="dxa"/>
            <w:vAlign w:val="center"/>
          </w:tcPr>
          <w:p w14:paraId="384FA4DD" w14:textId="0230FE0B" w:rsidR="00786CDE" w:rsidRDefault="00786CDE" w:rsidP="007C68AE">
            <w:pPr>
              <w:spacing w:line="240" w:lineRule="auto"/>
              <w:rPr>
                <w:rFonts w:ascii="Arial" w:hAnsi="Arial" w:cs="Arial"/>
                <w:sz w:val="19"/>
                <w:szCs w:val="19"/>
              </w:rPr>
            </w:pPr>
            <w:r>
              <w:rPr>
                <w:rFonts w:ascii="Arial" w:hAnsi="Arial" w:cs="Arial"/>
                <w:sz w:val="19"/>
                <w:szCs w:val="19"/>
              </w:rPr>
              <w:t>Magnolia Center Storm Drain</w:t>
            </w:r>
          </w:p>
        </w:tc>
      </w:tr>
      <w:tr w:rsidR="00AB3DD8" w:rsidRPr="00062561" w14:paraId="65FE5920" w14:textId="77777777" w:rsidTr="0095436D">
        <w:trPr>
          <w:trHeight w:val="288"/>
        </w:trPr>
        <w:tc>
          <w:tcPr>
            <w:tcW w:w="3330" w:type="dxa"/>
            <w:vAlign w:val="center"/>
          </w:tcPr>
          <w:p w14:paraId="2D60D023" w14:textId="533D7100" w:rsidR="00AB3DD8" w:rsidRDefault="00AB3DD8" w:rsidP="007C68AE">
            <w:pPr>
              <w:spacing w:line="240" w:lineRule="auto"/>
              <w:rPr>
                <w:rFonts w:ascii="Arial" w:hAnsi="Arial" w:cs="Arial"/>
                <w:sz w:val="19"/>
                <w:szCs w:val="19"/>
              </w:rPr>
            </w:pPr>
            <w:r>
              <w:rPr>
                <w:rFonts w:ascii="Arial" w:hAnsi="Arial" w:cs="Arial"/>
                <w:sz w:val="19"/>
                <w:szCs w:val="19"/>
              </w:rPr>
              <w:t>MCW</w:t>
            </w:r>
          </w:p>
        </w:tc>
        <w:tc>
          <w:tcPr>
            <w:tcW w:w="5755" w:type="dxa"/>
            <w:vAlign w:val="center"/>
          </w:tcPr>
          <w:p w14:paraId="761D882F" w14:textId="53A11CE9" w:rsidR="00AB3DD8" w:rsidRDefault="00AB3DD8" w:rsidP="007C68AE">
            <w:pPr>
              <w:spacing w:line="240" w:lineRule="auto"/>
              <w:rPr>
                <w:rFonts w:ascii="Arial" w:hAnsi="Arial" w:cs="Arial"/>
                <w:sz w:val="19"/>
                <w:szCs w:val="19"/>
              </w:rPr>
            </w:pPr>
            <w:r>
              <w:rPr>
                <w:rFonts w:ascii="Arial" w:hAnsi="Arial" w:cs="Arial"/>
                <w:sz w:val="19"/>
                <w:szCs w:val="19"/>
              </w:rPr>
              <w:t>Mill Creek Wetland</w:t>
            </w:r>
          </w:p>
        </w:tc>
      </w:tr>
      <w:tr w:rsidR="00D96E87" w:rsidRPr="00062561" w14:paraId="23296B01" w14:textId="77777777" w:rsidTr="0095436D">
        <w:trPr>
          <w:trHeight w:val="288"/>
        </w:trPr>
        <w:tc>
          <w:tcPr>
            <w:tcW w:w="3330" w:type="dxa"/>
            <w:vAlign w:val="center"/>
          </w:tcPr>
          <w:p w14:paraId="4FA0E95F" w14:textId="5FCAB126" w:rsidR="00D96E87" w:rsidRPr="00D96E87" w:rsidRDefault="00D96E87" w:rsidP="007C68AE">
            <w:pPr>
              <w:spacing w:line="240" w:lineRule="auto"/>
              <w:rPr>
                <w:rFonts w:ascii="Arial" w:hAnsi="Arial" w:cs="Arial"/>
                <w:sz w:val="19"/>
                <w:szCs w:val="19"/>
              </w:rPr>
            </w:pPr>
            <w:r>
              <w:rPr>
                <w:rFonts w:ascii="Arial" w:hAnsi="Arial" w:cs="Arial"/>
                <w:sz w:val="19"/>
                <w:szCs w:val="19"/>
              </w:rPr>
              <w:t>mL</w:t>
            </w:r>
          </w:p>
        </w:tc>
        <w:tc>
          <w:tcPr>
            <w:tcW w:w="5755" w:type="dxa"/>
            <w:vAlign w:val="center"/>
          </w:tcPr>
          <w:p w14:paraId="6B25C5FD" w14:textId="7B548CD6" w:rsidR="00D96E87" w:rsidRPr="00D96E87" w:rsidRDefault="00D96E87" w:rsidP="007C68AE">
            <w:pPr>
              <w:spacing w:line="240" w:lineRule="auto"/>
              <w:rPr>
                <w:rFonts w:ascii="Arial" w:hAnsi="Arial" w:cs="Arial"/>
                <w:sz w:val="19"/>
                <w:szCs w:val="19"/>
              </w:rPr>
            </w:pPr>
            <w:r>
              <w:rPr>
                <w:rFonts w:ascii="Arial" w:hAnsi="Arial" w:cs="Arial"/>
                <w:sz w:val="19"/>
                <w:szCs w:val="19"/>
              </w:rPr>
              <w:t>milliliter</w:t>
            </w:r>
          </w:p>
        </w:tc>
      </w:tr>
      <w:tr w:rsidR="00B629CB" w:rsidRPr="00062561" w14:paraId="7B7A3CAB" w14:textId="77777777" w:rsidTr="0095436D">
        <w:trPr>
          <w:trHeight w:val="288"/>
        </w:trPr>
        <w:tc>
          <w:tcPr>
            <w:tcW w:w="3330" w:type="dxa"/>
            <w:vAlign w:val="center"/>
          </w:tcPr>
          <w:p w14:paraId="686C81D5" w14:textId="26DE03A7" w:rsidR="00B629CB" w:rsidRDefault="00B629CB" w:rsidP="007C68AE">
            <w:pPr>
              <w:spacing w:line="240" w:lineRule="auto"/>
              <w:rPr>
                <w:rFonts w:ascii="Arial" w:hAnsi="Arial" w:cs="Arial"/>
                <w:sz w:val="19"/>
                <w:szCs w:val="19"/>
              </w:rPr>
            </w:pPr>
            <w:r>
              <w:rPr>
                <w:rFonts w:ascii="Arial" w:hAnsi="Arial" w:cs="Arial"/>
                <w:sz w:val="19"/>
                <w:szCs w:val="19"/>
              </w:rPr>
              <w:t>MPC</w:t>
            </w:r>
          </w:p>
        </w:tc>
        <w:tc>
          <w:tcPr>
            <w:tcW w:w="5755" w:type="dxa"/>
            <w:vAlign w:val="center"/>
          </w:tcPr>
          <w:p w14:paraId="25BDBFF7" w14:textId="02A454B1" w:rsidR="00B629CB" w:rsidRDefault="00B629CB" w:rsidP="007C68AE">
            <w:pPr>
              <w:spacing w:line="240" w:lineRule="auto"/>
              <w:rPr>
                <w:rFonts w:ascii="Arial" w:hAnsi="Arial" w:cs="Arial"/>
                <w:sz w:val="19"/>
                <w:szCs w:val="19"/>
              </w:rPr>
            </w:pPr>
            <w:r>
              <w:rPr>
                <w:rFonts w:ascii="Arial" w:hAnsi="Arial" w:cs="Arial"/>
                <w:sz w:val="19"/>
                <w:szCs w:val="19"/>
              </w:rPr>
              <w:t>Milk Producers Council</w:t>
            </w:r>
          </w:p>
        </w:tc>
      </w:tr>
      <w:tr w:rsidR="00FB059F" w:rsidRPr="00062561" w14:paraId="5ECB0487" w14:textId="77777777" w:rsidTr="0095436D">
        <w:trPr>
          <w:trHeight w:val="288"/>
        </w:trPr>
        <w:tc>
          <w:tcPr>
            <w:tcW w:w="3330" w:type="dxa"/>
            <w:vAlign w:val="center"/>
          </w:tcPr>
          <w:p w14:paraId="614FB3BC" w14:textId="1576E170" w:rsidR="00FB059F" w:rsidRDefault="00FB059F" w:rsidP="007C68AE">
            <w:pPr>
              <w:spacing w:line="240" w:lineRule="auto"/>
              <w:rPr>
                <w:rFonts w:ascii="Arial" w:hAnsi="Arial" w:cs="Arial"/>
                <w:sz w:val="19"/>
                <w:szCs w:val="19"/>
              </w:rPr>
            </w:pPr>
            <w:r>
              <w:rPr>
                <w:rFonts w:ascii="Arial" w:hAnsi="Arial" w:cs="Arial"/>
                <w:sz w:val="19"/>
                <w:szCs w:val="19"/>
              </w:rPr>
              <w:t>MPN</w:t>
            </w:r>
          </w:p>
        </w:tc>
        <w:tc>
          <w:tcPr>
            <w:tcW w:w="5755" w:type="dxa"/>
            <w:vAlign w:val="center"/>
          </w:tcPr>
          <w:p w14:paraId="49AF227D" w14:textId="31D61AFA" w:rsidR="00FB059F" w:rsidRDefault="00FB059F" w:rsidP="007C68AE">
            <w:pPr>
              <w:spacing w:line="240" w:lineRule="auto"/>
              <w:rPr>
                <w:rFonts w:ascii="Arial" w:hAnsi="Arial" w:cs="Arial"/>
                <w:sz w:val="19"/>
                <w:szCs w:val="19"/>
              </w:rPr>
            </w:pPr>
            <w:r>
              <w:rPr>
                <w:rFonts w:ascii="Arial" w:hAnsi="Arial" w:cs="Arial"/>
                <w:sz w:val="19"/>
                <w:szCs w:val="19"/>
              </w:rPr>
              <w:t>Most Probable Number</w:t>
            </w:r>
          </w:p>
        </w:tc>
      </w:tr>
      <w:tr w:rsidR="00D96E87" w:rsidRPr="00062561" w14:paraId="6420AB47" w14:textId="77777777" w:rsidTr="0095436D">
        <w:trPr>
          <w:trHeight w:val="288"/>
        </w:trPr>
        <w:tc>
          <w:tcPr>
            <w:tcW w:w="3330" w:type="dxa"/>
            <w:vAlign w:val="center"/>
          </w:tcPr>
          <w:p w14:paraId="4A1253AF" w14:textId="6AE4A1FC" w:rsidR="00D96E87" w:rsidRPr="00D96E87" w:rsidRDefault="00D96E87" w:rsidP="007C68AE">
            <w:pPr>
              <w:spacing w:line="240" w:lineRule="auto"/>
              <w:rPr>
                <w:rFonts w:ascii="Arial" w:hAnsi="Arial" w:cs="Arial"/>
                <w:sz w:val="19"/>
                <w:szCs w:val="19"/>
              </w:rPr>
            </w:pPr>
            <w:r w:rsidRPr="00D96E87">
              <w:rPr>
                <w:rFonts w:ascii="Arial" w:hAnsi="Arial" w:cs="Arial"/>
                <w:sz w:val="19"/>
                <w:szCs w:val="19"/>
              </w:rPr>
              <w:t>MS4</w:t>
            </w:r>
          </w:p>
        </w:tc>
        <w:tc>
          <w:tcPr>
            <w:tcW w:w="5755" w:type="dxa"/>
            <w:vAlign w:val="center"/>
          </w:tcPr>
          <w:p w14:paraId="3C214A00" w14:textId="208EB048" w:rsidR="00D96E87" w:rsidRPr="00D96E87" w:rsidRDefault="00D96E87" w:rsidP="007C68AE">
            <w:pPr>
              <w:spacing w:line="240" w:lineRule="auto"/>
              <w:rPr>
                <w:rFonts w:ascii="Arial" w:hAnsi="Arial" w:cs="Arial"/>
                <w:sz w:val="19"/>
                <w:szCs w:val="19"/>
              </w:rPr>
            </w:pPr>
            <w:r>
              <w:rPr>
                <w:rFonts w:ascii="Arial" w:hAnsi="Arial" w:cs="Arial"/>
                <w:sz w:val="19"/>
                <w:szCs w:val="19"/>
              </w:rPr>
              <w:t>Municipal Separate Storm Sewer System</w:t>
            </w:r>
          </w:p>
        </w:tc>
      </w:tr>
      <w:tr w:rsidR="0048591F" w:rsidRPr="00062561" w14:paraId="046DC288" w14:textId="77777777" w:rsidTr="0095436D">
        <w:trPr>
          <w:trHeight w:val="288"/>
        </w:trPr>
        <w:tc>
          <w:tcPr>
            <w:tcW w:w="3330" w:type="dxa"/>
            <w:vAlign w:val="center"/>
          </w:tcPr>
          <w:p w14:paraId="4D1C96B7" w14:textId="7D0710C1" w:rsidR="0048591F" w:rsidRPr="007E7F05" w:rsidRDefault="00D96E87" w:rsidP="007C68AE">
            <w:pPr>
              <w:spacing w:line="240" w:lineRule="auto"/>
              <w:rPr>
                <w:rFonts w:ascii="Arial" w:hAnsi="Arial" w:cs="Arial"/>
                <w:sz w:val="19"/>
                <w:szCs w:val="19"/>
              </w:rPr>
            </w:pPr>
            <w:r>
              <w:rPr>
                <w:rFonts w:ascii="Arial" w:hAnsi="Arial" w:cs="Arial"/>
                <w:sz w:val="19"/>
                <w:szCs w:val="19"/>
              </w:rPr>
              <w:t>MSAR</w:t>
            </w:r>
          </w:p>
        </w:tc>
        <w:tc>
          <w:tcPr>
            <w:tcW w:w="5755" w:type="dxa"/>
            <w:vAlign w:val="center"/>
          </w:tcPr>
          <w:p w14:paraId="5CCECBD0" w14:textId="7A60EE3E" w:rsidR="0048591F" w:rsidRPr="007E7F05" w:rsidRDefault="00D96E87" w:rsidP="007C68AE">
            <w:pPr>
              <w:spacing w:line="240" w:lineRule="auto"/>
              <w:rPr>
                <w:rFonts w:ascii="Arial" w:hAnsi="Arial" w:cs="Arial"/>
                <w:sz w:val="19"/>
                <w:szCs w:val="19"/>
              </w:rPr>
            </w:pPr>
            <w:r>
              <w:rPr>
                <w:rFonts w:ascii="Arial" w:hAnsi="Arial" w:cs="Arial"/>
                <w:sz w:val="19"/>
                <w:szCs w:val="19"/>
              </w:rPr>
              <w:t>Middle Santa Ana River</w:t>
            </w:r>
          </w:p>
        </w:tc>
      </w:tr>
      <w:tr w:rsidR="007F05C4" w:rsidRPr="00062561" w14:paraId="6B6DE91A" w14:textId="77777777" w:rsidTr="0095436D">
        <w:trPr>
          <w:trHeight w:val="288"/>
        </w:trPr>
        <w:tc>
          <w:tcPr>
            <w:tcW w:w="3330" w:type="dxa"/>
            <w:vAlign w:val="center"/>
          </w:tcPr>
          <w:p w14:paraId="6C661A77" w14:textId="039BE222" w:rsidR="007F05C4" w:rsidRDefault="007F05C4" w:rsidP="007C68AE">
            <w:pPr>
              <w:spacing w:line="240" w:lineRule="auto"/>
              <w:rPr>
                <w:rFonts w:ascii="Arial" w:hAnsi="Arial" w:cs="Arial"/>
                <w:sz w:val="19"/>
                <w:szCs w:val="19"/>
              </w:rPr>
            </w:pPr>
            <w:r>
              <w:rPr>
                <w:rFonts w:ascii="Arial" w:hAnsi="Arial" w:cs="Arial"/>
                <w:sz w:val="19"/>
                <w:szCs w:val="19"/>
              </w:rPr>
              <w:t>MSB</w:t>
            </w:r>
          </w:p>
        </w:tc>
        <w:tc>
          <w:tcPr>
            <w:tcW w:w="5755" w:type="dxa"/>
            <w:vAlign w:val="center"/>
          </w:tcPr>
          <w:p w14:paraId="241241AA" w14:textId="39D2429B" w:rsidR="007F05C4" w:rsidRDefault="007F05C4" w:rsidP="007C68AE">
            <w:pPr>
              <w:spacing w:line="240" w:lineRule="auto"/>
              <w:rPr>
                <w:rFonts w:ascii="Arial" w:hAnsi="Arial" w:cs="Arial"/>
                <w:sz w:val="19"/>
                <w:szCs w:val="19"/>
              </w:rPr>
            </w:pPr>
            <w:r>
              <w:rPr>
                <w:rFonts w:ascii="Arial" w:hAnsi="Arial" w:cs="Arial"/>
                <w:sz w:val="19"/>
                <w:szCs w:val="19"/>
              </w:rPr>
              <w:t>Market Street Bridge</w:t>
            </w:r>
          </w:p>
        </w:tc>
      </w:tr>
      <w:tr w:rsidR="001A336D" w:rsidRPr="00062561" w14:paraId="3C0F1852" w14:textId="77777777" w:rsidTr="0095436D">
        <w:trPr>
          <w:trHeight w:val="288"/>
        </w:trPr>
        <w:tc>
          <w:tcPr>
            <w:tcW w:w="3330" w:type="dxa"/>
            <w:vAlign w:val="center"/>
          </w:tcPr>
          <w:p w14:paraId="48A2587F" w14:textId="15948090" w:rsidR="001A336D" w:rsidRDefault="001A336D" w:rsidP="007C68AE">
            <w:pPr>
              <w:spacing w:line="240" w:lineRule="auto"/>
              <w:rPr>
                <w:rFonts w:ascii="Arial" w:hAnsi="Arial" w:cs="Arial"/>
                <w:sz w:val="19"/>
                <w:szCs w:val="19"/>
              </w:rPr>
            </w:pPr>
            <w:r>
              <w:rPr>
                <w:rFonts w:ascii="Arial" w:hAnsi="Arial" w:cs="Arial"/>
                <w:sz w:val="19"/>
                <w:szCs w:val="19"/>
              </w:rPr>
              <w:t>MST</w:t>
            </w:r>
          </w:p>
        </w:tc>
        <w:tc>
          <w:tcPr>
            <w:tcW w:w="5755" w:type="dxa"/>
            <w:vAlign w:val="center"/>
          </w:tcPr>
          <w:p w14:paraId="1729DCFA" w14:textId="78C33C5D" w:rsidR="001A336D" w:rsidRDefault="001A336D" w:rsidP="007C68AE">
            <w:pPr>
              <w:spacing w:line="240" w:lineRule="auto"/>
              <w:rPr>
                <w:rFonts w:ascii="Arial" w:hAnsi="Arial" w:cs="Arial"/>
                <w:sz w:val="19"/>
                <w:szCs w:val="19"/>
              </w:rPr>
            </w:pPr>
            <w:r>
              <w:rPr>
                <w:rFonts w:ascii="Arial" w:hAnsi="Arial" w:cs="Arial"/>
                <w:sz w:val="19"/>
                <w:szCs w:val="19"/>
              </w:rPr>
              <w:t>Microbial Source Tracking</w:t>
            </w:r>
          </w:p>
        </w:tc>
      </w:tr>
      <w:tr w:rsidR="0048591F" w:rsidRPr="00062561" w14:paraId="1033B48C" w14:textId="77777777" w:rsidTr="0095436D">
        <w:trPr>
          <w:trHeight w:val="288"/>
        </w:trPr>
        <w:tc>
          <w:tcPr>
            <w:tcW w:w="3330" w:type="dxa"/>
            <w:vAlign w:val="center"/>
          </w:tcPr>
          <w:p w14:paraId="01CC9854" w14:textId="073E9B0A" w:rsidR="0048591F" w:rsidRPr="007E7F05" w:rsidRDefault="001745E0" w:rsidP="007C68AE">
            <w:pPr>
              <w:spacing w:line="240" w:lineRule="auto"/>
              <w:rPr>
                <w:rFonts w:ascii="Arial" w:hAnsi="Arial" w:cs="Arial"/>
                <w:sz w:val="19"/>
                <w:szCs w:val="19"/>
              </w:rPr>
            </w:pPr>
            <w:r>
              <w:rPr>
                <w:rFonts w:ascii="Arial" w:hAnsi="Arial" w:cs="Arial"/>
                <w:sz w:val="19"/>
                <w:szCs w:val="19"/>
              </w:rPr>
              <w:t>MSWMP</w:t>
            </w:r>
          </w:p>
        </w:tc>
        <w:tc>
          <w:tcPr>
            <w:tcW w:w="5755" w:type="dxa"/>
            <w:vAlign w:val="center"/>
          </w:tcPr>
          <w:p w14:paraId="20FC757B" w14:textId="1FC791CA" w:rsidR="0048591F" w:rsidRPr="007E7F05" w:rsidRDefault="001745E0" w:rsidP="007C68AE">
            <w:pPr>
              <w:spacing w:line="240" w:lineRule="auto"/>
              <w:rPr>
                <w:rFonts w:ascii="Arial" w:hAnsi="Arial" w:cs="Arial"/>
                <w:sz w:val="19"/>
                <w:szCs w:val="19"/>
              </w:rPr>
            </w:pPr>
            <w:r>
              <w:rPr>
                <w:rFonts w:ascii="Arial" w:hAnsi="Arial" w:cs="Arial"/>
                <w:sz w:val="19"/>
                <w:szCs w:val="19"/>
              </w:rPr>
              <w:t>Municipal Storm Water Management Plan</w:t>
            </w:r>
          </w:p>
        </w:tc>
      </w:tr>
      <w:tr w:rsidR="00D7514B" w:rsidRPr="00062561" w14:paraId="76CEB8BF" w14:textId="77777777" w:rsidTr="0095436D">
        <w:trPr>
          <w:trHeight w:val="288"/>
        </w:trPr>
        <w:tc>
          <w:tcPr>
            <w:tcW w:w="3330" w:type="dxa"/>
            <w:vAlign w:val="center"/>
          </w:tcPr>
          <w:p w14:paraId="22E239BB" w14:textId="5641BF52" w:rsidR="00D7514B" w:rsidRDefault="00D7514B" w:rsidP="007C68AE">
            <w:pPr>
              <w:spacing w:line="240" w:lineRule="auto"/>
              <w:rPr>
                <w:rFonts w:ascii="Arial" w:hAnsi="Arial" w:cs="Arial"/>
                <w:sz w:val="19"/>
                <w:szCs w:val="19"/>
              </w:rPr>
            </w:pPr>
            <w:r>
              <w:rPr>
                <w:rFonts w:ascii="Arial" w:hAnsi="Arial" w:cs="Arial"/>
                <w:sz w:val="19"/>
                <w:szCs w:val="19"/>
              </w:rPr>
              <w:t>NA</w:t>
            </w:r>
          </w:p>
        </w:tc>
        <w:tc>
          <w:tcPr>
            <w:tcW w:w="5755" w:type="dxa"/>
            <w:vAlign w:val="center"/>
          </w:tcPr>
          <w:p w14:paraId="5BCD875C" w14:textId="6A282CE7" w:rsidR="00D7514B" w:rsidRDefault="00D7514B" w:rsidP="007C68AE">
            <w:pPr>
              <w:spacing w:line="240" w:lineRule="auto"/>
              <w:rPr>
                <w:rFonts w:ascii="Arial" w:hAnsi="Arial" w:cs="Arial"/>
                <w:sz w:val="19"/>
                <w:szCs w:val="19"/>
              </w:rPr>
            </w:pPr>
            <w:r>
              <w:rPr>
                <w:rFonts w:ascii="Arial" w:hAnsi="Arial" w:cs="Arial"/>
                <w:sz w:val="19"/>
                <w:szCs w:val="19"/>
              </w:rPr>
              <w:t>Not Applicable</w:t>
            </w:r>
          </w:p>
        </w:tc>
      </w:tr>
      <w:tr w:rsidR="00D7514B" w:rsidRPr="00062561" w14:paraId="18865CF4" w14:textId="77777777" w:rsidTr="0095436D">
        <w:trPr>
          <w:trHeight w:val="288"/>
        </w:trPr>
        <w:tc>
          <w:tcPr>
            <w:tcW w:w="3330" w:type="dxa"/>
            <w:vAlign w:val="center"/>
          </w:tcPr>
          <w:p w14:paraId="29ADCD0C" w14:textId="641199B7" w:rsidR="00D7514B" w:rsidRDefault="00D7514B" w:rsidP="007C68AE">
            <w:pPr>
              <w:spacing w:line="240" w:lineRule="auto"/>
              <w:rPr>
                <w:rFonts w:ascii="Arial" w:hAnsi="Arial" w:cs="Arial"/>
                <w:sz w:val="19"/>
                <w:szCs w:val="19"/>
              </w:rPr>
            </w:pPr>
            <w:r>
              <w:rPr>
                <w:rFonts w:ascii="Arial" w:hAnsi="Arial" w:cs="Arial"/>
                <w:sz w:val="19"/>
                <w:szCs w:val="19"/>
              </w:rPr>
              <w:lastRenderedPageBreak/>
              <w:t>ND</w:t>
            </w:r>
          </w:p>
        </w:tc>
        <w:tc>
          <w:tcPr>
            <w:tcW w:w="5755" w:type="dxa"/>
            <w:vAlign w:val="center"/>
          </w:tcPr>
          <w:p w14:paraId="0BA01D07" w14:textId="48245B59" w:rsidR="00D7514B" w:rsidRDefault="00D7514B" w:rsidP="007C68AE">
            <w:pPr>
              <w:spacing w:line="240" w:lineRule="auto"/>
              <w:rPr>
                <w:rFonts w:ascii="Arial" w:hAnsi="Arial" w:cs="Arial"/>
                <w:sz w:val="19"/>
                <w:szCs w:val="19"/>
              </w:rPr>
            </w:pPr>
            <w:r>
              <w:rPr>
                <w:rFonts w:ascii="Arial" w:hAnsi="Arial" w:cs="Arial"/>
                <w:sz w:val="19"/>
                <w:szCs w:val="19"/>
              </w:rPr>
              <w:t>Non-detect</w:t>
            </w:r>
          </w:p>
        </w:tc>
      </w:tr>
      <w:tr w:rsidR="00786CDE" w:rsidRPr="00062561" w14:paraId="4A739392" w14:textId="77777777" w:rsidTr="0095436D">
        <w:trPr>
          <w:trHeight w:val="288"/>
        </w:trPr>
        <w:tc>
          <w:tcPr>
            <w:tcW w:w="3330" w:type="dxa"/>
            <w:vAlign w:val="center"/>
          </w:tcPr>
          <w:p w14:paraId="4CA2B9B7" w14:textId="13882818" w:rsidR="00786CDE" w:rsidRDefault="00786CDE" w:rsidP="007C68AE">
            <w:pPr>
              <w:spacing w:line="240" w:lineRule="auto"/>
              <w:rPr>
                <w:rFonts w:ascii="Arial" w:hAnsi="Arial" w:cs="Arial"/>
                <w:sz w:val="19"/>
                <w:szCs w:val="19"/>
              </w:rPr>
            </w:pPr>
            <w:r>
              <w:rPr>
                <w:rFonts w:ascii="Arial" w:hAnsi="Arial" w:cs="Arial"/>
                <w:sz w:val="19"/>
                <w:szCs w:val="19"/>
              </w:rPr>
              <w:t>NM</w:t>
            </w:r>
          </w:p>
        </w:tc>
        <w:tc>
          <w:tcPr>
            <w:tcW w:w="5755" w:type="dxa"/>
            <w:vAlign w:val="center"/>
          </w:tcPr>
          <w:p w14:paraId="19BB8896" w14:textId="620B245B" w:rsidR="00786CDE" w:rsidRDefault="00786CDE" w:rsidP="007C68AE">
            <w:pPr>
              <w:spacing w:line="240" w:lineRule="auto"/>
              <w:rPr>
                <w:rFonts w:ascii="Arial" w:hAnsi="Arial" w:cs="Arial"/>
                <w:sz w:val="19"/>
                <w:szCs w:val="19"/>
              </w:rPr>
            </w:pPr>
            <w:r>
              <w:rPr>
                <w:rFonts w:ascii="Arial" w:hAnsi="Arial" w:cs="Arial"/>
                <w:sz w:val="19"/>
                <w:szCs w:val="19"/>
              </w:rPr>
              <w:t>Not Measured</w:t>
            </w:r>
          </w:p>
        </w:tc>
      </w:tr>
      <w:tr w:rsidR="0048591F" w:rsidRPr="00412F73" w14:paraId="210C1EE1" w14:textId="77777777" w:rsidTr="0095436D">
        <w:trPr>
          <w:trHeight w:val="288"/>
        </w:trPr>
        <w:tc>
          <w:tcPr>
            <w:tcW w:w="3330" w:type="dxa"/>
            <w:vAlign w:val="center"/>
          </w:tcPr>
          <w:p w14:paraId="2AA22691" w14:textId="25FD9F5F" w:rsidR="0048591F" w:rsidRPr="007E7F05" w:rsidRDefault="00910587" w:rsidP="007C68AE">
            <w:pPr>
              <w:spacing w:line="240" w:lineRule="auto"/>
              <w:rPr>
                <w:rFonts w:ascii="Arial" w:hAnsi="Arial" w:cs="Arial"/>
                <w:sz w:val="19"/>
                <w:szCs w:val="19"/>
              </w:rPr>
            </w:pPr>
            <w:r>
              <w:rPr>
                <w:rFonts w:ascii="Arial" w:hAnsi="Arial" w:cs="Arial"/>
                <w:sz w:val="19"/>
                <w:szCs w:val="19"/>
              </w:rPr>
              <w:t>NPDES</w:t>
            </w:r>
          </w:p>
        </w:tc>
        <w:tc>
          <w:tcPr>
            <w:tcW w:w="5755" w:type="dxa"/>
            <w:vAlign w:val="center"/>
          </w:tcPr>
          <w:p w14:paraId="29AE5BFF" w14:textId="252E328D" w:rsidR="0048591F" w:rsidRPr="008A193F" w:rsidRDefault="00910587" w:rsidP="007C68AE">
            <w:pPr>
              <w:spacing w:line="240" w:lineRule="auto"/>
              <w:rPr>
                <w:rFonts w:ascii="Arial" w:hAnsi="Arial" w:cs="Arial"/>
                <w:sz w:val="19"/>
                <w:szCs w:val="19"/>
                <w:lang w:val="fr-FR"/>
              </w:rPr>
            </w:pPr>
            <w:r w:rsidRPr="008A193F">
              <w:rPr>
                <w:rFonts w:ascii="Arial" w:hAnsi="Arial" w:cs="Arial"/>
                <w:sz w:val="19"/>
                <w:szCs w:val="19"/>
                <w:lang w:val="fr-FR"/>
              </w:rPr>
              <w:t xml:space="preserve">National </w:t>
            </w:r>
            <w:proofErr w:type="spellStart"/>
            <w:r w:rsidRPr="008A193F">
              <w:rPr>
                <w:rFonts w:ascii="Arial" w:hAnsi="Arial" w:cs="Arial"/>
                <w:sz w:val="19"/>
                <w:szCs w:val="19"/>
                <w:lang w:val="fr-FR"/>
              </w:rPr>
              <w:t>Pollutant</w:t>
            </w:r>
            <w:proofErr w:type="spellEnd"/>
            <w:r w:rsidRPr="008A193F">
              <w:rPr>
                <w:rFonts w:ascii="Arial" w:hAnsi="Arial" w:cs="Arial"/>
                <w:sz w:val="19"/>
                <w:szCs w:val="19"/>
                <w:lang w:val="fr-FR"/>
              </w:rPr>
              <w:t xml:space="preserve"> </w:t>
            </w:r>
            <w:proofErr w:type="spellStart"/>
            <w:r w:rsidRPr="008A193F">
              <w:rPr>
                <w:rFonts w:ascii="Arial" w:hAnsi="Arial" w:cs="Arial"/>
                <w:sz w:val="19"/>
                <w:szCs w:val="19"/>
                <w:lang w:val="fr-FR"/>
              </w:rPr>
              <w:t>Discharge</w:t>
            </w:r>
            <w:proofErr w:type="spellEnd"/>
            <w:r w:rsidRPr="008A193F">
              <w:rPr>
                <w:rFonts w:ascii="Arial" w:hAnsi="Arial" w:cs="Arial"/>
                <w:sz w:val="19"/>
                <w:szCs w:val="19"/>
                <w:lang w:val="fr-FR"/>
              </w:rPr>
              <w:t xml:space="preserve"> Elimination System</w:t>
            </w:r>
          </w:p>
        </w:tc>
      </w:tr>
      <w:tr w:rsidR="0048591F" w:rsidRPr="00062561" w14:paraId="032CA75D" w14:textId="77777777" w:rsidTr="0095436D">
        <w:trPr>
          <w:trHeight w:val="288"/>
        </w:trPr>
        <w:tc>
          <w:tcPr>
            <w:tcW w:w="3330" w:type="dxa"/>
            <w:vAlign w:val="center"/>
          </w:tcPr>
          <w:p w14:paraId="69095E06" w14:textId="77777777" w:rsidR="0048591F" w:rsidRPr="00AB3DD8" w:rsidRDefault="0048591F" w:rsidP="007C68AE">
            <w:pPr>
              <w:spacing w:line="240" w:lineRule="auto"/>
              <w:rPr>
                <w:rFonts w:ascii="Arial" w:hAnsi="Arial" w:cs="Arial"/>
                <w:sz w:val="19"/>
                <w:szCs w:val="19"/>
              </w:rPr>
            </w:pPr>
            <w:r w:rsidRPr="00AB3DD8">
              <w:rPr>
                <w:rFonts w:ascii="Arial" w:hAnsi="Arial" w:cs="Arial"/>
                <w:sz w:val="19"/>
                <w:szCs w:val="19"/>
              </w:rPr>
              <w:t>n</w:t>
            </w:r>
          </w:p>
        </w:tc>
        <w:tc>
          <w:tcPr>
            <w:tcW w:w="5755" w:type="dxa"/>
            <w:vAlign w:val="center"/>
          </w:tcPr>
          <w:p w14:paraId="2769068A" w14:textId="77777777" w:rsidR="0048591F" w:rsidRPr="00AB3DD8" w:rsidRDefault="0048591F" w:rsidP="007C68AE">
            <w:pPr>
              <w:spacing w:line="240" w:lineRule="auto"/>
              <w:rPr>
                <w:rFonts w:ascii="Arial" w:hAnsi="Arial" w:cs="Arial"/>
                <w:sz w:val="19"/>
                <w:szCs w:val="19"/>
              </w:rPr>
            </w:pPr>
            <w:r w:rsidRPr="00AB3DD8">
              <w:rPr>
                <w:rFonts w:ascii="Arial" w:hAnsi="Arial" w:cs="Arial"/>
                <w:sz w:val="19"/>
                <w:szCs w:val="19"/>
              </w:rPr>
              <w:t>Number</w:t>
            </w:r>
          </w:p>
        </w:tc>
      </w:tr>
      <w:tr w:rsidR="00F77832" w:rsidRPr="00062561" w14:paraId="78BD2C20" w14:textId="77777777" w:rsidTr="0095436D">
        <w:trPr>
          <w:trHeight w:val="288"/>
        </w:trPr>
        <w:tc>
          <w:tcPr>
            <w:tcW w:w="3330" w:type="dxa"/>
            <w:vAlign w:val="center"/>
          </w:tcPr>
          <w:p w14:paraId="19C0E83F" w14:textId="4253CCF1" w:rsidR="00F77832" w:rsidRPr="00AB3DD8" w:rsidRDefault="00F77832" w:rsidP="007C68AE">
            <w:pPr>
              <w:spacing w:line="240" w:lineRule="auto"/>
              <w:rPr>
                <w:rFonts w:ascii="Arial" w:hAnsi="Arial" w:cs="Arial"/>
                <w:sz w:val="19"/>
                <w:szCs w:val="19"/>
              </w:rPr>
            </w:pPr>
            <w:r>
              <w:rPr>
                <w:rFonts w:ascii="Arial" w:hAnsi="Arial" w:cs="Arial"/>
                <w:sz w:val="19"/>
                <w:szCs w:val="19"/>
              </w:rPr>
              <w:t>O&amp;M</w:t>
            </w:r>
          </w:p>
        </w:tc>
        <w:tc>
          <w:tcPr>
            <w:tcW w:w="5755" w:type="dxa"/>
            <w:vAlign w:val="center"/>
          </w:tcPr>
          <w:p w14:paraId="189A7668" w14:textId="0B9E82B2" w:rsidR="00F77832" w:rsidRPr="00AB3DD8" w:rsidRDefault="00F77832" w:rsidP="007C68AE">
            <w:pPr>
              <w:spacing w:line="240" w:lineRule="auto"/>
              <w:rPr>
                <w:rFonts w:ascii="Arial" w:hAnsi="Arial" w:cs="Arial"/>
                <w:sz w:val="19"/>
                <w:szCs w:val="19"/>
              </w:rPr>
            </w:pPr>
            <w:r>
              <w:rPr>
                <w:rFonts w:ascii="Arial" w:hAnsi="Arial" w:cs="Arial"/>
                <w:sz w:val="19"/>
                <w:szCs w:val="19"/>
              </w:rPr>
              <w:t>Operation and Maintenance</w:t>
            </w:r>
          </w:p>
        </w:tc>
      </w:tr>
      <w:tr w:rsidR="00786CDE" w:rsidRPr="00062561" w14:paraId="6E70B38D" w14:textId="77777777" w:rsidTr="0095436D">
        <w:trPr>
          <w:trHeight w:val="288"/>
        </w:trPr>
        <w:tc>
          <w:tcPr>
            <w:tcW w:w="3330" w:type="dxa"/>
            <w:vAlign w:val="center"/>
          </w:tcPr>
          <w:p w14:paraId="0CA34DA4" w14:textId="5DCBAE91" w:rsidR="00786CDE" w:rsidRDefault="00786CDE" w:rsidP="007C68AE">
            <w:pPr>
              <w:spacing w:line="240" w:lineRule="auto"/>
              <w:rPr>
                <w:rFonts w:ascii="Arial" w:hAnsi="Arial" w:cs="Arial"/>
                <w:sz w:val="19"/>
                <w:szCs w:val="19"/>
              </w:rPr>
            </w:pPr>
            <w:r>
              <w:rPr>
                <w:rFonts w:ascii="Arial" w:hAnsi="Arial" w:cs="Arial"/>
                <w:sz w:val="19"/>
                <w:szCs w:val="19"/>
              </w:rPr>
              <w:t>PHNX</w:t>
            </w:r>
          </w:p>
        </w:tc>
        <w:tc>
          <w:tcPr>
            <w:tcW w:w="5755" w:type="dxa"/>
            <w:vAlign w:val="center"/>
          </w:tcPr>
          <w:p w14:paraId="6FE63AF5" w14:textId="5156D77A" w:rsidR="00786CDE" w:rsidRDefault="00786CDE" w:rsidP="007C68AE">
            <w:pPr>
              <w:spacing w:line="240" w:lineRule="auto"/>
              <w:rPr>
                <w:rFonts w:ascii="Arial" w:hAnsi="Arial" w:cs="Arial"/>
                <w:sz w:val="19"/>
                <w:szCs w:val="19"/>
              </w:rPr>
            </w:pPr>
            <w:r>
              <w:rPr>
                <w:rFonts w:ascii="Arial" w:hAnsi="Arial" w:cs="Arial"/>
                <w:sz w:val="19"/>
                <w:szCs w:val="19"/>
              </w:rPr>
              <w:t>Phoenix Storm Drain</w:t>
            </w:r>
          </w:p>
        </w:tc>
      </w:tr>
      <w:tr w:rsidR="0048591F" w:rsidRPr="00062561" w14:paraId="548B6D49" w14:textId="77777777" w:rsidTr="0095436D">
        <w:trPr>
          <w:trHeight w:val="288"/>
        </w:trPr>
        <w:tc>
          <w:tcPr>
            <w:tcW w:w="3330" w:type="dxa"/>
            <w:vAlign w:val="center"/>
          </w:tcPr>
          <w:p w14:paraId="7A7AE9FF" w14:textId="0E92F254" w:rsidR="0048591F" w:rsidRPr="007E7F05" w:rsidRDefault="008A7BA7" w:rsidP="007C68AE">
            <w:pPr>
              <w:spacing w:line="240" w:lineRule="auto"/>
              <w:rPr>
                <w:rFonts w:ascii="Arial" w:hAnsi="Arial" w:cs="Arial"/>
                <w:color w:val="000000"/>
                <w:sz w:val="19"/>
                <w:szCs w:val="19"/>
              </w:rPr>
            </w:pPr>
            <w:r>
              <w:rPr>
                <w:rFonts w:ascii="Arial" w:hAnsi="Arial" w:cs="Arial"/>
                <w:color w:val="000000"/>
                <w:sz w:val="19"/>
                <w:szCs w:val="19"/>
              </w:rPr>
              <w:t>POTW</w:t>
            </w:r>
          </w:p>
        </w:tc>
        <w:tc>
          <w:tcPr>
            <w:tcW w:w="5755" w:type="dxa"/>
            <w:vAlign w:val="center"/>
          </w:tcPr>
          <w:p w14:paraId="586FD000" w14:textId="023A4412" w:rsidR="0048591F" w:rsidRPr="007E7F05" w:rsidRDefault="008A7BA7" w:rsidP="007C68AE">
            <w:pPr>
              <w:spacing w:line="240" w:lineRule="auto"/>
              <w:rPr>
                <w:rFonts w:ascii="Arial" w:hAnsi="Arial" w:cs="Arial"/>
                <w:sz w:val="19"/>
                <w:szCs w:val="19"/>
              </w:rPr>
            </w:pPr>
            <w:proofErr w:type="gramStart"/>
            <w:r>
              <w:rPr>
                <w:rFonts w:ascii="Arial" w:hAnsi="Arial" w:cs="Arial"/>
                <w:sz w:val="19"/>
                <w:szCs w:val="19"/>
              </w:rPr>
              <w:t>Publicly-owned</w:t>
            </w:r>
            <w:proofErr w:type="gramEnd"/>
            <w:r>
              <w:rPr>
                <w:rFonts w:ascii="Arial" w:hAnsi="Arial" w:cs="Arial"/>
                <w:sz w:val="19"/>
                <w:szCs w:val="19"/>
              </w:rPr>
              <w:t xml:space="preserve"> Treatment Works</w:t>
            </w:r>
          </w:p>
        </w:tc>
      </w:tr>
      <w:tr w:rsidR="0048591F" w:rsidRPr="00062561" w14:paraId="7B046886" w14:textId="77777777" w:rsidTr="0095436D">
        <w:trPr>
          <w:trHeight w:val="288"/>
        </w:trPr>
        <w:tc>
          <w:tcPr>
            <w:tcW w:w="3330" w:type="dxa"/>
            <w:vAlign w:val="center"/>
          </w:tcPr>
          <w:p w14:paraId="265A4782" w14:textId="77777777" w:rsidR="0048591F" w:rsidRPr="006624DB" w:rsidRDefault="0048591F" w:rsidP="007C68AE">
            <w:pPr>
              <w:spacing w:line="240" w:lineRule="auto"/>
              <w:rPr>
                <w:rFonts w:ascii="Arial" w:hAnsi="Arial" w:cs="Arial"/>
                <w:sz w:val="19"/>
                <w:szCs w:val="19"/>
              </w:rPr>
            </w:pPr>
            <w:r w:rsidRPr="006624DB">
              <w:rPr>
                <w:rFonts w:ascii="Arial" w:hAnsi="Arial" w:cs="Arial"/>
                <w:sz w:val="19"/>
                <w:szCs w:val="19"/>
              </w:rPr>
              <w:t>QAPP</w:t>
            </w:r>
          </w:p>
        </w:tc>
        <w:tc>
          <w:tcPr>
            <w:tcW w:w="5755" w:type="dxa"/>
            <w:vAlign w:val="center"/>
          </w:tcPr>
          <w:p w14:paraId="70760756" w14:textId="77777777" w:rsidR="0048591F" w:rsidRPr="006624DB" w:rsidRDefault="0048591F" w:rsidP="007C68AE">
            <w:pPr>
              <w:spacing w:line="240" w:lineRule="auto"/>
              <w:rPr>
                <w:rFonts w:ascii="Arial" w:hAnsi="Arial" w:cs="Arial"/>
                <w:sz w:val="19"/>
                <w:szCs w:val="19"/>
              </w:rPr>
            </w:pPr>
            <w:r w:rsidRPr="006624DB">
              <w:rPr>
                <w:rFonts w:ascii="Arial" w:hAnsi="Arial" w:cs="Arial"/>
                <w:sz w:val="19"/>
                <w:szCs w:val="19"/>
              </w:rPr>
              <w:t>Quality Assurance Project Plan</w:t>
            </w:r>
          </w:p>
        </w:tc>
      </w:tr>
      <w:tr w:rsidR="00192E29" w:rsidRPr="00062561" w14:paraId="24294D92" w14:textId="77777777" w:rsidTr="0095436D">
        <w:trPr>
          <w:trHeight w:val="288"/>
        </w:trPr>
        <w:tc>
          <w:tcPr>
            <w:tcW w:w="3330" w:type="dxa"/>
            <w:vAlign w:val="center"/>
          </w:tcPr>
          <w:p w14:paraId="2EAB494E" w14:textId="5EA28F23" w:rsidR="00192E29" w:rsidRPr="006624DB" w:rsidRDefault="00192E29" w:rsidP="007C68AE">
            <w:pPr>
              <w:spacing w:line="240" w:lineRule="auto"/>
              <w:rPr>
                <w:rFonts w:ascii="Arial" w:hAnsi="Arial" w:cs="Arial"/>
                <w:sz w:val="19"/>
                <w:szCs w:val="19"/>
              </w:rPr>
            </w:pPr>
            <w:r>
              <w:rPr>
                <w:rFonts w:ascii="Arial" w:hAnsi="Arial" w:cs="Arial"/>
                <w:sz w:val="19"/>
                <w:szCs w:val="19"/>
              </w:rPr>
              <w:t>QMRA</w:t>
            </w:r>
          </w:p>
        </w:tc>
        <w:tc>
          <w:tcPr>
            <w:tcW w:w="5755" w:type="dxa"/>
            <w:vAlign w:val="center"/>
          </w:tcPr>
          <w:p w14:paraId="7C27F685" w14:textId="729908DB" w:rsidR="00192E29" w:rsidRPr="006624DB" w:rsidRDefault="00192E29" w:rsidP="007C68AE">
            <w:pPr>
              <w:spacing w:line="240" w:lineRule="auto"/>
              <w:rPr>
                <w:rFonts w:ascii="Arial" w:hAnsi="Arial" w:cs="Arial"/>
                <w:sz w:val="19"/>
                <w:szCs w:val="19"/>
              </w:rPr>
            </w:pPr>
            <w:r w:rsidRPr="00192E29">
              <w:rPr>
                <w:rFonts w:ascii="Arial" w:hAnsi="Arial" w:cs="Arial"/>
                <w:sz w:val="19"/>
                <w:szCs w:val="19"/>
              </w:rPr>
              <w:t>Quantitative Microbial Risk Assessmen</w:t>
            </w:r>
            <w:r w:rsidR="00011DB4">
              <w:rPr>
                <w:rFonts w:ascii="Arial" w:hAnsi="Arial" w:cs="Arial"/>
                <w:sz w:val="19"/>
                <w:szCs w:val="19"/>
              </w:rPr>
              <w:t>t</w:t>
            </w:r>
          </w:p>
        </w:tc>
      </w:tr>
      <w:tr w:rsidR="00011DB4" w:rsidRPr="00062561" w14:paraId="00847D55" w14:textId="77777777" w:rsidTr="0095436D">
        <w:trPr>
          <w:trHeight w:val="288"/>
        </w:trPr>
        <w:tc>
          <w:tcPr>
            <w:tcW w:w="3330" w:type="dxa"/>
            <w:vAlign w:val="center"/>
          </w:tcPr>
          <w:p w14:paraId="7EAA5438" w14:textId="2F4BCF50" w:rsidR="00011DB4" w:rsidRDefault="00011DB4" w:rsidP="007C68AE">
            <w:pPr>
              <w:spacing w:line="240" w:lineRule="auto"/>
              <w:rPr>
                <w:rFonts w:ascii="Arial" w:hAnsi="Arial" w:cs="Arial"/>
                <w:sz w:val="19"/>
                <w:szCs w:val="19"/>
              </w:rPr>
            </w:pPr>
            <w:r>
              <w:rPr>
                <w:rFonts w:ascii="Arial" w:hAnsi="Arial" w:cs="Arial"/>
                <w:sz w:val="19"/>
                <w:szCs w:val="19"/>
              </w:rPr>
              <w:t>qPCR</w:t>
            </w:r>
          </w:p>
        </w:tc>
        <w:tc>
          <w:tcPr>
            <w:tcW w:w="5755" w:type="dxa"/>
            <w:vAlign w:val="center"/>
          </w:tcPr>
          <w:p w14:paraId="676DF608" w14:textId="6AFBE2BF" w:rsidR="00011DB4" w:rsidRPr="00192E29" w:rsidRDefault="00011DB4" w:rsidP="007C68AE">
            <w:pPr>
              <w:spacing w:line="240" w:lineRule="auto"/>
              <w:rPr>
                <w:rFonts w:ascii="Arial" w:hAnsi="Arial" w:cs="Arial"/>
                <w:sz w:val="19"/>
                <w:szCs w:val="19"/>
              </w:rPr>
            </w:pPr>
            <w:r w:rsidRPr="00011DB4">
              <w:rPr>
                <w:rFonts w:ascii="Arial" w:hAnsi="Arial" w:cs="Arial"/>
                <w:sz w:val="19"/>
                <w:szCs w:val="19"/>
              </w:rPr>
              <w:t>Quantitative Polymerase Chain Reaction</w:t>
            </w:r>
          </w:p>
        </w:tc>
      </w:tr>
      <w:tr w:rsidR="000C1AA1" w:rsidRPr="00062561" w14:paraId="40245C81" w14:textId="77777777" w:rsidTr="0095436D">
        <w:trPr>
          <w:trHeight w:val="288"/>
        </w:trPr>
        <w:tc>
          <w:tcPr>
            <w:tcW w:w="3330" w:type="dxa"/>
            <w:vAlign w:val="center"/>
          </w:tcPr>
          <w:p w14:paraId="5EDF6EAD" w14:textId="616588D9" w:rsidR="000C1AA1" w:rsidRPr="000C1AA1" w:rsidRDefault="000C1AA1" w:rsidP="007C68AE">
            <w:pPr>
              <w:spacing w:line="240" w:lineRule="auto"/>
              <w:rPr>
                <w:rFonts w:ascii="Arial" w:hAnsi="Arial" w:cs="Arial"/>
                <w:sz w:val="19"/>
                <w:szCs w:val="19"/>
              </w:rPr>
            </w:pPr>
            <w:r w:rsidRPr="000C1AA1">
              <w:rPr>
                <w:rFonts w:ascii="Arial" w:hAnsi="Arial" w:cs="Arial"/>
                <w:sz w:val="19"/>
                <w:szCs w:val="19"/>
              </w:rPr>
              <w:t>RAA</w:t>
            </w:r>
          </w:p>
        </w:tc>
        <w:tc>
          <w:tcPr>
            <w:tcW w:w="5755" w:type="dxa"/>
            <w:vAlign w:val="center"/>
          </w:tcPr>
          <w:p w14:paraId="3CA5CFDE" w14:textId="63BF375E" w:rsidR="000C1AA1" w:rsidRPr="000C1AA1" w:rsidRDefault="000C1AA1" w:rsidP="007C68AE">
            <w:pPr>
              <w:spacing w:line="240" w:lineRule="auto"/>
              <w:rPr>
                <w:rFonts w:ascii="Arial" w:hAnsi="Arial" w:cs="Arial"/>
                <w:sz w:val="19"/>
                <w:szCs w:val="19"/>
              </w:rPr>
            </w:pPr>
            <w:r w:rsidRPr="000C1AA1">
              <w:rPr>
                <w:rFonts w:ascii="Arial" w:hAnsi="Arial" w:cs="Arial"/>
                <w:sz w:val="19"/>
                <w:szCs w:val="19"/>
              </w:rPr>
              <w:t>Reasonable Assurance Analysis</w:t>
            </w:r>
          </w:p>
        </w:tc>
      </w:tr>
      <w:tr w:rsidR="006624DB" w:rsidRPr="00062561" w14:paraId="46BC1938" w14:textId="77777777" w:rsidTr="0095436D">
        <w:trPr>
          <w:trHeight w:val="288"/>
        </w:trPr>
        <w:tc>
          <w:tcPr>
            <w:tcW w:w="3330" w:type="dxa"/>
            <w:vAlign w:val="center"/>
          </w:tcPr>
          <w:p w14:paraId="085EBF13" w14:textId="28209ED6" w:rsidR="006624DB" w:rsidRPr="006624DB" w:rsidRDefault="006624DB" w:rsidP="007C68AE">
            <w:pPr>
              <w:spacing w:line="240" w:lineRule="auto"/>
              <w:rPr>
                <w:rFonts w:ascii="Arial" w:hAnsi="Arial" w:cs="Arial"/>
                <w:sz w:val="19"/>
                <w:szCs w:val="19"/>
              </w:rPr>
            </w:pPr>
            <w:r>
              <w:rPr>
                <w:rFonts w:ascii="Arial" w:hAnsi="Arial" w:cs="Arial"/>
                <w:sz w:val="19"/>
                <w:szCs w:val="19"/>
              </w:rPr>
              <w:t>RBMP</w:t>
            </w:r>
          </w:p>
        </w:tc>
        <w:tc>
          <w:tcPr>
            <w:tcW w:w="5755" w:type="dxa"/>
            <w:vAlign w:val="center"/>
          </w:tcPr>
          <w:p w14:paraId="35D4FB5E" w14:textId="7D871EC1" w:rsidR="006624DB" w:rsidRPr="006624DB" w:rsidRDefault="006624DB" w:rsidP="007C68AE">
            <w:pPr>
              <w:spacing w:line="240" w:lineRule="auto"/>
              <w:rPr>
                <w:rFonts w:ascii="Arial" w:hAnsi="Arial" w:cs="Arial"/>
                <w:sz w:val="19"/>
                <w:szCs w:val="19"/>
              </w:rPr>
            </w:pPr>
            <w:r>
              <w:rPr>
                <w:rFonts w:ascii="Arial" w:hAnsi="Arial" w:cs="Arial"/>
                <w:sz w:val="19"/>
                <w:szCs w:val="19"/>
              </w:rPr>
              <w:t>Regional Bacteria Monitoring Program</w:t>
            </w:r>
          </w:p>
        </w:tc>
      </w:tr>
      <w:tr w:rsidR="0048591F" w:rsidRPr="00062561" w14:paraId="10BE4CD3" w14:textId="77777777" w:rsidTr="0095436D">
        <w:trPr>
          <w:trHeight w:val="288"/>
        </w:trPr>
        <w:tc>
          <w:tcPr>
            <w:tcW w:w="3330" w:type="dxa"/>
            <w:vAlign w:val="center"/>
          </w:tcPr>
          <w:p w14:paraId="71492B60" w14:textId="71D5746B" w:rsidR="0048591F" w:rsidRPr="007E7F05" w:rsidRDefault="002623B0" w:rsidP="007C68AE">
            <w:pPr>
              <w:spacing w:line="240" w:lineRule="auto"/>
              <w:rPr>
                <w:rFonts w:ascii="Arial" w:hAnsi="Arial" w:cs="Arial"/>
                <w:sz w:val="19"/>
                <w:szCs w:val="19"/>
              </w:rPr>
            </w:pPr>
            <w:r>
              <w:rPr>
                <w:rFonts w:ascii="Arial" w:hAnsi="Arial" w:cs="Arial"/>
                <w:sz w:val="19"/>
                <w:szCs w:val="19"/>
              </w:rPr>
              <w:t>RCFC&amp;WCD</w:t>
            </w:r>
            <w:r w:rsidR="00CD133C">
              <w:rPr>
                <w:rFonts w:ascii="Arial" w:hAnsi="Arial" w:cs="Arial"/>
                <w:sz w:val="19"/>
                <w:szCs w:val="19"/>
              </w:rPr>
              <w:t xml:space="preserve"> or District</w:t>
            </w:r>
          </w:p>
        </w:tc>
        <w:tc>
          <w:tcPr>
            <w:tcW w:w="5755" w:type="dxa"/>
            <w:vAlign w:val="center"/>
          </w:tcPr>
          <w:p w14:paraId="1F120108" w14:textId="2EB48524" w:rsidR="0048591F" w:rsidRPr="007E7F05" w:rsidRDefault="002623B0" w:rsidP="007C68AE">
            <w:pPr>
              <w:spacing w:line="240" w:lineRule="auto"/>
              <w:rPr>
                <w:rFonts w:ascii="Arial" w:hAnsi="Arial" w:cs="Arial"/>
                <w:sz w:val="19"/>
                <w:szCs w:val="19"/>
              </w:rPr>
            </w:pPr>
            <w:r>
              <w:rPr>
                <w:rFonts w:ascii="Arial" w:hAnsi="Arial" w:cs="Arial"/>
                <w:sz w:val="19"/>
                <w:szCs w:val="19"/>
              </w:rPr>
              <w:t>Riverside County Flood Control &amp; Water Conservation District</w:t>
            </w:r>
          </w:p>
        </w:tc>
      </w:tr>
      <w:tr w:rsidR="0048591F" w:rsidRPr="00062561" w14:paraId="0FDE9624" w14:textId="77777777" w:rsidTr="0095436D">
        <w:trPr>
          <w:trHeight w:val="288"/>
        </w:trPr>
        <w:tc>
          <w:tcPr>
            <w:tcW w:w="3330" w:type="dxa"/>
            <w:vAlign w:val="center"/>
          </w:tcPr>
          <w:p w14:paraId="6F9607FA" w14:textId="7C54296D" w:rsidR="0048591F" w:rsidRPr="007E7F05" w:rsidRDefault="00D96E87" w:rsidP="007C68AE">
            <w:pPr>
              <w:spacing w:line="240" w:lineRule="auto"/>
              <w:rPr>
                <w:rFonts w:ascii="Arial" w:hAnsi="Arial" w:cs="Arial"/>
                <w:sz w:val="19"/>
                <w:szCs w:val="19"/>
              </w:rPr>
            </w:pPr>
            <w:r>
              <w:rPr>
                <w:rFonts w:ascii="Arial" w:hAnsi="Arial" w:cs="Arial"/>
                <w:sz w:val="19"/>
                <w:szCs w:val="19"/>
              </w:rPr>
              <w:t>REC1</w:t>
            </w:r>
          </w:p>
        </w:tc>
        <w:tc>
          <w:tcPr>
            <w:tcW w:w="5755" w:type="dxa"/>
            <w:vAlign w:val="center"/>
          </w:tcPr>
          <w:p w14:paraId="69BCED0A" w14:textId="17871C90" w:rsidR="0048591F" w:rsidRPr="007E7F05" w:rsidRDefault="00D96E87" w:rsidP="007C68AE">
            <w:pPr>
              <w:spacing w:line="240" w:lineRule="auto"/>
              <w:rPr>
                <w:rFonts w:ascii="Arial" w:hAnsi="Arial" w:cs="Arial"/>
                <w:sz w:val="19"/>
                <w:szCs w:val="19"/>
              </w:rPr>
            </w:pPr>
            <w:r>
              <w:rPr>
                <w:rFonts w:ascii="Arial" w:hAnsi="Arial" w:cs="Arial"/>
                <w:sz w:val="19"/>
                <w:szCs w:val="19"/>
              </w:rPr>
              <w:t>Water Contact Recreation</w:t>
            </w:r>
          </w:p>
        </w:tc>
      </w:tr>
      <w:tr w:rsidR="0048591F" w:rsidRPr="00062561" w14:paraId="1694207C" w14:textId="77777777" w:rsidTr="0095436D">
        <w:trPr>
          <w:trHeight w:val="288"/>
        </w:trPr>
        <w:tc>
          <w:tcPr>
            <w:tcW w:w="3330" w:type="dxa"/>
            <w:vAlign w:val="center"/>
          </w:tcPr>
          <w:p w14:paraId="6932A011" w14:textId="3E6F09F0" w:rsidR="0048591F" w:rsidRPr="007E7F05" w:rsidRDefault="00D96E87" w:rsidP="007C68AE">
            <w:pPr>
              <w:spacing w:line="240" w:lineRule="auto"/>
              <w:rPr>
                <w:rFonts w:ascii="Arial" w:hAnsi="Arial" w:cs="Arial"/>
                <w:sz w:val="19"/>
                <w:szCs w:val="19"/>
              </w:rPr>
            </w:pPr>
            <w:r>
              <w:rPr>
                <w:rFonts w:ascii="Arial" w:hAnsi="Arial" w:cs="Arial"/>
                <w:sz w:val="19"/>
                <w:szCs w:val="19"/>
              </w:rPr>
              <w:t>REC2</w:t>
            </w:r>
          </w:p>
        </w:tc>
        <w:tc>
          <w:tcPr>
            <w:tcW w:w="5755" w:type="dxa"/>
            <w:vAlign w:val="center"/>
          </w:tcPr>
          <w:p w14:paraId="5633A6D5" w14:textId="167D4E72" w:rsidR="0048591F" w:rsidRPr="007E7F05" w:rsidRDefault="00D96E87" w:rsidP="007C68AE">
            <w:pPr>
              <w:spacing w:line="240" w:lineRule="auto"/>
              <w:rPr>
                <w:rFonts w:ascii="Arial" w:hAnsi="Arial" w:cs="Arial"/>
                <w:sz w:val="19"/>
                <w:szCs w:val="19"/>
              </w:rPr>
            </w:pPr>
            <w:r>
              <w:rPr>
                <w:rFonts w:ascii="Arial" w:hAnsi="Arial" w:cs="Arial"/>
                <w:sz w:val="19"/>
                <w:szCs w:val="19"/>
              </w:rPr>
              <w:t>Non-contact Water Recreation</w:t>
            </w:r>
          </w:p>
        </w:tc>
      </w:tr>
      <w:tr w:rsidR="0048591F" w:rsidRPr="00062561" w14:paraId="3500CF96" w14:textId="77777777" w:rsidTr="0095436D">
        <w:trPr>
          <w:trHeight w:val="288"/>
        </w:trPr>
        <w:tc>
          <w:tcPr>
            <w:tcW w:w="3330" w:type="dxa"/>
            <w:vAlign w:val="center"/>
          </w:tcPr>
          <w:p w14:paraId="4BAEE620" w14:textId="3ABB618C" w:rsidR="0048591F" w:rsidRPr="007E7F05" w:rsidRDefault="007F05C4" w:rsidP="007C68AE">
            <w:pPr>
              <w:spacing w:line="240" w:lineRule="auto"/>
              <w:rPr>
                <w:rFonts w:ascii="Arial" w:hAnsi="Arial" w:cs="Arial"/>
                <w:sz w:val="19"/>
                <w:szCs w:val="19"/>
              </w:rPr>
            </w:pPr>
            <w:r>
              <w:rPr>
                <w:rFonts w:ascii="Arial" w:hAnsi="Arial" w:cs="Arial"/>
                <w:sz w:val="19"/>
                <w:szCs w:val="19"/>
              </w:rPr>
              <w:t>RTA</w:t>
            </w:r>
          </w:p>
        </w:tc>
        <w:tc>
          <w:tcPr>
            <w:tcW w:w="5755" w:type="dxa"/>
            <w:vAlign w:val="center"/>
          </w:tcPr>
          <w:p w14:paraId="0FBF327E" w14:textId="24A3059C" w:rsidR="0048591F" w:rsidRPr="007E7F05" w:rsidRDefault="007F05C4" w:rsidP="007C68AE">
            <w:pPr>
              <w:spacing w:line="240" w:lineRule="auto"/>
              <w:rPr>
                <w:rFonts w:ascii="Arial" w:hAnsi="Arial" w:cs="Arial"/>
                <w:sz w:val="19"/>
                <w:szCs w:val="19"/>
              </w:rPr>
            </w:pPr>
            <w:r>
              <w:rPr>
                <w:rFonts w:ascii="Arial" w:hAnsi="Arial" w:cs="Arial"/>
                <w:sz w:val="19"/>
                <w:szCs w:val="19"/>
              </w:rPr>
              <w:t>Rapid Trash Assessment</w:t>
            </w:r>
          </w:p>
        </w:tc>
      </w:tr>
      <w:tr w:rsidR="0048591F" w:rsidRPr="00062561" w14:paraId="580CD067" w14:textId="77777777" w:rsidTr="0095436D">
        <w:trPr>
          <w:trHeight w:val="288"/>
        </w:trPr>
        <w:tc>
          <w:tcPr>
            <w:tcW w:w="3330" w:type="dxa"/>
            <w:vAlign w:val="center"/>
          </w:tcPr>
          <w:p w14:paraId="519BF742" w14:textId="49232129" w:rsidR="0048591F" w:rsidRPr="007E7F05" w:rsidRDefault="00D96E87" w:rsidP="007C68AE">
            <w:pPr>
              <w:spacing w:line="240" w:lineRule="auto"/>
              <w:rPr>
                <w:rFonts w:ascii="Arial" w:hAnsi="Arial" w:cs="Arial"/>
                <w:sz w:val="19"/>
                <w:szCs w:val="19"/>
              </w:rPr>
            </w:pPr>
            <w:r>
              <w:rPr>
                <w:rFonts w:ascii="Arial" w:hAnsi="Arial" w:cs="Arial"/>
                <w:sz w:val="19"/>
                <w:szCs w:val="19"/>
              </w:rPr>
              <w:t>Santa Ana Water Board</w:t>
            </w:r>
          </w:p>
        </w:tc>
        <w:tc>
          <w:tcPr>
            <w:tcW w:w="5755" w:type="dxa"/>
            <w:vAlign w:val="center"/>
          </w:tcPr>
          <w:p w14:paraId="676991D7" w14:textId="64DD1F94" w:rsidR="0048591F" w:rsidRPr="007E7F05" w:rsidRDefault="00D96E87" w:rsidP="007C68AE">
            <w:pPr>
              <w:spacing w:line="240" w:lineRule="auto"/>
              <w:rPr>
                <w:rFonts w:ascii="Arial" w:hAnsi="Arial" w:cs="Arial"/>
                <w:sz w:val="19"/>
                <w:szCs w:val="19"/>
              </w:rPr>
            </w:pPr>
            <w:r>
              <w:rPr>
                <w:rFonts w:ascii="Arial" w:hAnsi="Arial" w:cs="Arial"/>
                <w:sz w:val="19"/>
                <w:szCs w:val="19"/>
              </w:rPr>
              <w:t>Santa Ana Regional Water Quality Control Board</w:t>
            </w:r>
          </w:p>
        </w:tc>
      </w:tr>
      <w:tr w:rsidR="00D96E87" w:rsidRPr="00062561" w14:paraId="5972F921" w14:textId="77777777" w:rsidTr="0095436D">
        <w:trPr>
          <w:trHeight w:val="288"/>
        </w:trPr>
        <w:tc>
          <w:tcPr>
            <w:tcW w:w="3330" w:type="dxa"/>
            <w:vAlign w:val="center"/>
          </w:tcPr>
          <w:p w14:paraId="5DC582F8" w14:textId="5FE9BA63" w:rsidR="00D96E87" w:rsidRDefault="00D96E87" w:rsidP="007C68AE">
            <w:pPr>
              <w:spacing w:line="240" w:lineRule="auto"/>
              <w:rPr>
                <w:rFonts w:ascii="Arial" w:hAnsi="Arial" w:cs="Arial"/>
                <w:sz w:val="19"/>
                <w:szCs w:val="19"/>
              </w:rPr>
            </w:pPr>
            <w:r>
              <w:rPr>
                <w:rFonts w:ascii="Arial" w:hAnsi="Arial" w:cs="Arial"/>
                <w:sz w:val="19"/>
                <w:szCs w:val="19"/>
              </w:rPr>
              <w:t>SAWPA</w:t>
            </w:r>
          </w:p>
        </w:tc>
        <w:tc>
          <w:tcPr>
            <w:tcW w:w="5755" w:type="dxa"/>
            <w:vAlign w:val="center"/>
          </w:tcPr>
          <w:p w14:paraId="7D3E4892" w14:textId="214F6A18" w:rsidR="00D96E87" w:rsidRDefault="00D96E87" w:rsidP="007C68AE">
            <w:pPr>
              <w:spacing w:line="240" w:lineRule="auto"/>
              <w:rPr>
                <w:rFonts w:ascii="Arial" w:hAnsi="Arial" w:cs="Arial"/>
                <w:sz w:val="19"/>
                <w:szCs w:val="19"/>
              </w:rPr>
            </w:pPr>
            <w:r>
              <w:rPr>
                <w:rFonts w:ascii="Arial" w:hAnsi="Arial" w:cs="Arial"/>
                <w:sz w:val="19"/>
                <w:szCs w:val="19"/>
              </w:rPr>
              <w:t>Santa Ana Watershed Project Authority</w:t>
            </w:r>
          </w:p>
        </w:tc>
      </w:tr>
      <w:tr w:rsidR="00786CDE" w:rsidRPr="00062561" w14:paraId="0D0E6478" w14:textId="77777777" w:rsidTr="0095436D">
        <w:trPr>
          <w:trHeight w:val="288"/>
        </w:trPr>
        <w:tc>
          <w:tcPr>
            <w:tcW w:w="3330" w:type="dxa"/>
            <w:vAlign w:val="center"/>
          </w:tcPr>
          <w:p w14:paraId="466BD5F0" w14:textId="77777777" w:rsidR="00786CDE" w:rsidRDefault="00786CDE" w:rsidP="005058CF">
            <w:pPr>
              <w:spacing w:line="240" w:lineRule="auto"/>
              <w:rPr>
                <w:rFonts w:ascii="Arial" w:hAnsi="Arial" w:cs="Arial"/>
                <w:sz w:val="19"/>
                <w:szCs w:val="19"/>
              </w:rPr>
            </w:pPr>
            <w:r>
              <w:rPr>
                <w:rFonts w:ascii="Arial" w:hAnsi="Arial" w:cs="Arial"/>
                <w:sz w:val="19"/>
                <w:szCs w:val="19"/>
              </w:rPr>
              <w:t>SBCFCD</w:t>
            </w:r>
          </w:p>
        </w:tc>
        <w:tc>
          <w:tcPr>
            <w:tcW w:w="5755" w:type="dxa"/>
            <w:vAlign w:val="center"/>
          </w:tcPr>
          <w:p w14:paraId="31FB3433" w14:textId="77777777" w:rsidR="00786CDE" w:rsidRDefault="00786CDE" w:rsidP="005058CF">
            <w:pPr>
              <w:spacing w:line="240" w:lineRule="auto"/>
              <w:rPr>
                <w:rFonts w:ascii="Arial" w:hAnsi="Arial" w:cs="Arial"/>
                <w:sz w:val="19"/>
                <w:szCs w:val="19"/>
              </w:rPr>
            </w:pPr>
            <w:r>
              <w:rPr>
                <w:rFonts w:ascii="Arial" w:hAnsi="Arial" w:cs="Arial"/>
                <w:sz w:val="19"/>
                <w:szCs w:val="19"/>
              </w:rPr>
              <w:t>San Bernardino County Flood Control District</w:t>
            </w:r>
          </w:p>
        </w:tc>
      </w:tr>
      <w:tr w:rsidR="00786CDE" w:rsidRPr="00062561" w14:paraId="5761028E" w14:textId="77777777" w:rsidTr="0095436D">
        <w:trPr>
          <w:trHeight w:val="288"/>
        </w:trPr>
        <w:tc>
          <w:tcPr>
            <w:tcW w:w="3330" w:type="dxa"/>
            <w:vAlign w:val="center"/>
          </w:tcPr>
          <w:p w14:paraId="72B6033A" w14:textId="6AE49D69" w:rsidR="00786CDE" w:rsidRDefault="00786CDE" w:rsidP="007C68AE">
            <w:pPr>
              <w:spacing w:line="240" w:lineRule="auto"/>
              <w:rPr>
                <w:rFonts w:ascii="Arial" w:hAnsi="Arial" w:cs="Arial"/>
                <w:sz w:val="19"/>
                <w:szCs w:val="19"/>
              </w:rPr>
            </w:pPr>
            <w:r>
              <w:rPr>
                <w:rFonts w:ascii="Arial" w:hAnsi="Arial" w:cs="Arial"/>
                <w:sz w:val="19"/>
                <w:szCs w:val="19"/>
              </w:rPr>
              <w:t>SNCH</w:t>
            </w:r>
          </w:p>
        </w:tc>
        <w:tc>
          <w:tcPr>
            <w:tcW w:w="5755" w:type="dxa"/>
            <w:vAlign w:val="center"/>
          </w:tcPr>
          <w:p w14:paraId="4BA6C1AE" w14:textId="2E5E723B" w:rsidR="00786CDE" w:rsidRDefault="00786CDE" w:rsidP="007C68AE">
            <w:pPr>
              <w:spacing w:line="240" w:lineRule="auto"/>
              <w:rPr>
                <w:rFonts w:ascii="Arial" w:hAnsi="Arial" w:cs="Arial"/>
                <w:sz w:val="19"/>
                <w:szCs w:val="19"/>
              </w:rPr>
            </w:pPr>
            <w:r>
              <w:rPr>
                <w:rFonts w:ascii="Arial" w:hAnsi="Arial" w:cs="Arial"/>
                <w:sz w:val="19"/>
                <w:szCs w:val="19"/>
              </w:rPr>
              <w:t>Sunnyslope Channel</w:t>
            </w:r>
          </w:p>
        </w:tc>
      </w:tr>
      <w:tr w:rsidR="0048591F" w:rsidRPr="00062561" w14:paraId="3D8505B9" w14:textId="77777777" w:rsidTr="0095436D">
        <w:trPr>
          <w:trHeight w:val="288"/>
        </w:trPr>
        <w:tc>
          <w:tcPr>
            <w:tcW w:w="3330" w:type="dxa"/>
            <w:vAlign w:val="center"/>
          </w:tcPr>
          <w:p w14:paraId="7EA3DD73" w14:textId="20E8B6E5" w:rsidR="0048591F" w:rsidRPr="00D96E87" w:rsidRDefault="0048591F" w:rsidP="007C68AE">
            <w:pPr>
              <w:spacing w:line="240" w:lineRule="auto"/>
              <w:rPr>
                <w:rFonts w:ascii="Arial" w:hAnsi="Arial" w:cs="Arial"/>
                <w:sz w:val="19"/>
                <w:szCs w:val="19"/>
              </w:rPr>
            </w:pPr>
            <w:r w:rsidRPr="00D96E87">
              <w:rPr>
                <w:rFonts w:ascii="Arial" w:hAnsi="Arial" w:cs="Arial"/>
                <w:sz w:val="19"/>
                <w:szCs w:val="19"/>
              </w:rPr>
              <w:t>State Water Board</w:t>
            </w:r>
          </w:p>
        </w:tc>
        <w:tc>
          <w:tcPr>
            <w:tcW w:w="5755" w:type="dxa"/>
            <w:vAlign w:val="center"/>
          </w:tcPr>
          <w:p w14:paraId="6F738367" w14:textId="77777777" w:rsidR="0048591F" w:rsidRPr="00D96E87" w:rsidRDefault="0048591F" w:rsidP="007C68AE">
            <w:pPr>
              <w:spacing w:line="240" w:lineRule="auto"/>
              <w:rPr>
                <w:rFonts w:ascii="Arial" w:hAnsi="Arial" w:cs="Arial"/>
                <w:sz w:val="19"/>
                <w:szCs w:val="19"/>
              </w:rPr>
            </w:pPr>
            <w:r w:rsidRPr="00D96E87">
              <w:rPr>
                <w:rFonts w:ascii="Arial" w:hAnsi="Arial" w:cs="Arial"/>
                <w:sz w:val="19"/>
                <w:szCs w:val="19"/>
              </w:rPr>
              <w:t>State Water Resources Control Board</w:t>
            </w:r>
          </w:p>
        </w:tc>
      </w:tr>
      <w:tr w:rsidR="008E3A72" w:rsidRPr="00062561" w14:paraId="44AA8BA7" w14:textId="77777777" w:rsidTr="0095436D">
        <w:trPr>
          <w:trHeight w:val="288"/>
        </w:trPr>
        <w:tc>
          <w:tcPr>
            <w:tcW w:w="3330" w:type="dxa"/>
            <w:vAlign w:val="center"/>
          </w:tcPr>
          <w:p w14:paraId="10576721" w14:textId="15D1A162" w:rsidR="008E3A72" w:rsidRPr="00D96E87" w:rsidRDefault="008E3A72" w:rsidP="007C68AE">
            <w:pPr>
              <w:spacing w:line="240" w:lineRule="auto"/>
              <w:rPr>
                <w:rFonts w:ascii="Arial" w:hAnsi="Arial" w:cs="Arial"/>
                <w:sz w:val="19"/>
                <w:szCs w:val="19"/>
              </w:rPr>
            </w:pPr>
            <w:proofErr w:type="spellStart"/>
            <w:r>
              <w:rPr>
                <w:rFonts w:ascii="Arial" w:hAnsi="Arial" w:cs="Arial"/>
                <w:sz w:val="19"/>
                <w:szCs w:val="19"/>
              </w:rPr>
              <w:t>SWQDv</w:t>
            </w:r>
            <w:proofErr w:type="spellEnd"/>
          </w:p>
        </w:tc>
        <w:tc>
          <w:tcPr>
            <w:tcW w:w="5755" w:type="dxa"/>
            <w:vAlign w:val="center"/>
          </w:tcPr>
          <w:p w14:paraId="041C16FD" w14:textId="09CD0992" w:rsidR="008E3A72" w:rsidRPr="00D96E87" w:rsidRDefault="008E3A72" w:rsidP="007C68AE">
            <w:pPr>
              <w:spacing w:line="240" w:lineRule="auto"/>
              <w:rPr>
                <w:rFonts w:ascii="Arial" w:hAnsi="Arial" w:cs="Arial"/>
                <w:sz w:val="19"/>
                <w:szCs w:val="19"/>
              </w:rPr>
            </w:pPr>
            <w:r w:rsidRPr="008E3A72">
              <w:rPr>
                <w:rFonts w:ascii="Arial" w:hAnsi="Arial" w:cs="Arial"/>
                <w:sz w:val="19"/>
                <w:szCs w:val="19"/>
              </w:rPr>
              <w:t>Storm Water Quality Design Volume</w:t>
            </w:r>
          </w:p>
        </w:tc>
      </w:tr>
      <w:tr w:rsidR="00786CDE" w:rsidRPr="00062561" w14:paraId="4F4A6B17" w14:textId="77777777" w:rsidTr="0095436D">
        <w:trPr>
          <w:trHeight w:val="288"/>
        </w:trPr>
        <w:tc>
          <w:tcPr>
            <w:tcW w:w="3330" w:type="dxa"/>
            <w:vAlign w:val="center"/>
          </w:tcPr>
          <w:p w14:paraId="0AA6033B" w14:textId="63B1E374" w:rsidR="00786CDE" w:rsidRDefault="00786CDE" w:rsidP="007C68AE">
            <w:pPr>
              <w:spacing w:line="240" w:lineRule="auto"/>
              <w:rPr>
                <w:rFonts w:ascii="Arial" w:hAnsi="Arial" w:cs="Arial"/>
                <w:sz w:val="19"/>
                <w:szCs w:val="19"/>
              </w:rPr>
            </w:pPr>
            <w:r>
              <w:rPr>
                <w:rFonts w:ascii="Arial" w:hAnsi="Arial" w:cs="Arial"/>
                <w:sz w:val="19"/>
                <w:szCs w:val="19"/>
              </w:rPr>
              <w:t>T1</w:t>
            </w:r>
          </w:p>
        </w:tc>
        <w:tc>
          <w:tcPr>
            <w:tcW w:w="5755" w:type="dxa"/>
            <w:vAlign w:val="center"/>
          </w:tcPr>
          <w:p w14:paraId="1DD6AA27" w14:textId="5C559E72" w:rsidR="00786CDE" w:rsidRPr="008E3A72" w:rsidRDefault="00786CDE" w:rsidP="007C68AE">
            <w:pPr>
              <w:spacing w:line="240" w:lineRule="auto"/>
              <w:rPr>
                <w:rFonts w:ascii="Arial" w:hAnsi="Arial" w:cs="Arial"/>
                <w:sz w:val="19"/>
                <w:szCs w:val="19"/>
              </w:rPr>
            </w:pPr>
            <w:r>
              <w:rPr>
                <w:rFonts w:ascii="Arial" w:hAnsi="Arial" w:cs="Arial"/>
                <w:sz w:val="19"/>
                <w:szCs w:val="19"/>
              </w:rPr>
              <w:t>Tier 1</w:t>
            </w:r>
          </w:p>
        </w:tc>
      </w:tr>
      <w:tr w:rsidR="003A30AF" w:rsidRPr="00062561" w14:paraId="0435E413" w14:textId="77777777" w:rsidTr="0095436D">
        <w:trPr>
          <w:trHeight w:val="288"/>
        </w:trPr>
        <w:tc>
          <w:tcPr>
            <w:tcW w:w="3330" w:type="dxa"/>
            <w:vAlign w:val="center"/>
          </w:tcPr>
          <w:p w14:paraId="55DBA559" w14:textId="12948032" w:rsidR="003A30AF" w:rsidRPr="003A30AF" w:rsidRDefault="003A30AF" w:rsidP="007C68AE">
            <w:pPr>
              <w:spacing w:line="240" w:lineRule="auto"/>
              <w:rPr>
                <w:rFonts w:ascii="Arial" w:hAnsi="Arial" w:cs="Arial"/>
                <w:sz w:val="19"/>
                <w:szCs w:val="19"/>
              </w:rPr>
            </w:pPr>
            <w:r w:rsidRPr="003A30AF">
              <w:rPr>
                <w:rFonts w:ascii="Arial" w:hAnsi="Arial" w:cs="Arial"/>
                <w:sz w:val="19"/>
                <w:szCs w:val="19"/>
              </w:rPr>
              <w:t>Task Force</w:t>
            </w:r>
          </w:p>
        </w:tc>
        <w:tc>
          <w:tcPr>
            <w:tcW w:w="5755" w:type="dxa"/>
            <w:vAlign w:val="center"/>
          </w:tcPr>
          <w:p w14:paraId="666322AB" w14:textId="6606B024" w:rsidR="003A30AF" w:rsidRPr="003A30AF" w:rsidRDefault="003A30AF" w:rsidP="007C68AE">
            <w:pPr>
              <w:spacing w:line="240" w:lineRule="auto"/>
              <w:rPr>
                <w:rFonts w:ascii="Arial" w:hAnsi="Arial" w:cs="Arial"/>
                <w:sz w:val="19"/>
                <w:szCs w:val="19"/>
              </w:rPr>
            </w:pPr>
            <w:r w:rsidRPr="003A30AF">
              <w:rPr>
                <w:rFonts w:ascii="Arial" w:hAnsi="Arial" w:cs="Arial"/>
                <w:sz w:val="19"/>
                <w:szCs w:val="19"/>
              </w:rPr>
              <w:t>MSAR Watershed TMDL Task Force</w:t>
            </w:r>
          </w:p>
        </w:tc>
      </w:tr>
      <w:tr w:rsidR="0048591F" w:rsidRPr="00062561" w14:paraId="51132BEA" w14:textId="77777777" w:rsidTr="0095436D">
        <w:trPr>
          <w:trHeight w:val="288"/>
        </w:trPr>
        <w:tc>
          <w:tcPr>
            <w:tcW w:w="3330" w:type="dxa"/>
            <w:vAlign w:val="center"/>
          </w:tcPr>
          <w:p w14:paraId="00C88BE4" w14:textId="1BF027AC" w:rsidR="0048591F" w:rsidRPr="007E7F05" w:rsidRDefault="00D96E87" w:rsidP="007C68AE">
            <w:pPr>
              <w:spacing w:line="240" w:lineRule="auto"/>
              <w:rPr>
                <w:rFonts w:ascii="Arial" w:hAnsi="Arial" w:cs="Arial"/>
                <w:sz w:val="19"/>
                <w:szCs w:val="19"/>
              </w:rPr>
            </w:pPr>
            <w:r>
              <w:rPr>
                <w:rFonts w:ascii="Arial" w:hAnsi="Arial" w:cs="Arial"/>
                <w:sz w:val="19"/>
                <w:szCs w:val="19"/>
              </w:rPr>
              <w:t>TMDL</w:t>
            </w:r>
          </w:p>
        </w:tc>
        <w:tc>
          <w:tcPr>
            <w:tcW w:w="5755" w:type="dxa"/>
            <w:vAlign w:val="center"/>
          </w:tcPr>
          <w:p w14:paraId="28AB5CC8" w14:textId="3067ACC6" w:rsidR="0048591F" w:rsidRPr="007E7F05" w:rsidRDefault="00D96E87" w:rsidP="007C68AE">
            <w:pPr>
              <w:spacing w:line="240" w:lineRule="auto"/>
              <w:rPr>
                <w:rFonts w:ascii="Arial" w:hAnsi="Arial" w:cs="Arial"/>
                <w:sz w:val="19"/>
                <w:szCs w:val="19"/>
              </w:rPr>
            </w:pPr>
            <w:r>
              <w:rPr>
                <w:rFonts w:ascii="Arial" w:hAnsi="Arial" w:cs="Arial"/>
                <w:sz w:val="19"/>
                <w:szCs w:val="19"/>
              </w:rPr>
              <w:t>Total Maximum Daily Load</w:t>
            </w:r>
          </w:p>
        </w:tc>
      </w:tr>
      <w:tr w:rsidR="0048591F" w:rsidRPr="00062561" w14:paraId="58570813" w14:textId="77777777" w:rsidTr="0095436D">
        <w:trPr>
          <w:trHeight w:val="288"/>
        </w:trPr>
        <w:tc>
          <w:tcPr>
            <w:tcW w:w="3330" w:type="dxa"/>
            <w:vAlign w:val="center"/>
          </w:tcPr>
          <w:p w14:paraId="67888B61" w14:textId="541CED08" w:rsidR="0048591F" w:rsidRPr="007E7F05" w:rsidRDefault="00910587" w:rsidP="007C68AE">
            <w:pPr>
              <w:spacing w:line="240" w:lineRule="auto"/>
              <w:rPr>
                <w:rFonts w:ascii="Arial" w:hAnsi="Arial" w:cs="Arial"/>
                <w:sz w:val="19"/>
                <w:szCs w:val="19"/>
              </w:rPr>
            </w:pPr>
            <w:r>
              <w:rPr>
                <w:rFonts w:ascii="Arial" w:hAnsi="Arial" w:cs="Arial"/>
                <w:sz w:val="19"/>
                <w:szCs w:val="19"/>
              </w:rPr>
              <w:t>TSS</w:t>
            </w:r>
          </w:p>
        </w:tc>
        <w:tc>
          <w:tcPr>
            <w:tcW w:w="5755" w:type="dxa"/>
            <w:vAlign w:val="center"/>
          </w:tcPr>
          <w:p w14:paraId="7C5808D0" w14:textId="1A17FD1F" w:rsidR="0048591F" w:rsidRPr="007E7F05" w:rsidRDefault="00910587" w:rsidP="007C68AE">
            <w:pPr>
              <w:spacing w:line="240" w:lineRule="auto"/>
              <w:rPr>
                <w:rFonts w:ascii="Arial" w:hAnsi="Arial" w:cs="Arial"/>
                <w:sz w:val="19"/>
                <w:szCs w:val="19"/>
              </w:rPr>
            </w:pPr>
            <w:r>
              <w:rPr>
                <w:rFonts w:ascii="Arial" w:hAnsi="Arial" w:cs="Arial"/>
                <w:sz w:val="19"/>
                <w:szCs w:val="19"/>
              </w:rPr>
              <w:t>Total Suspended Solids</w:t>
            </w:r>
          </w:p>
        </w:tc>
      </w:tr>
      <w:tr w:rsidR="0048591F" w:rsidRPr="00062561" w14:paraId="7DA348AF" w14:textId="77777777" w:rsidTr="0095436D">
        <w:trPr>
          <w:trHeight w:val="288"/>
        </w:trPr>
        <w:tc>
          <w:tcPr>
            <w:tcW w:w="3330" w:type="dxa"/>
            <w:vAlign w:val="center"/>
          </w:tcPr>
          <w:p w14:paraId="1DDDAC21" w14:textId="676C64F2" w:rsidR="0048591F" w:rsidRPr="007E7F05" w:rsidRDefault="00D96E87" w:rsidP="007C68AE">
            <w:pPr>
              <w:spacing w:line="240" w:lineRule="auto"/>
              <w:rPr>
                <w:rFonts w:ascii="Arial" w:hAnsi="Arial" w:cs="Arial"/>
                <w:sz w:val="19"/>
                <w:szCs w:val="19"/>
              </w:rPr>
            </w:pPr>
            <w:r>
              <w:rPr>
                <w:rFonts w:ascii="Arial" w:hAnsi="Arial" w:cs="Arial"/>
                <w:sz w:val="19"/>
                <w:szCs w:val="19"/>
              </w:rPr>
              <w:t>UC Riverside</w:t>
            </w:r>
          </w:p>
        </w:tc>
        <w:tc>
          <w:tcPr>
            <w:tcW w:w="5755" w:type="dxa"/>
            <w:vAlign w:val="center"/>
          </w:tcPr>
          <w:p w14:paraId="5C211EB1" w14:textId="7E277710" w:rsidR="0048591F" w:rsidRPr="007E7F05" w:rsidRDefault="00D96E87" w:rsidP="007C68AE">
            <w:pPr>
              <w:spacing w:line="240" w:lineRule="auto"/>
              <w:rPr>
                <w:rFonts w:ascii="Arial" w:hAnsi="Arial" w:cs="Arial"/>
                <w:sz w:val="19"/>
                <w:szCs w:val="19"/>
              </w:rPr>
            </w:pPr>
            <w:r>
              <w:rPr>
                <w:rFonts w:ascii="Arial" w:hAnsi="Arial" w:cs="Arial"/>
                <w:sz w:val="19"/>
                <w:szCs w:val="19"/>
              </w:rPr>
              <w:t>University of California Riverside</w:t>
            </w:r>
          </w:p>
        </w:tc>
      </w:tr>
      <w:tr w:rsidR="0048591F" w:rsidRPr="00062561" w14:paraId="1683F74B" w14:textId="77777777" w:rsidTr="0095436D">
        <w:trPr>
          <w:trHeight w:val="288"/>
        </w:trPr>
        <w:tc>
          <w:tcPr>
            <w:tcW w:w="3330" w:type="dxa"/>
            <w:vAlign w:val="center"/>
          </w:tcPr>
          <w:p w14:paraId="7BB88880" w14:textId="111CA429" w:rsidR="0048591F" w:rsidRPr="007E7F05" w:rsidRDefault="00BA0746" w:rsidP="007C68AE">
            <w:pPr>
              <w:spacing w:line="240" w:lineRule="auto"/>
              <w:rPr>
                <w:rFonts w:ascii="Arial" w:hAnsi="Arial" w:cs="Arial"/>
                <w:sz w:val="19"/>
                <w:szCs w:val="19"/>
              </w:rPr>
            </w:pPr>
            <w:r>
              <w:rPr>
                <w:rFonts w:ascii="Arial" w:hAnsi="Arial" w:cs="Arial"/>
                <w:sz w:val="19"/>
                <w:szCs w:val="19"/>
              </w:rPr>
              <w:t>USEP</w:t>
            </w:r>
          </w:p>
        </w:tc>
        <w:tc>
          <w:tcPr>
            <w:tcW w:w="5755" w:type="dxa"/>
            <w:vAlign w:val="center"/>
          </w:tcPr>
          <w:p w14:paraId="7159A10A" w14:textId="101D5D9A" w:rsidR="0048591F" w:rsidRPr="007E7F05" w:rsidRDefault="00BA0746" w:rsidP="007C68AE">
            <w:pPr>
              <w:spacing w:line="240" w:lineRule="auto"/>
              <w:rPr>
                <w:rFonts w:ascii="Arial" w:hAnsi="Arial" w:cs="Arial"/>
                <w:sz w:val="19"/>
                <w:szCs w:val="19"/>
              </w:rPr>
            </w:pPr>
            <w:r>
              <w:rPr>
                <w:rFonts w:ascii="Arial" w:hAnsi="Arial" w:cs="Arial"/>
                <w:sz w:val="19"/>
                <w:szCs w:val="19"/>
              </w:rPr>
              <w:t>Urban Source Evaluation Plan</w:t>
            </w:r>
          </w:p>
        </w:tc>
      </w:tr>
      <w:tr w:rsidR="00D96E87" w:rsidRPr="00062561" w14:paraId="630623FE" w14:textId="77777777" w:rsidTr="0095436D">
        <w:trPr>
          <w:trHeight w:val="288"/>
        </w:trPr>
        <w:tc>
          <w:tcPr>
            <w:tcW w:w="3330" w:type="dxa"/>
            <w:vAlign w:val="center"/>
          </w:tcPr>
          <w:p w14:paraId="162E4C7B" w14:textId="5A223B3F" w:rsidR="00D96E87" w:rsidRPr="007E7F05" w:rsidRDefault="00D96E87" w:rsidP="007C68AE">
            <w:pPr>
              <w:spacing w:line="240" w:lineRule="auto"/>
              <w:rPr>
                <w:rFonts w:ascii="Arial" w:hAnsi="Arial" w:cs="Arial"/>
                <w:sz w:val="19"/>
                <w:szCs w:val="19"/>
              </w:rPr>
            </w:pPr>
            <w:r>
              <w:rPr>
                <w:rFonts w:ascii="Arial" w:hAnsi="Arial" w:cs="Arial"/>
                <w:sz w:val="19"/>
                <w:szCs w:val="19"/>
              </w:rPr>
              <w:t>USEPA</w:t>
            </w:r>
          </w:p>
        </w:tc>
        <w:tc>
          <w:tcPr>
            <w:tcW w:w="5755" w:type="dxa"/>
            <w:vAlign w:val="center"/>
          </w:tcPr>
          <w:p w14:paraId="0938CC66" w14:textId="36BDE86A" w:rsidR="00D96E87" w:rsidRPr="007E7F05" w:rsidRDefault="00D96E87" w:rsidP="007C68AE">
            <w:pPr>
              <w:spacing w:line="240" w:lineRule="auto"/>
              <w:rPr>
                <w:rFonts w:ascii="Arial" w:hAnsi="Arial" w:cs="Arial"/>
                <w:sz w:val="19"/>
                <w:szCs w:val="19"/>
              </w:rPr>
            </w:pPr>
            <w:r>
              <w:rPr>
                <w:rFonts w:ascii="Arial" w:hAnsi="Arial" w:cs="Arial"/>
                <w:sz w:val="19"/>
                <w:szCs w:val="19"/>
              </w:rPr>
              <w:t>United States Environmental Protection Agency</w:t>
            </w:r>
          </w:p>
        </w:tc>
      </w:tr>
      <w:tr w:rsidR="0048591F" w:rsidRPr="00062561" w14:paraId="4AE196AA" w14:textId="77777777" w:rsidTr="0095436D">
        <w:trPr>
          <w:trHeight w:val="288"/>
        </w:trPr>
        <w:tc>
          <w:tcPr>
            <w:tcW w:w="3330" w:type="dxa"/>
            <w:vAlign w:val="center"/>
          </w:tcPr>
          <w:p w14:paraId="5FB2B90F" w14:textId="77777777" w:rsidR="0048591F" w:rsidRPr="00AB3DD8" w:rsidRDefault="0048591F" w:rsidP="007C68AE">
            <w:pPr>
              <w:spacing w:line="240" w:lineRule="auto"/>
              <w:rPr>
                <w:rFonts w:ascii="Arial" w:hAnsi="Arial" w:cs="Arial"/>
                <w:sz w:val="19"/>
                <w:szCs w:val="19"/>
              </w:rPr>
            </w:pPr>
            <w:r w:rsidRPr="00AB3DD8">
              <w:rPr>
                <w:rFonts w:ascii="Arial" w:hAnsi="Arial" w:cs="Arial"/>
                <w:sz w:val="19"/>
                <w:szCs w:val="19"/>
              </w:rPr>
              <w:t>USGS</w:t>
            </w:r>
          </w:p>
        </w:tc>
        <w:tc>
          <w:tcPr>
            <w:tcW w:w="5755" w:type="dxa"/>
            <w:vAlign w:val="center"/>
          </w:tcPr>
          <w:p w14:paraId="667252DB" w14:textId="77777777" w:rsidR="0048591F" w:rsidRPr="00AB3DD8" w:rsidRDefault="0048591F" w:rsidP="007C68AE">
            <w:pPr>
              <w:spacing w:line="240" w:lineRule="auto"/>
              <w:rPr>
                <w:rFonts w:ascii="Arial" w:hAnsi="Arial" w:cs="Arial"/>
                <w:sz w:val="19"/>
                <w:szCs w:val="19"/>
              </w:rPr>
            </w:pPr>
            <w:r w:rsidRPr="00AB3DD8">
              <w:rPr>
                <w:rFonts w:ascii="Arial" w:hAnsi="Arial" w:cs="Arial"/>
                <w:sz w:val="19"/>
                <w:szCs w:val="19"/>
              </w:rPr>
              <w:t>United State Geological Survey</w:t>
            </w:r>
          </w:p>
        </w:tc>
      </w:tr>
      <w:tr w:rsidR="007F05C4" w:rsidRPr="00062561" w14:paraId="7D2859D3" w14:textId="77777777" w:rsidTr="0095436D">
        <w:trPr>
          <w:trHeight w:val="288"/>
        </w:trPr>
        <w:tc>
          <w:tcPr>
            <w:tcW w:w="3330" w:type="dxa"/>
            <w:vAlign w:val="center"/>
          </w:tcPr>
          <w:p w14:paraId="16719AD5" w14:textId="012E05F6" w:rsidR="007F05C4" w:rsidRPr="007F05C4" w:rsidRDefault="007F05C4" w:rsidP="007C68AE">
            <w:pPr>
              <w:spacing w:line="240" w:lineRule="auto"/>
              <w:rPr>
                <w:rFonts w:ascii="Arial" w:hAnsi="Arial" w:cs="Arial"/>
                <w:sz w:val="19"/>
                <w:szCs w:val="19"/>
              </w:rPr>
            </w:pPr>
            <w:r>
              <w:rPr>
                <w:rFonts w:ascii="Arial" w:hAnsi="Arial" w:cs="Arial"/>
                <w:sz w:val="19"/>
                <w:szCs w:val="19"/>
              </w:rPr>
              <w:t>VBB</w:t>
            </w:r>
          </w:p>
        </w:tc>
        <w:tc>
          <w:tcPr>
            <w:tcW w:w="5755" w:type="dxa"/>
            <w:vAlign w:val="center"/>
          </w:tcPr>
          <w:p w14:paraId="1F4D8D09" w14:textId="714F74B1" w:rsidR="007F05C4" w:rsidRPr="007F05C4" w:rsidRDefault="007F05C4" w:rsidP="007C68AE">
            <w:pPr>
              <w:spacing w:line="240" w:lineRule="auto"/>
              <w:rPr>
                <w:rFonts w:ascii="Arial" w:hAnsi="Arial" w:cs="Arial"/>
                <w:sz w:val="19"/>
                <w:szCs w:val="19"/>
              </w:rPr>
            </w:pPr>
            <w:r>
              <w:rPr>
                <w:rFonts w:ascii="Arial" w:hAnsi="Arial" w:cs="Arial"/>
                <w:sz w:val="19"/>
                <w:szCs w:val="19"/>
              </w:rPr>
              <w:t>Van Buren Bridge</w:t>
            </w:r>
          </w:p>
        </w:tc>
      </w:tr>
      <w:tr w:rsidR="0048591F" w:rsidRPr="00553C78" w14:paraId="33B9509F" w14:textId="77777777" w:rsidTr="0095436D">
        <w:trPr>
          <w:trHeight w:val="288"/>
        </w:trPr>
        <w:tc>
          <w:tcPr>
            <w:tcW w:w="3330" w:type="dxa"/>
            <w:vAlign w:val="center"/>
          </w:tcPr>
          <w:p w14:paraId="4B5DE24E" w14:textId="77777777" w:rsidR="0048591F" w:rsidRPr="00D96E87" w:rsidRDefault="0048591F" w:rsidP="007C68AE">
            <w:pPr>
              <w:spacing w:line="240" w:lineRule="auto"/>
              <w:rPr>
                <w:rFonts w:ascii="Arial" w:hAnsi="Arial" w:cs="Arial"/>
                <w:sz w:val="19"/>
                <w:szCs w:val="19"/>
              </w:rPr>
            </w:pPr>
            <w:r w:rsidRPr="00D96E87">
              <w:rPr>
                <w:rFonts w:ascii="Arial" w:hAnsi="Arial" w:cs="Arial"/>
                <w:sz w:val="19"/>
                <w:szCs w:val="19"/>
              </w:rPr>
              <w:t>WDR</w:t>
            </w:r>
          </w:p>
        </w:tc>
        <w:tc>
          <w:tcPr>
            <w:tcW w:w="5755" w:type="dxa"/>
            <w:vAlign w:val="center"/>
          </w:tcPr>
          <w:p w14:paraId="6BBFAF69" w14:textId="77777777" w:rsidR="0048591F" w:rsidRPr="00D96E87" w:rsidRDefault="0048591F" w:rsidP="007C68AE">
            <w:pPr>
              <w:spacing w:line="240" w:lineRule="auto"/>
              <w:rPr>
                <w:rFonts w:ascii="Arial" w:hAnsi="Arial" w:cs="Arial"/>
                <w:sz w:val="19"/>
                <w:szCs w:val="19"/>
              </w:rPr>
            </w:pPr>
            <w:r w:rsidRPr="00D96E87">
              <w:rPr>
                <w:rFonts w:ascii="Arial" w:hAnsi="Arial" w:cs="Arial"/>
                <w:sz w:val="19"/>
                <w:szCs w:val="19"/>
              </w:rPr>
              <w:t>Waste Discharge Requirements</w:t>
            </w:r>
          </w:p>
        </w:tc>
      </w:tr>
      <w:tr w:rsidR="00D96E87" w:rsidRPr="00553C78" w14:paraId="1EECD990" w14:textId="77777777" w:rsidTr="0095436D">
        <w:trPr>
          <w:trHeight w:val="288"/>
        </w:trPr>
        <w:tc>
          <w:tcPr>
            <w:tcW w:w="3330" w:type="dxa"/>
            <w:vAlign w:val="center"/>
          </w:tcPr>
          <w:p w14:paraId="678ED826" w14:textId="026AD1F5" w:rsidR="00D96E87" w:rsidRPr="00D96E87" w:rsidRDefault="00D96E87" w:rsidP="007C68AE">
            <w:pPr>
              <w:spacing w:line="240" w:lineRule="auto"/>
              <w:rPr>
                <w:rFonts w:ascii="Arial" w:hAnsi="Arial" w:cs="Arial"/>
                <w:sz w:val="19"/>
                <w:szCs w:val="19"/>
              </w:rPr>
            </w:pPr>
            <w:r>
              <w:rPr>
                <w:rFonts w:ascii="Arial" w:hAnsi="Arial" w:cs="Arial"/>
                <w:sz w:val="19"/>
                <w:szCs w:val="19"/>
              </w:rPr>
              <w:t>WLA</w:t>
            </w:r>
          </w:p>
        </w:tc>
        <w:tc>
          <w:tcPr>
            <w:tcW w:w="5755" w:type="dxa"/>
            <w:vAlign w:val="center"/>
          </w:tcPr>
          <w:p w14:paraId="6E0708E3" w14:textId="0EA8B67C" w:rsidR="00D96E87" w:rsidRPr="00D96E87" w:rsidRDefault="00D96E87" w:rsidP="007C68AE">
            <w:pPr>
              <w:spacing w:line="240" w:lineRule="auto"/>
              <w:rPr>
                <w:rFonts w:ascii="Arial" w:hAnsi="Arial" w:cs="Arial"/>
                <w:sz w:val="19"/>
                <w:szCs w:val="19"/>
              </w:rPr>
            </w:pPr>
            <w:r>
              <w:rPr>
                <w:rFonts w:ascii="Arial" w:hAnsi="Arial" w:cs="Arial"/>
                <w:sz w:val="19"/>
                <w:szCs w:val="19"/>
              </w:rPr>
              <w:t>Wasteload Allocation</w:t>
            </w:r>
          </w:p>
        </w:tc>
      </w:tr>
      <w:tr w:rsidR="000C1AA1" w:rsidRPr="00553C78" w14:paraId="5858D5CC" w14:textId="77777777" w:rsidTr="0095436D">
        <w:trPr>
          <w:trHeight w:val="288"/>
        </w:trPr>
        <w:tc>
          <w:tcPr>
            <w:tcW w:w="3330" w:type="dxa"/>
            <w:vAlign w:val="center"/>
          </w:tcPr>
          <w:p w14:paraId="72E1E829" w14:textId="1DB4B5DB" w:rsidR="000C1AA1" w:rsidRDefault="000C1AA1" w:rsidP="007C68AE">
            <w:pPr>
              <w:spacing w:line="240" w:lineRule="auto"/>
              <w:rPr>
                <w:rFonts w:ascii="Arial" w:hAnsi="Arial" w:cs="Arial"/>
                <w:sz w:val="19"/>
                <w:szCs w:val="19"/>
              </w:rPr>
            </w:pPr>
            <w:r>
              <w:rPr>
                <w:rFonts w:ascii="Arial" w:hAnsi="Arial" w:cs="Arial"/>
                <w:sz w:val="19"/>
                <w:szCs w:val="19"/>
              </w:rPr>
              <w:t>WMP</w:t>
            </w:r>
          </w:p>
        </w:tc>
        <w:tc>
          <w:tcPr>
            <w:tcW w:w="5755" w:type="dxa"/>
            <w:vAlign w:val="center"/>
          </w:tcPr>
          <w:p w14:paraId="5F94539F" w14:textId="5E1DBD01" w:rsidR="000C1AA1" w:rsidRDefault="000C1AA1" w:rsidP="007C68AE">
            <w:pPr>
              <w:spacing w:line="240" w:lineRule="auto"/>
              <w:rPr>
                <w:rFonts w:ascii="Arial" w:hAnsi="Arial" w:cs="Arial"/>
                <w:sz w:val="19"/>
                <w:szCs w:val="19"/>
              </w:rPr>
            </w:pPr>
            <w:r>
              <w:rPr>
                <w:rFonts w:ascii="Arial" w:hAnsi="Arial" w:cs="Arial"/>
                <w:sz w:val="19"/>
                <w:szCs w:val="19"/>
              </w:rPr>
              <w:t>Watershed Management Plan</w:t>
            </w:r>
          </w:p>
        </w:tc>
      </w:tr>
      <w:tr w:rsidR="00BA0746" w:rsidRPr="00553C78" w14:paraId="486EC2B2" w14:textId="77777777" w:rsidTr="0095436D">
        <w:trPr>
          <w:trHeight w:val="288"/>
        </w:trPr>
        <w:tc>
          <w:tcPr>
            <w:tcW w:w="3330" w:type="dxa"/>
            <w:vAlign w:val="center"/>
          </w:tcPr>
          <w:p w14:paraId="407FC52C" w14:textId="3FE94D71" w:rsidR="00BA0746" w:rsidRDefault="00BA0746" w:rsidP="007C68AE">
            <w:pPr>
              <w:spacing w:line="240" w:lineRule="auto"/>
              <w:rPr>
                <w:rFonts w:ascii="Arial" w:hAnsi="Arial" w:cs="Arial"/>
                <w:sz w:val="19"/>
                <w:szCs w:val="19"/>
              </w:rPr>
            </w:pPr>
            <w:r>
              <w:rPr>
                <w:rFonts w:ascii="Arial" w:hAnsi="Arial" w:cs="Arial"/>
                <w:sz w:val="19"/>
                <w:szCs w:val="19"/>
              </w:rPr>
              <w:t>WQBEL</w:t>
            </w:r>
          </w:p>
        </w:tc>
        <w:tc>
          <w:tcPr>
            <w:tcW w:w="5755" w:type="dxa"/>
            <w:vAlign w:val="center"/>
          </w:tcPr>
          <w:p w14:paraId="00BC0740" w14:textId="38A28E7C" w:rsidR="00BA0746" w:rsidRDefault="00BA0746" w:rsidP="007C68AE">
            <w:pPr>
              <w:spacing w:line="240" w:lineRule="auto"/>
              <w:rPr>
                <w:rFonts w:ascii="Arial" w:hAnsi="Arial" w:cs="Arial"/>
                <w:sz w:val="19"/>
                <w:szCs w:val="19"/>
              </w:rPr>
            </w:pPr>
            <w:r w:rsidRPr="00BA0746">
              <w:rPr>
                <w:rFonts w:ascii="Arial" w:hAnsi="Arial" w:cs="Arial"/>
                <w:sz w:val="19"/>
                <w:szCs w:val="19"/>
              </w:rPr>
              <w:t>Water Quality Based Effluent Limitation</w:t>
            </w:r>
          </w:p>
        </w:tc>
      </w:tr>
      <w:tr w:rsidR="001745E0" w:rsidRPr="00553C78" w14:paraId="68EAA0C2" w14:textId="77777777" w:rsidTr="0095436D">
        <w:trPr>
          <w:trHeight w:val="288"/>
        </w:trPr>
        <w:tc>
          <w:tcPr>
            <w:tcW w:w="3330" w:type="dxa"/>
            <w:vAlign w:val="center"/>
          </w:tcPr>
          <w:p w14:paraId="42442253" w14:textId="2FBA2EA9" w:rsidR="001745E0" w:rsidRDefault="001745E0" w:rsidP="007C68AE">
            <w:pPr>
              <w:spacing w:line="240" w:lineRule="auto"/>
              <w:rPr>
                <w:rFonts w:ascii="Arial" w:hAnsi="Arial" w:cs="Arial"/>
                <w:sz w:val="19"/>
                <w:szCs w:val="19"/>
              </w:rPr>
            </w:pPr>
            <w:r>
              <w:rPr>
                <w:rFonts w:ascii="Arial" w:hAnsi="Arial" w:cs="Arial"/>
                <w:sz w:val="19"/>
                <w:szCs w:val="19"/>
              </w:rPr>
              <w:t>WQMP</w:t>
            </w:r>
          </w:p>
        </w:tc>
        <w:tc>
          <w:tcPr>
            <w:tcW w:w="5755" w:type="dxa"/>
            <w:vAlign w:val="center"/>
          </w:tcPr>
          <w:p w14:paraId="4AE5B201" w14:textId="37F7E47F" w:rsidR="001745E0" w:rsidRDefault="001745E0" w:rsidP="007C68AE">
            <w:pPr>
              <w:spacing w:line="240" w:lineRule="auto"/>
              <w:rPr>
                <w:rFonts w:ascii="Arial" w:hAnsi="Arial" w:cs="Arial"/>
                <w:sz w:val="19"/>
                <w:szCs w:val="19"/>
              </w:rPr>
            </w:pPr>
            <w:r>
              <w:rPr>
                <w:rFonts w:ascii="Arial" w:hAnsi="Arial" w:cs="Arial"/>
                <w:sz w:val="19"/>
                <w:szCs w:val="19"/>
              </w:rPr>
              <w:t>Water Quality Management Plan</w:t>
            </w:r>
          </w:p>
        </w:tc>
      </w:tr>
      <w:tr w:rsidR="008A7BA7" w:rsidRPr="00553C78" w14:paraId="0489309D" w14:textId="77777777" w:rsidTr="0095436D">
        <w:trPr>
          <w:trHeight w:val="288"/>
        </w:trPr>
        <w:tc>
          <w:tcPr>
            <w:tcW w:w="3330" w:type="dxa"/>
            <w:vAlign w:val="center"/>
          </w:tcPr>
          <w:p w14:paraId="5622805C" w14:textId="66BDF919" w:rsidR="008A7BA7" w:rsidRDefault="008A7BA7" w:rsidP="007C68AE">
            <w:pPr>
              <w:spacing w:line="240" w:lineRule="auto"/>
              <w:rPr>
                <w:rFonts w:ascii="Arial" w:hAnsi="Arial" w:cs="Arial"/>
                <w:sz w:val="19"/>
                <w:szCs w:val="19"/>
              </w:rPr>
            </w:pPr>
            <w:r>
              <w:rPr>
                <w:rFonts w:ascii="Arial" w:hAnsi="Arial" w:cs="Arial"/>
                <w:sz w:val="19"/>
                <w:szCs w:val="19"/>
              </w:rPr>
              <w:t>WWTP</w:t>
            </w:r>
          </w:p>
        </w:tc>
        <w:tc>
          <w:tcPr>
            <w:tcW w:w="5755" w:type="dxa"/>
            <w:vAlign w:val="center"/>
          </w:tcPr>
          <w:p w14:paraId="04A33732" w14:textId="6D3BBA76" w:rsidR="008A7BA7" w:rsidRDefault="008A7BA7" w:rsidP="007C68AE">
            <w:pPr>
              <w:spacing w:line="240" w:lineRule="auto"/>
              <w:rPr>
                <w:rFonts w:ascii="Arial" w:hAnsi="Arial" w:cs="Arial"/>
                <w:sz w:val="19"/>
                <w:szCs w:val="19"/>
              </w:rPr>
            </w:pPr>
            <w:r>
              <w:rPr>
                <w:rFonts w:ascii="Arial" w:hAnsi="Arial" w:cs="Arial"/>
                <w:sz w:val="19"/>
                <w:szCs w:val="19"/>
              </w:rPr>
              <w:t>Wastewater Treatment Plant</w:t>
            </w:r>
          </w:p>
        </w:tc>
      </w:tr>
    </w:tbl>
    <w:p w14:paraId="04E6C0D1" w14:textId="6BFB5E1F" w:rsidR="003B7ED3" w:rsidRDefault="003B7ED3" w:rsidP="00E25036">
      <w:pPr>
        <w:pStyle w:val="BodyText"/>
      </w:pPr>
    </w:p>
    <w:p w14:paraId="582F400D" w14:textId="2CC257F6" w:rsidR="0048591F" w:rsidRPr="00E25036" w:rsidRDefault="003B7ED3" w:rsidP="002714B2">
      <w:pPr>
        <w:spacing w:line="240" w:lineRule="auto"/>
      </w:pPr>
      <w:r>
        <w:br w:type="page"/>
      </w:r>
    </w:p>
    <w:p w14:paraId="68AA98D7" w14:textId="77777777" w:rsidR="00E25036" w:rsidRDefault="00E25036" w:rsidP="00E25036">
      <w:pPr>
        <w:pStyle w:val="BodyText"/>
        <w:sectPr w:rsidR="00E25036" w:rsidSect="00B33FBB">
          <w:headerReference w:type="default" r:id="rId14"/>
          <w:footerReference w:type="default" r:id="rId15"/>
          <w:pgSz w:w="12240" w:h="15840" w:code="1"/>
          <w:pgMar w:top="1440" w:right="1440" w:bottom="1440" w:left="1800" w:header="720" w:footer="720" w:gutter="0"/>
          <w:pgNumType w:fmt="lowerRoman" w:start="1"/>
          <w:cols w:space="720"/>
          <w:docGrid w:linePitch="326"/>
        </w:sectPr>
      </w:pPr>
    </w:p>
    <w:p w14:paraId="6F52AE5D" w14:textId="77777777" w:rsidR="00EF3570" w:rsidRDefault="00EF3570" w:rsidP="00811F83">
      <w:pPr>
        <w:pStyle w:val="Heading1"/>
        <w:numPr>
          <w:ilvl w:val="0"/>
          <w:numId w:val="0"/>
        </w:numPr>
        <w:spacing w:after="360"/>
        <w:ind w:left="720" w:hanging="720"/>
      </w:pPr>
      <w:bookmarkStart w:id="4" w:name="_Toc57724918"/>
      <w:bookmarkStart w:id="5" w:name="_Toc217410132"/>
      <w:r>
        <w:lastRenderedPageBreak/>
        <w:t>Executive Summary</w:t>
      </w:r>
      <w:bookmarkEnd w:id="4"/>
      <w:bookmarkEnd w:id="5"/>
    </w:p>
    <w:p w14:paraId="41B48ABB" w14:textId="77777777" w:rsidR="006A43C1" w:rsidRPr="00AB5863" w:rsidRDefault="006A43C1" w:rsidP="006A43C1">
      <w:pPr>
        <w:pStyle w:val="BodyText"/>
        <w:rPr>
          <w:rFonts w:ascii="Arial" w:hAnsi="Arial" w:cs="Arial"/>
          <w:b/>
          <w:bCs/>
          <w:sz w:val="26"/>
          <w:szCs w:val="26"/>
        </w:rPr>
      </w:pPr>
      <w:r w:rsidRPr="00AB5863">
        <w:rPr>
          <w:rFonts w:ascii="Arial" w:hAnsi="Arial" w:cs="Arial"/>
          <w:b/>
          <w:bCs/>
          <w:sz w:val="26"/>
          <w:szCs w:val="26"/>
        </w:rPr>
        <w:t>Background</w:t>
      </w:r>
    </w:p>
    <w:p w14:paraId="463B025F" w14:textId="51109754" w:rsidR="006A43C1" w:rsidRDefault="006A43C1" w:rsidP="006A43C1">
      <w:pPr>
        <w:pStyle w:val="BodyText"/>
      </w:pPr>
      <w:r w:rsidRPr="002960B0">
        <w:t xml:space="preserve">On August 26, 2005, the Santa Ana Regional Water Quality Control Board (Santa Ana Water Board) adopted Middle Santa Ana River (MSAR) Bacterial Indicator Total Maximum Daily Loads (TMDL) (“MSAR TMDL”) for Reach 3 of the Santa Ana River, Mill Creek (in the Prado area), Reach 1 of Cucamonga Creek, Reaches 1 and 2 of Chino Creek, and the Prado </w:t>
      </w:r>
      <w:r w:rsidRPr="00FE4558">
        <w:t>Park Lakes</w:t>
      </w:r>
      <w:r>
        <w:t>. The adopted TMDL</w:t>
      </w:r>
      <w:r w:rsidR="001276E0">
        <w:t>s</w:t>
      </w:r>
      <w:r>
        <w:t xml:space="preserve"> became effective on May 16, 2007, following approval by the </w:t>
      </w:r>
      <w:r w:rsidRPr="00FE4558">
        <w:t>U</w:t>
      </w:r>
      <w:r>
        <w:t>nited States</w:t>
      </w:r>
      <w:r w:rsidRPr="00FE4558">
        <w:t xml:space="preserve"> Environmental Protection Agency. </w:t>
      </w:r>
    </w:p>
    <w:p w14:paraId="60D6D991" w14:textId="437ED938" w:rsidR="006A43C1" w:rsidRDefault="006A43C1" w:rsidP="006A43C1">
      <w:pPr>
        <w:pStyle w:val="BodyText"/>
      </w:pPr>
      <w:r>
        <w:t>Task 3 of the Phase 1 TMDL Implementation requires preparation of a Triennial Report every three years. F</w:t>
      </w:r>
      <w:r w:rsidR="00423D78">
        <w:t xml:space="preserve">ive </w:t>
      </w:r>
      <w:r>
        <w:t xml:space="preserve">Triennial Reports have been prepared since the TMDLs became effective </w:t>
      </w:r>
      <w:r w:rsidR="008A193F">
        <w:t>(</w:t>
      </w:r>
      <w:r>
        <w:t>2010, 2013, 2016</w:t>
      </w:r>
      <w:r w:rsidR="00423D78">
        <w:t>, 2020</w:t>
      </w:r>
      <w:r>
        <w:t xml:space="preserve"> and 202</w:t>
      </w:r>
      <w:r w:rsidR="00423D78">
        <w:t>3</w:t>
      </w:r>
      <w:r w:rsidR="008A193F">
        <w:t>)</w:t>
      </w:r>
      <w:r>
        <w:t xml:space="preserve">. The purpose of this </w:t>
      </w:r>
      <w:r w:rsidR="00423D78">
        <w:t xml:space="preserve">sixth </w:t>
      </w:r>
      <w:r>
        <w:t>Triennial Report is to assess the data collected for the preceding three year period (202</w:t>
      </w:r>
      <w:r w:rsidR="00423D78">
        <w:t>3</w:t>
      </w:r>
      <w:r>
        <w:t>-202</w:t>
      </w:r>
      <w:r w:rsidR="00423D78">
        <w:t>5</w:t>
      </w:r>
      <w:r>
        <w:t xml:space="preserve">) and evaluate progress towards achieving the </w:t>
      </w:r>
      <w:r w:rsidR="001276E0">
        <w:t>wasteload allocations (W</w:t>
      </w:r>
      <w:r>
        <w:t>LA</w:t>
      </w:r>
      <w:r w:rsidR="001276E0">
        <w:t>)</w:t>
      </w:r>
      <w:r>
        <w:t xml:space="preserve"> and </w:t>
      </w:r>
      <w:r w:rsidR="001276E0">
        <w:t>load allocations (L</w:t>
      </w:r>
      <w:r>
        <w:t>A</w:t>
      </w:r>
      <w:r w:rsidR="001276E0">
        <w:t>)</w:t>
      </w:r>
      <w:r>
        <w:t xml:space="preserve"> in the MSAR TMDLs. This evaluation of progress includes an update on work being c</w:t>
      </w:r>
      <w:r w:rsidR="008A193F">
        <w:t>onducted</w:t>
      </w:r>
      <w:r>
        <w:t xml:space="preserve"> by urban dischargers and agricultural operators in the watershed to reduce or eliminate sources of </w:t>
      </w:r>
      <w:r w:rsidRPr="00464E14">
        <w:rPr>
          <w:i/>
          <w:iCs/>
        </w:rPr>
        <w:t>Escherichia coli</w:t>
      </w:r>
      <w:r>
        <w:t xml:space="preserve"> (</w:t>
      </w:r>
      <w:r w:rsidRPr="00464E14">
        <w:rPr>
          <w:i/>
          <w:iCs/>
        </w:rPr>
        <w:t>E. coli</w:t>
      </w:r>
      <w:r>
        <w:t>)</w:t>
      </w:r>
    </w:p>
    <w:p w14:paraId="2D656E76" w14:textId="77777777" w:rsidR="006A43C1" w:rsidRPr="00AB5863" w:rsidRDefault="006A43C1" w:rsidP="006A43C1">
      <w:pPr>
        <w:pStyle w:val="BodyText"/>
        <w:rPr>
          <w:rFonts w:ascii="Arial" w:hAnsi="Arial" w:cs="Arial"/>
          <w:b/>
          <w:bCs/>
          <w:sz w:val="26"/>
          <w:szCs w:val="26"/>
        </w:rPr>
      </w:pPr>
      <w:r w:rsidRPr="00AB5863">
        <w:rPr>
          <w:rFonts w:ascii="Arial" w:hAnsi="Arial" w:cs="Arial"/>
          <w:b/>
          <w:bCs/>
          <w:sz w:val="26"/>
          <w:szCs w:val="26"/>
        </w:rPr>
        <w:t>Watershed-wide Monitoring Program</w:t>
      </w:r>
    </w:p>
    <w:p w14:paraId="274B7617" w14:textId="61FDC6F1" w:rsidR="006A43C1" w:rsidRDefault="006A43C1" w:rsidP="006A43C1">
      <w:pPr>
        <w:pStyle w:val="BodyText"/>
        <w:rPr>
          <w:szCs w:val="24"/>
        </w:rPr>
      </w:pPr>
      <w:r>
        <w:rPr>
          <w:szCs w:val="24"/>
        </w:rPr>
        <w:t>The TMDLs require implementation of a watershed-wide monitoring program that will provide data needed to review and update the TMDLs and evaluate compliance with the TMDL WLAs and LAs. The MSAR Task Force began implementation of this monitoring program in 2007. In 2016, the watershed-wide monitoring activities specific to the TMDLs were incorporated into a new Regional Bacteria Monitoring Program (RBMP), which is implemented through S</w:t>
      </w:r>
      <w:r w:rsidR="001276E0">
        <w:rPr>
          <w:szCs w:val="24"/>
        </w:rPr>
        <w:t>anta Ana Watershed Project Authority’s (S</w:t>
      </w:r>
      <w:r>
        <w:rPr>
          <w:szCs w:val="24"/>
        </w:rPr>
        <w:t>AWPA</w:t>
      </w:r>
      <w:r w:rsidR="001276E0">
        <w:rPr>
          <w:szCs w:val="24"/>
        </w:rPr>
        <w:t>)</w:t>
      </w:r>
      <w:r>
        <w:rPr>
          <w:szCs w:val="24"/>
        </w:rPr>
        <w:t xml:space="preserve"> Regional Water Quality Monitoring Task Force. </w:t>
      </w:r>
    </w:p>
    <w:p w14:paraId="14FE264D" w14:textId="7460235D" w:rsidR="006A43C1" w:rsidRDefault="006A43C1" w:rsidP="006A43C1">
      <w:pPr>
        <w:pStyle w:val="BodyText"/>
        <w:rPr>
          <w:szCs w:val="24"/>
        </w:rPr>
      </w:pPr>
      <w:r>
        <w:rPr>
          <w:szCs w:val="24"/>
        </w:rPr>
        <w:t>The RBMP regularly samples five TMDL watershed-wide compliance monitoring sites. These sites which have been sampled since 2007 include: Mill-Cucamonga Creek; Chino Creek at Central Avenue; Prado Park Lake; Santa Ana River Reach 3 at MWD Crossing; and Santa Ana River Reach 3 at Pedley Avenue. In 2021 an additional monitoring site was added: Santa Ana River Reach 3 at Mission Avenue (upper end of Reach 3). The monitoring program collects field measurements (including flow) and bacterial indicator data during dry weather conditions, collecting 25 samples/year from each watershed-wide monitoring site. In addition, the program samples one wet weather event each year at each of the compliance sites</w:t>
      </w:r>
    </w:p>
    <w:p w14:paraId="7510188F" w14:textId="1E35BBA2" w:rsidR="006A43C1" w:rsidRDefault="006A43C1" w:rsidP="006A43C1">
      <w:pPr>
        <w:pStyle w:val="BodyText"/>
        <w:rPr>
          <w:szCs w:val="24"/>
        </w:rPr>
      </w:pPr>
      <w:r>
        <w:rPr>
          <w:szCs w:val="24"/>
        </w:rPr>
        <w:t>Th</w:t>
      </w:r>
      <w:r w:rsidR="007B6E53">
        <w:rPr>
          <w:szCs w:val="24"/>
        </w:rPr>
        <w:t>is</w:t>
      </w:r>
      <w:r>
        <w:rPr>
          <w:szCs w:val="24"/>
        </w:rPr>
        <w:t xml:space="preserve"> report summarizes the long-term patterns observed for </w:t>
      </w:r>
      <w:r w:rsidRPr="00DF75ED">
        <w:rPr>
          <w:i/>
          <w:iCs/>
          <w:szCs w:val="24"/>
        </w:rPr>
        <w:t>E. coli</w:t>
      </w:r>
      <w:r>
        <w:rPr>
          <w:szCs w:val="24"/>
        </w:rPr>
        <w:t xml:space="preserve"> geometric means over the entire period of record from 2007-202</w:t>
      </w:r>
      <w:r w:rsidR="00423D78">
        <w:rPr>
          <w:szCs w:val="24"/>
        </w:rPr>
        <w:t>5</w:t>
      </w:r>
      <w:r>
        <w:rPr>
          <w:szCs w:val="24"/>
        </w:rPr>
        <w:t>. In addition, t</w:t>
      </w:r>
      <w:r w:rsidR="007B6E53">
        <w:rPr>
          <w:szCs w:val="24"/>
        </w:rPr>
        <w:t>h</w:t>
      </w:r>
      <w:r w:rsidR="002E6886">
        <w:rPr>
          <w:szCs w:val="24"/>
        </w:rPr>
        <w:t>e</w:t>
      </w:r>
      <w:r w:rsidR="007B6E53">
        <w:rPr>
          <w:szCs w:val="24"/>
        </w:rPr>
        <w:t xml:space="preserve"> </w:t>
      </w:r>
      <w:r>
        <w:rPr>
          <w:szCs w:val="24"/>
        </w:rPr>
        <w:t xml:space="preserve">report summarizes the frequency of </w:t>
      </w:r>
      <w:r>
        <w:rPr>
          <w:szCs w:val="24"/>
        </w:rPr>
        <w:lastRenderedPageBreak/>
        <w:t>compliance with WLAs/LAs (geometric mean and single sample values) under dry weather conditions for the most recent reporting period, 202</w:t>
      </w:r>
      <w:r w:rsidR="00423D78">
        <w:rPr>
          <w:szCs w:val="24"/>
        </w:rPr>
        <w:t>3</w:t>
      </w:r>
      <w:r>
        <w:rPr>
          <w:szCs w:val="24"/>
        </w:rPr>
        <w:t>-202</w:t>
      </w:r>
      <w:r w:rsidR="00423D78">
        <w:rPr>
          <w:szCs w:val="24"/>
        </w:rPr>
        <w:t>5</w:t>
      </w:r>
      <w:r>
        <w:rPr>
          <w:szCs w:val="24"/>
        </w:rPr>
        <w:t>. As has been observed during other reporting periods, exceedances of the dry summer condition WLAs/LAs at the TMDL compliance monitoring sites occur fairly frequently. However, as has been shown in previous Triennial Reports, after accounting for known sources of bacteria and dry weather flow, there is a</w:t>
      </w:r>
      <w:r w:rsidR="002E6886">
        <w:rPr>
          <w:szCs w:val="24"/>
        </w:rPr>
        <w:t>n</w:t>
      </w:r>
      <w:r>
        <w:rPr>
          <w:szCs w:val="24"/>
        </w:rPr>
        <w:t xml:space="preserve"> unaccounted for reservoir of </w:t>
      </w:r>
      <w:r w:rsidRPr="00881531">
        <w:rPr>
          <w:i/>
          <w:iCs/>
          <w:szCs w:val="24"/>
        </w:rPr>
        <w:t>E. coli</w:t>
      </w:r>
      <w:r>
        <w:rPr>
          <w:szCs w:val="24"/>
        </w:rPr>
        <w:t xml:space="preserve"> bacteria, at least in the Santa Ana River Reach 3 portion of the watershed. The specific source(s) of these bacteria remains unclear.</w:t>
      </w:r>
    </w:p>
    <w:p w14:paraId="058B15D2" w14:textId="77777777" w:rsidR="006A43C1" w:rsidRPr="00881531" w:rsidRDefault="006A43C1" w:rsidP="006A43C1">
      <w:pPr>
        <w:pStyle w:val="BodyText"/>
        <w:rPr>
          <w:rFonts w:ascii="Arial" w:hAnsi="Arial" w:cs="Arial"/>
          <w:b/>
          <w:bCs/>
          <w:sz w:val="26"/>
          <w:szCs w:val="26"/>
        </w:rPr>
      </w:pPr>
      <w:r w:rsidRPr="00881531">
        <w:rPr>
          <w:rFonts w:ascii="Arial" w:hAnsi="Arial" w:cs="Arial"/>
          <w:b/>
          <w:bCs/>
          <w:sz w:val="26"/>
          <w:szCs w:val="26"/>
        </w:rPr>
        <w:t>TMDL Implementation Activities</w:t>
      </w:r>
    </w:p>
    <w:p w14:paraId="43D0D41C" w14:textId="77777777" w:rsidR="006A43C1" w:rsidRDefault="006A43C1" w:rsidP="006A43C1">
      <w:pPr>
        <w:pStyle w:val="BodyText"/>
      </w:pPr>
      <w:r>
        <w:t>TMDL implementation activities are regularly carried out by entities with applicable WLAs and LAs. In addition, the MSAR Task Force or SAWPA may authorize watershed-wide studies in the MSAR watershed that provide information that supports TMDL implementation. This report provides a summary of the primary TMDL-related activities that have occurred during the reporting period. Key activities include:</w:t>
      </w:r>
    </w:p>
    <w:p w14:paraId="01FD0F4E" w14:textId="015F1B0F" w:rsidR="006A43C1" w:rsidRDefault="006A43C1" w:rsidP="00AC69A1">
      <w:pPr>
        <w:pStyle w:val="BodyText"/>
        <w:numPr>
          <w:ilvl w:val="0"/>
          <w:numId w:val="36"/>
        </w:numPr>
        <w:ind w:left="360"/>
      </w:pPr>
      <w:r w:rsidRPr="00E1732C">
        <w:rPr>
          <w:i/>
          <w:iCs/>
        </w:rPr>
        <w:t>Riverside County MS4 Program</w:t>
      </w:r>
      <w:r>
        <w:t xml:space="preserve"> – Report provides findings from projects implemented by Riverside County Flood Control &amp; Water Conservation District: (a) </w:t>
      </w:r>
      <w:r w:rsidRPr="00D41DBB">
        <w:t xml:space="preserve">Tier </w:t>
      </w:r>
      <w:r w:rsidR="00423D78">
        <w:t>1</w:t>
      </w:r>
      <w:r w:rsidRPr="00D41DBB">
        <w:t xml:space="preserve"> </w:t>
      </w:r>
      <w:r w:rsidR="007D1F6F">
        <w:t>drone survey and MST sampling for outfall</w:t>
      </w:r>
      <w:r w:rsidR="000F6983">
        <w:t>s</w:t>
      </w:r>
      <w:r w:rsidR="007D1F6F">
        <w:t xml:space="preserve"> to</w:t>
      </w:r>
      <w:r>
        <w:t xml:space="preserve"> </w:t>
      </w:r>
      <w:r w:rsidR="007D1F6F">
        <w:t>Reach 3 of the SAR</w:t>
      </w:r>
      <w:r>
        <w:t xml:space="preserve">; and (b) </w:t>
      </w:r>
      <w:r w:rsidR="007D1F6F">
        <w:t>creation of a dry weather bacteria TMDL compliance strategy.</w:t>
      </w:r>
      <w:r>
        <w:t xml:space="preserve"> </w:t>
      </w:r>
    </w:p>
    <w:p w14:paraId="6440C8E0" w14:textId="0B8436D8" w:rsidR="006A43C1" w:rsidRDefault="006A43C1" w:rsidP="00AC69A1">
      <w:pPr>
        <w:pStyle w:val="BodyText"/>
        <w:numPr>
          <w:ilvl w:val="0"/>
          <w:numId w:val="36"/>
        </w:numPr>
        <w:ind w:left="360"/>
      </w:pPr>
      <w:r w:rsidRPr="00E1732C">
        <w:rPr>
          <w:i/>
          <w:iCs/>
        </w:rPr>
        <w:t>San Bernardino County MS4 Program</w:t>
      </w:r>
      <w:r>
        <w:t xml:space="preserve"> – The Triennial Report provides a detailed analysis of findings from TMDL-related studies: (a) </w:t>
      </w:r>
      <w:r w:rsidR="007D1F6F">
        <w:t>eight</w:t>
      </w:r>
      <w:r>
        <w:t xml:space="preserve"> years of Tier 2 source investigation work in the Cucamonga Creek subwatershed; and (</w:t>
      </w:r>
      <w:r w:rsidR="007D1F6F">
        <w:t>b</w:t>
      </w:r>
      <w:r>
        <w:t>) demonstration that the Mill Creek Wetlands regional treatment project removes more than 9</w:t>
      </w:r>
      <w:r w:rsidR="00FD00A9">
        <w:t>0</w:t>
      </w:r>
      <w:r>
        <w:t xml:space="preserve"> percent of the </w:t>
      </w:r>
      <w:r w:rsidRPr="00A55702">
        <w:rPr>
          <w:i/>
          <w:iCs/>
        </w:rPr>
        <w:t>E. coli</w:t>
      </w:r>
      <w:r>
        <w:t xml:space="preserve"> load in dry weather flows diverted through the wetlands. </w:t>
      </w:r>
    </w:p>
    <w:p w14:paraId="2467134B" w14:textId="16FB1EC4" w:rsidR="006A43C1" w:rsidRDefault="006A43C1" w:rsidP="00AC69A1">
      <w:pPr>
        <w:pStyle w:val="BodyText"/>
        <w:numPr>
          <w:ilvl w:val="0"/>
          <w:numId w:val="36"/>
        </w:numPr>
        <w:ind w:left="360"/>
      </w:pPr>
      <w:r w:rsidRPr="00E1732C">
        <w:rPr>
          <w:i/>
          <w:iCs/>
        </w:rPr>
        <w:t>City of Claremont and City of Pomona</w:t>
      </w:r>
      <w:r>
        <w:t xml:space="preserve"> – Updates on ongoing TMDL-related activities (BMP implementation and stormwater capture projects) are reported for these M</w:t>
      </w:r>
      <w:r w:rsidR="004D1B4D">
        <w:t>unicipal Separate Storm Sewer System (M</w:t>
      </w:r>
      <w:r>
        <w:t>S4</w:t>
      </w:r>
      <w:r w:rsidR="004D1B4D">
        <w:t>)</w:t>
      </w:r>
      <w:r>
        <w:t xml:space="preserve"> </w:t>
      </w:r>
      <w:r w:rsidR="00427553">
        <w:t>P</w:t>
      </w:r>
      <w:r>
        <w:t xml:space="preserve">ermittees in the portion of the MSAR watershed that </w:t>
      </w:r>
      <w:proofErr w:type="gramStart"/>
      <w:r>
        <w:t>is located in</w:t>
      </w:r>
      <w:proofErr w:type="gramEnd"/>
      <w:r>
        <w:t xml:space="preserve"> Los Angeles County.</w:t>
      </w:r>
    </w:p>
    <w:p w14:paraId="215BED87" w14:textId="77777777" w:rsidR="006A43C1" w:rsidRDefault="006A43C1" w:rsidP="00AC69A1">
      <w:pPr>
        <w:pStyle w:val="BodyText"/>
        <w:numPr>
          <w:ilvl w:val="0"/>
          <w:numId w:val="36"/>
        </w:numPr>
        <w:ind w:left="360"/>
      </w:pPr>
      <w:r w:rsidRPr="00E1732C">
        <w:rPr>
          <w:i/>
          <w:iCs/>
        </w:rPr>
        <w:t>University of California Riverside</w:t>
      </w:r>
      <w:r>
        <w:t xml:space="preserve"> – The Triennial Report summarizes TMDL implementation activities conducted by this Small MS4. These activities include: (a) participation in the TMDL monitoring program; and (b) preparation and implementation of the University’s Facility Bacteria Reduction Plan that addresses dry summer condition WLAs applicable to lands within the jurisdiction of the university.</w:t>
      </w:r>
    </w:p>
    <w:p w14:paraId="5EB4203E" w14:textId="1104F215" w:rsidR="006A43C1" w:rsidRDefault="006A43C1" w:rsidP="00AC69A1">
      <w:pPr>
        <w:pStyle w:val="BodyText"/>
        <w:numPr>
          <w:ilvl w:val="0"/>
          <w:numId w:val="36"/>
        </w:numPr>
        <w:ind w:left="360"/>
      </w:pPr>
      <w:r w:rsidRPr="00E1732C">
        <w:rPr>
          <w:i/>
          <w:iCs/>
        </w:rPr>
        <w:t>Concentrated Animal Feed Operations</w:t>
      </w:r>
      <w:r w:rsidR="004D1B4D">
        <w:rPr>
          <w:i/>
          <w:iCs/>
        </w:rPr>
        <w:t xml:space="preserve"> (CAFO)</w:t>
      </w:r>
      <w:r>
        <w:t xml:space="preserve"> – The report documents the continued decline in the number of dairies in the MSAR watershed. These dairies, which through their representatives participate in the MSAR Task Force, are subject to the TMDL requirements incorporated in the current General Order that permits the</w:t>
      </w:r>
      <w:r w:rsidR="000F6983">
        <w:t>ir</w:t>
      </w:r>
      <w:r>
        <w:t xml:space="preserve"> opera</w:t>
      </w:r>
      <w:r w:rsidR="000F6983">
        <w:t>tion</w:t>
      </w:r>
      <w:r>
        <w:t>.</w:t>
      </w:r>
    </w:p>
    <w:p w14:paraId="3F45E050" w14:textId="202A1C45" w:rsidR="006A43C1" w:rsidRDefault="006A43C1" w:rsidP="00AC69A1">
      <w:pPr>
        <w:pStyle w:val="BodyText"/>
        <w:numPr>
          <w:ilvl w:val="0"/>
          <w:numId w:val="36"/>
        </w:numPr>
        <w:ind w:left="360"/>
      </w:pPr>
      <w:r w:rsidRPr="00E1732C">
        <w:rPr>
          <w:i/>
          <w:iCs/>
        </w:rPr>
        <w:lastRenderedPageBreak/>
        <w:t>Non-CAFO Agricultural Operators</w:t>
      </w:r>
      <w:r>
        <w:t xml:space="preserve"> – Similar to dairies, the acreage of land used for irrigated agriculture or dry land farming continues to decline in the watershed. Agricultural facilities not located in the Arlington Greenbelt area (</w:t>
      </w:r>
      <w:proofErr w:type="gramStart"/>
      <w:r>
        <w:t>with the exception of</w:t>
      </w:r>
      <w:proofErr w:type="gramEnd"/>
      <w:r>
        <w:t xml:space="preserve"> Altman Plants) continue to participate</w:t>
      </w:r>
      <w:r w:rsidR="000F6983">
        <w:t xml:space="preserve"> through their representatives</w:t>
      </w:r>
      <w:r>
        <w:t xml:space="preserve"> in the MSAR Task Force and implement the BMPs established in the Bacterial Indicator Agricultural Source Management Plan.</w:t>
      </w:r>
    </w:p>
    <w:p w14:paraId="76BB2537" w14:textId="77777777" w:rsidR="006A43C1" w:rsidRPr="003A44DF" w:rsidRDefault="006A43C1" w:rsidP="006A43C1">
      <w:pPr>
        <w:pStyle w:val="BodyText"/>
        <w:rPr>
          <w:rFonts w:ascii="Arial" w:hAnsi="Arial" w:cs="Arial"/>
          <w:b/>
          <w:bCs/>
          <w:sz w:val="26"/>
          <w:szCs w:val="26"/>
        </w:rPr>
      </w:pPr>
      <w:r w:rsidRPr="003A44DF">
        <w:rPr>
          <w:rFonts w:ascii="Arial" w:hAnsi="Arial" w:cs="Arial"/>
          <w:b/>
          <w:bCs/>
          <w:sz w:val="26"/>
          <w:szCs w:val="26"/>
        </w:rPr>
        <w:t>Bacterial Indicator Source Analysis</w:t>
      </w:r>
    </w:p>
    <w:p w14:paraId="74CA95FF" w14:textId="2D728722" w:rsidR="006A43C1" w:rsidRDefault="006A43C1" w:rsidP="006A43C1">
      <w:pPr>
        <w:pStyle w:val="BodyText"/>
      </w:pPr>
      <w:r>
        <w:t>This 202</w:t>
      </w:r>
      <w:r w:rsidR="007D1F6F">
        <w:t>6</w:t>
      </w:r>
      <w:r>
        <w:t xml:space="preserve"> Triennial Report updates previous bacteria source contribution analyses prepared for the MSAR watershed. The latest analysis incorporates dry weather flow and bacterial indicator data collected during the 202</w:t>
      </w:r>
      <w:r w:rsidR="007D1F6F">
        <w:t>3</w:t>
      </w:r>
      <w:r>
        <w:t>-202</w:t>
      </w:r>
      <w:r w:rsidR="007D1F6F">
        <w:t>5</w:t>
      </w:r>
      <w:r>
        <w:t xml:space="preserve"> dry seasons. These new data were primarily acquired through implementation of MS4 </w:t>
      </w:r>
      <w:r w:rsidR="00427553">
        <w:t>P</w:t>
      </w:r>
      <w:r>
        <w:t>ermittee-directed Tier 2 source evaluations as part of C</w:t>
      </w:r>
      <w:r w:rsidR="004D1B4D">
        <w:t>omprehensive Bacteria Reduction Plan (CBRP)</w:t>
      </w:r>
      <w:r>
        <w:t xml:space="preserve"> implementation</w:t>
      </w:r>
      <w:r w:rsidR="007D1F6F">
        <w:t xml:space="preserve"> and a 5-week Synoptic Study in Aug-Sept of 2025</w:t>
      </w:r>
      <w:r>
        <w:t>.</w:t>
      </w:r>
      <w:r w:rsidR="00486965">
        <w:t xml:space="preserve"> </w:t>
      </w:r>
      <w:r>
        <w:t>Updated source contribution analysis results are provided for each of the three key subwatersheds: Santa Ana River Reach 3, Cucamonga Creek and Chino Creek. Key findings for each subwatershed include:</w:t>
      </w:r>
    </w:p>
    <w:p w14:paraId="5D9D58D9" w14:textId="1ABCA95F" w:rsidR="00BA39DC" w:rsidRDefault="006A43C1" w:rsidP="00BA39DC">
      <w:pPr>
        <w:pStyle w:val="ListBullet"/>
      </w:pPr>
      <w:r w:rsidRPr="00D14F13">
        <w:rPr>
          <w:i/>
          <w:iCs/>
        </w:rPr>
        <w:t>Santa Ana River Reach 3</w:t>
      </w:r>
      <w:r w:rsidRPr="000469B4">
        <w:t xml:space="preserve"> - </w:t>
      </w:r>
      <w:proofErr w:type="gramStart"/>
      <w:r w:rsidRPr="000469B4">
        <w:t>The majority of</w:t>
      </w:r>
      <w:proofErr w:type="gramEnd"/>
      <w:r w:rsidRPr="000469B4">
        <w:t xml:space="preserve"> </w:t>
      </w:r>
      <w:r w:rsidR="0045795F">
        <w:t xml:space="preserve">the </w:t>
      </w:r>
      <w:r w:rsidRPr="00D14F13">
        <w:rPr>
          <w:i/>
          <w:iCs/>
        </w:rPr>
        <w:t>E. coli</w:t>
      </w:r>
      <w:r w:rsidRPr="000469B4">
        <w:t xml:space="preserve"> load observed in Reach 3 of the Santa Ana River has been demonstrated to come from in-stream sources upstream of Mission Boulevard in Santa Ana Reach 4. </w:t>
      </w:r>
      <w:r w:rsidR="00BA39DC" w:rsidRPr="00BE7810">
        <w:t xml:space="preserve">The most important finding from this </w:t>
      </w:r>
      <w:r w:rsidR="00BA39DC">
        <w:t xml:space="preserve">updated source contribution analysis is the refinement to the </w:t>
      </w:r>
      <w:r w:rsidR="00BA39DC" w:rsidRPr="00BE7810">
        <w:t xml:space="preserve">expected downstream </w:t>
      </w:r>
      <w:r w:rsidR="00BA39DC" w:rsidRPr="002C37A8">
        <w:rPr>
          <w:i/>
          <w:iCs/>
        </w:rPr>
        <w:t>E. coli</w:t>
      </w:r>
      <w:r w:rsidR="00BA39DC">
        <w:t xml:space="preserve"> </w:t>
      </w:r>
      <w:r w:rsidR="00BA39DC" w:rsidRPr="00BE7810">
        <w:t xml:space="preserve">concentration when </w:t>
      </w:r>
      <w:r w:rsidR="00BA39DC">
        <w:t xml:space="preserve">the </w:t>
      </w:r>
      <w:r w:rsidR="00BA39DC" w:rsidRPr="00BE7810">
        <w:t xml:space="preserve">upstream bacteria load </w:t>
      </w:r>
      <w:r w:rsidR="00BA39DC">
        <w:t xml:space="preserve">based on the </w:t>
      </w:r>
      <w:r w:rsidR="004434BD">
        <w:t>2019</w:t>
      </w:r>
      <w:r w:rsidR="00BA39DC">
        <w:t>-202</w:t>
      </w:r>
      <w:r w:rsidR="004434BD">
        <w:t>5</w:t>
      </w:r>
      <w:r w:rsidR="00BA39DC">
        <w:t xml:space="preserve"> data from WW-MISSION i</w:t>
      </w:r>
      <w:r w:rsidR="00BA39DC" w:rsidRPr="00BE7810">
        <w:t>s incorporated</w:t>
      </w:r>
      <w:r w:rsidR="00BA39DC">
        <w:t xml:space="preserve">. </w:t>
      </w:r>
      <w:r w:rsidR="00BA39DC" w:rsidRPr="00BE7810">
        <w:t xml:space="preserve">By accounting for the upstream boundary inflow at </w:t>
      </w:r>
      <w:r w:rsidR="00BA39DC">
        <w:t>the WW-MISSION site</w:t>
      </w:r>
      <w:r w:rsidR="00BA39DC" w:rsidRPr="00BE7810">
        <w:t xml:space="preserve">, the flow weighted average </w:t>
      </w:r>
      <w:r w:rsidR="00BA39DC" w:rsidRPr="007B470C">
        <w:rPr>
          <w:i/>
          <w:iCs/>
        </w:rPr>
        <w:t>E. coli</w:t>
      </w:r>
      <w:r w:rsidR="00BA39DC" w:rsidRPr="00BE7810">
        <w:t xml:space="preserve"> concentration of all inflows to </w:t>
      </w:r>
      <w:r w:rsidR="00BA39DC">
        <w:t xml:space="preserve">the Santa Ana River </w:t>
      </w:r>
      <w:r w:rsidR="00BA39DC" w:rsidRPr="00BE7810">
        <w:t xml:space="preserve">Reach 3 at MWD Crossing </w:t>
      </w:r>
      <w:r w:rsidR="00BA39DC">
        <w:t xml:space="preserve">site </w:t>
      </w:r>
      <w:r w:rsidR="00BA39DC" w:rsidRPr="00BE7810">
        <w:t>would be approximately 38</w:t>
      </w:r>
      <w:r w:rsidR="00BA39DC">
        <w:t>0</w:t>
      </w:r>
      <w:r w:rsidR="00BA39DC" w:rsidRPr="00BE7810">
        <w:t xml:space="preserve"> MPN/100</w:t>
      </w:r>
      <w:r w:rsidR="00BA39DC">
        <w:t xml:space="preserve"> </w:t>
      </w:r>
      <w:r w:rsidR="00BA39DC" w:rsidRPr="00BE7810">
        <w:t>mL</w:t>
      </w:r>
      <w:r w:rsidR="00BA39DC">
        <w:t xml:space="preserve"> (see Figure 4-6)</w:t>
      </w:r>
      <w:r w:rsidR="00BA39DC" w:rsidRPr="00BE7810">
        <w:t xml:space="preserve">, which is within </w:t>
      </w:r>
      <w:r w:rsidR="00BA39DC" w:rsidRPr="00A30E12">
        <w:t xml:space="preserve">the range of measured </w:t>
      </w:r>
      <w:r w:rsidR="00BA39DC" w:rsidRPr="00A30E12">
        <w:rPr>
          <w:i/>
          <w:iCs/>
        </w:rPr>
        <w:t>E. coli</w:t>
      </w:r>
      <w:r w:rsidR="00BA39DC" w:rsidRPr="00A30E12">
        <w:t xml:space="preserve"> at this TMDL compliance monitoring site (see Section 2.3).</w:t>
      </w:r>
      <w:r w:rsidR="00BA39DC" w:rsidRPr="00BE7810">
        <w:t xml:space="preserve"> Thus, the previously unaccounted</w:t>
      </w:r>
      <w:r w:rsidR="00BA39DC">
        <w:t xml:space="preserve"> </w:t>
      </w:r>
      <w:r w:rsidR="00BA39DC" w:rsidRPr="00BE7810">
        <w:t xml:space="preserve">for </w:t>
      </w:r>
      <w:r w:rsidR="00BA39DC">
        <w:t xml:space="preserve">bacteria load </w:t>
      </w:r>
      <w:r w:rsidR="00BA39DC" w:rsidRPr="00BE7810">
        <w:t xml:space="preserve">within Reach </w:t>
      </w:r>
      <w:r w:rsidR="00BA39DC">
        <w:t xml:space="preserve">3 </w:t>
      </w:r>
      <w:r w:rsidR="00BA39DC" w:rsidRPr="00BE7810">
        <w:t xml:space="preserve">of the </w:t>
      </w:r>
      <w:r w:rsidR="00BA39DC">
        <w:t>Santa Ana River</w:t>
      </w:r>
      <w:r w:rsidR="00BA39DC" w:rsidRPr="00BE7810">
        <w:t xml:space="preserve"> has been effectively quantified as coming from </w:t>
      </w:r>
      <w:r w:rsidR="00BA39DC">
        <w:t>DWF</w:t>
      </w:r>
      <w:r w:rsidR="00BA39DC" w:rsidRPr="00BE7810">
        <w:t xml:space="preserve"> and bacteria sources outside of </w:t>
      </w:r>
      <w:r w:rsidR="00BA39DC">
        <w:t>flow/sources contributed by urban runoff from MS4s.</w:t>
      </w:r>
      <w:r w:rsidR="00BA39DC" w:rsidRPr="00BE7810">
        <w:t xml:space="preserve"> </w:t>
      </w:r>
    </w:p>
    <w:p w14:paraId="05545F6D" w14:textId="20AE1733" w:rsidR="006A43C1" w:rsidRPr="000469B4" w:rsidRDefault="006A43C1" w:rsidP="00BA39DC">
      <w:pPr>
        <w:pStyle w:val="ListBullet"/>
      </w:pPr>
      <w:r w:rsidRPr="00D14F13">
        <w:rPr>
          <w:i/>
          <w:iCs/>
        </w:rPr>
        <w:t>Cucamonga Creek</w:t>
      </w:r>
      <w:r w:rsidRPr="000469B4">
        <w:t xml:space="preserve"> </w:t>
      </w:r>
      <w:r w:rsidR="004434BD">
        <w:t>–</w:t>
      </w:r>
      <w:r w:rsidRPr="000469B4">
        <w:t xml:space="preserve"> </w:t>
      </w:r>
      <w:r w:rsidR="004434BD">
        <w:t xml:space="preserve">Tier 2 surveys in 2023-2025 found several important </w:t>
      </w:r>
      <w:r w:rsidRPr="00D14F13">
        <w:rPr>
          <w:i/>
          <w:iCs/>
        </w:rPr>
        <w:t>E. coli</w:t>
      </w:r>
      <w:r w:rsidR="0045795F">
        <w:t xml:space="preserve"> </w:t>
      </w:r>
      <w:r w:rsidR="004434BD">
        <w:t xml:space="preserve">source areas upstream of the Cucamonga Creek transition to Mill-Cucamonga Creek for further source investigation </w:t>
      </w:r>
      <w:r w:rsidR="008F2BEF">
        <w:t>and potential c</w:t>
      </w:r>
      <w:r w:rsidR="004434BD">
        <w:t xml:space="preserve">ontrol </w:t>
      </w:r>
      <w:r w:rsidR="00857B9A">
        <w:t>including Chris Basin outfall and County Line Channel</w:t>
      </w:r>
      <w:r w:rsidRPr="000469B4">
        <w:t>.</w:t>
      </w:r>
      <w:r w:rsidR="008F2BEF">
        <w:t xml:space="preserve"> During the 2025 Synoptic Study, HF183 was found in the Mill-Cucamonga Creek at low levels in only one of five weeks. </w:t>
      </w:r>
      <w:r w:rsidRPr="000469B4">
        <w:t xml:space="preserve"> </w:t>
      </w:r>
    </w:p>
    <w:p w14:paraId="605987AD" w14:textId="324BE0D7" w:rsidR="00047982" w:rsidRPr="00D82992" w:rsidRDefault="006A43C1" w:rsidP="00305053">
      <w:pPr>
        <w:pStyle w:val="ListBullet"/>
        <w:spacing w:after="240" w:line="240" w:lineRule="auto"/>
        <w:rPr>
          <w:rFonts w:ascii="Arial" w:hAnsi="Arial" w:cs="Arial"/>
          <w:b/>
          <w:bCs/>
          <w:sz w:val="26"/>
          <w:szCs w:val="26"/>
        </w:rPr>
      </w:pPr>
      <w:r w:rsidRPr="00D82992">
        <w:rPr>
          <w:i/>
          <w:iCs/>
        </w:rPr>
        <w:t>Chino Creek</w:t>
      </w:r>
      <w:r w:rsidRPr="000469B4">
        <w:t xml:space="preserve"> </w:t>
      </w:r>
      <w:r w:rsidR="00FD00A9">
        <w:t>–</w:t>
      </w:r>
      <w:r w:rsidRPr="000469B4">
        <w:t xml:space="preserve"> </w:t>
      </w:r>
      <w:r w:rsidR="00FD00A9">
        <w:t xml:space="preserve">The majority of </w:t>
      </w:r>
      <w:r w:rsidRPr="00D82992">
        <w:rPr>
          <w:i/>
          <w:iCs/>
        </w:rPr>
        <w:t>E. coli</w:t>
      </w:r>
      <w:r w:rsidRPr="000469B4">
        <w:t xml:space="preserve"> loads </w:t>
      </w:r>
      <w:r w:rsidR="00FD00A9">
        <w:t xml:space="preserve">(75 percent on average) to Chino Creek come from upstream of the confluence with San Antonio Channel, primarily from City of Pomona MS4 areas. </w:t>
      </w:r>
      <w:r w:rsidR="00D82992">
        <w:t xml:space="preserve">All other Tier 1 MS4 outfalls to Chino Creek were determined to be low priority. Despite not meeting the WLA/LAs for </w:t>
      </w:r>
      <w:r w:rsidR="00D82992" w:rsidRPr="00D82992">
        <w:rPr>
          <w:i/>
          <w:iCs/>
        </w:rPr>
        <w:t>E. coli</w:t>
      </w:r>
      <w:r w:rsidR="00D82992">
        <w:t>, there were no detections of human HF 183 markers in this waterbody.</w:t>
      </w:r>
      <w:r w:rsidR="00047982" w:rsidRPr="00D82992">
        <w:rPr>
          <w:rFonts w:ascii="Arial" w:hAnsi="Arial" w:cs="Arial"/>
          <w:b/>
          <w:bCs/>
          <w:sz w:val="26"/>
          <w:szCs w:val="26"/>
        </w:rPr>
        <w:br w:type="page"/>
      </w:r>
    </w:p>
    <w:p w14:paraId="1C5C7D35" w14:textId="04C6F960" w:rsidR="006A43C1" w:rsidRPr="0080196B" w:rsidRDefault="006A43C1" w:rsidP="006A43C1">
      <w:pPr>
        <w:pStyle w:val="BodyText"/>
        <w:rPr>
          <w:rFonts w:ascii="Arial" w:hAnsi="Arial" w:cs="Arial"/>
          <w:b/>
          <w:bCs/>
          <w:sz w:val="26"/>
          <w:szCs w:val="26"/>
        </w:rPr>
      </w:pPr>
      <w:r w:rsidRPr="0080196B">
        <w:rPr>
          <w:rFonts w:ascii="Arial" w:hAnsi="Arial" w:cs="Arial"/>
          <w:b/>
          <w:bCs/>
          <w:sz w:val="26"/>
          <w:szCs w:val="26"/>
        </w:rPr>
        <w:lastRenderedPageBreak/>
        <w:t>TMDL Implementation – Next Steps</w:t>
      </w:r>
    </w:p>
    <w:p w14:paraId="233C2BEE" w14:textId="77777777" w:rsidR="006A43C1" w:rsidRDefault="006A43C1" w:rsidP="006A43C1">
      <w:pPr>
        <w:pStyle w:val="BodyText"/>
      </w:pPr>
      <w:r>
        <w:t xml:space="preserve">In addition to moving forward with proposed limited revision to the MSAR TMDLs to extend the compliance date for meeting the wet winter </w:t>
      </w:r>
      <w:proofErr w:type="gramStart"/>
      <w:r>
        <w:t>condition</w:t>
      </w:r>
      <w:proofErr w:type="gramEnd"/>
      <w:r>
        <w:t xml:space="preserve"> WLAs and LAs, the report recommends additional studies. In particular:</w:t>
      </w:r>
    </w:p>
    <w:p w14:paraId="566DFC7C" w14:textId="61F7E46E" w:rsidR="006A43C1" w:rsidRDefault="006A43C1" w:rsidP="006A43C1">
      <w:pPr>
        <w:pStyle w:val="ListBullet"/>
      </w:pPr>
      <w:r>
        <w:t>Co</w:t>
      </w:r>
      <w:r w:rsidR="0045795F">
        <w:t xml:space="preserve">nduct </w:t>
      </w:r>
      <w:r>
        <w:t>Tier 1 source evaluation</w:t>
      </w:r>
      <w:r w:rsidR="0045795F">
        <w:t>s on a triennial basis, consistent with the triennial report schedule.</w:t>
      </w:r>
      <w:r>
        <w:t xml:space="preserve"> Tier 1 evaluations have historically been conducted about every 5-7 years</w:t>
      </w:r>
      <w:r w:rsidR="0045795F">
        <w:t>. However</w:t>
      </w:r>
      <w:r>
        <w:t xml:space="preserve">, </w:t>
      </w:r>
      <w:r w:rsidR="0045795F">
        <w:t xml:space="preserve">due to the evolving nature of source contributions and the increase in human sources of bacteria observed in the 2025 Synoptic Study, </w:t>
      </w:r>
      <w:r>
        <w:t xml:space="preserve">it is recommended that </w:t>
      </w:r>
      <w:r w:rsidR="0045795F">
        <w:t xml:space="preserve">Tier 1 </w:t>
      </w:r>
      <w:r>
        <w:t>source evaluation</w:t>
      </w:r>
      <w:r w:rsidR="0045795F">
        <w:t>s</w:t>
      </w:r>
      <w:r>
        <w:t xml:space="preserve"> be conducted </w:t>
      </w:r>
      <w:r w:rsidR="0045795F">
        <w:t xml:space="preserve">more frequently. </w:t>
      </w:r>
    </w:p>
    <w:p w14:paraId="547C15A2" w14:textId="451129D4" w:rsidR="006A43C1" w:rsidRDefault="006A43C1" w:rsidP="006A43C1">
      <w:pPr>
        <w:pStyle w:val="ListBullet"/>
      </w:pPr>
      <w:r>
        <w:t xml:space="preserve">Conduct studies to identify and </w:t>
      </w:r>
      <w:r w:rsidR="008F2BEF">
        <w:t xml:space="preserve">further </w:t>
      </w:r>
      <w:r>
        <w:t xml:space="preserve">quantify instream sources of </w:t>
      </w:r>
      <w:r w:rsidRPr="00D14F13">
        <w:rPr>
          <w:i/>
          <w:iCs/>
        </w:rPr>
        <w:t>E. coli</w:t>
      </w:r>
      <w:r>
        <w:t xml:space="preserve">, especially in </w:t>
      </w:r>
      <w:r w:rsidR="008F2BEF">
        <w:t xml:space="preserve">the vicinity of Mission Avenue at the transition from </w:t>
      </w:r>
      <w:r>
        <w:t>Santa Ana River Reach</w:t>
      </w:r>
      <w:r w:rsidR="008F2BEF">
        <w:t xml:space="preserve"> 4 to Reach 3. This source represents more than 75 percent of the total E. coli load to Reach 3 of the SAR.</w:t>
      </w:r>
    </w:p>
    <w:p w14:paraId="19F4CB13" w14:textId="043BD4D8" w:rsidR="006A43C1" w:rsidRDefault="006A43C1" w:rsidP="006A43C1">
      <w:pPr>
        <w:pStyle w:val="ListBullet"/>
      </w:pPr>
      <w:r>
        <w:t>I</w:t>
      </w:r>
      <w:r w:rsidR="00047982">
        <w:t>mprove temporal</w:t>
      </w:r>
      <w:r>
        <w:t xml:space="preserve"> </w:t>
      </w:r>
      <w:r w:rsidR="00047982">
        <w:t xml:space="preserve">resolution of </w:t>
      </w:r>
      <w:r>
        <w:t xml:space="preserve">weather data </w:t>
      </w:r>
      <w:r w:rsidR="00047982">
        <w:t xml:space="preserve">by increasing the number of monitored storms per year and decreasing the samples count per storm. Additionally, move the focus of sample collection to post-storm monitoring to evaluate conditions when REC1 activities are likely to resume. </w:t>
      </w:r>
    </w:p>
    <w:p w14:paraId="67380DDD" w14:textId="77D21D59" w:rsidR="00D82992" w:rsidRPr="00D82992" w:rsidRDefault="008F2BEF" w:rsidP="00880DE7">
      <w:pPr>
        <w:pStyle w:val="ListBullet"/>
        <w:numPr>
          <w:ilvl w:val="0"/>
          <w:numId w:val="35"/>
        </w:numPr>
        <w:spacing w:after="240"/>
        <w:ind w:left="360"/>
      </w:pPr>
      <w:r w:rsidRPr="00D82992">
        <w:t xml:space="preserve">Initiate implementation studies in the revised TMDL (anticipated to be adopted in 2026) </w:t>
      </w:r>
      <w:r w:rsidR="00D82992" w:rsidRPr="00D82992">
        <w:t>involving e</w:t>
      </w:r>
      <w:r w:rsidR="00D82992" w:rsidRPr="00D82992">
        <w:t>valuat</w:t>
      </w:r>
      <w:r w:rsidR="00D82992" w:rsidRPr="00D82992">
        <w:t>ion of c</w:t>
      </w:r>
      <w:r w:rsidR="00D82992" w:rsidRPr="00D82992">
        <w:t xml:space="preserve">ontrollability of </w:t>
      </w:r>
      <w:r w:rsidR="00D82992" w:rsidRPr="00D82992">
        <w:t>w</w:t>
      </w:r>
      <w:r w:rsidR="00D82992" w:rsidRPr="00D82992">
        <w:t xml:space="preserve">et </w:t>
      </w:r>
      <w:r w:rsidR="00D82992" w:rsidRPr="00D82992">
        <w:t>w</w:t>
      </w:r>
      <w:r w:rsidR="00D82992" w:rsidRPr="00D82992">
        <w:t xml:space="preserve">eather </w:t>
      </w:r>
      <w:r w:rsidR="00D82992" w:rsidRPr="00D82992">
        <w:t>s</w:t>
      </w:r>
      <w:r w:rsidR="00D82992" w:rsidRPr="00D82992">
        <w:t>ource</w:t>
      </w:r>
      <w:r w:rsidR="00D82992" w:rsidRPr="00D82992">
        <w:t>s and e</w:t>
      </w:r>
      <w:r w:rsidR="00D82992" w:rsidRPr="00D82992">
        <w:t>valuat</w:t>
      </w:r>
      <w:r w:rsidR="00D82992" w:rsidRPr="00D82992">
        <w:t>ion of a</w:t>
      </w:r>
      <w:r w:rsidR="00D82992" w:rsidRPr="00D82992">
        <w:t xml:space="preserve">pplicability of </w:t>
      </w:r>
      <w:r w:rsidR="00D82992" w:rsidRPr="00D82992">
        <w:t>h</w:t>
      </w:r>
      <w:r w:rsidR="00D82992" w:rsidRPr="00D82992">
        <w:t xml:space="preserve">igh </w:t>
      </w:r>
      <w:r w:rsidR="00D82992" w:rsidRPr="00D82992">
        <w:t>f</w:t>
      </w:r>
      <w:r w:rsidR="00D82992" w:rsidRPr="00D82992">
        <w:t xml:space="preserve">low </w:t>
      </w:r>
      <w:r w:rsidR="00D82992" w:rsidRPr="00D82992">
        <w:t>s</w:t>
      </w:r>
      <w:r w:rsidR="00D82992" w:rsidRPr="00D82992">
        <w:t>uspension</w:t>
      </w:r>
      <w:r w:rsidR="00D82992" w:rsidRPr="00D82992">
        <w:t>.</w:t>
      </w:r>
    </w:p>
    <w:p w14:paraId="41676B81" w14:textId="3793FA26" w:rsidR="0095436D" w:rsidRDefault="009B67B6" w:rsidP="00DC04E9">
      <w:pPr>
        <w:pStyle w:val="ListBullet"/>
        <w:sectPr w:rsidR="0095436D" w:rsidSect="00E25036">
          <w:footerReference w:type="default" r:id="rId16"/>
          <w:pgSz w:w="12240" w:h="15840" w:code="1"/>
          <w:pgMar w:top="1440" w:right="1440" w:bottom="1440" w:left="1800" w:header="720" w:footer="720" w:gutter="0"/>
          <w:pgNumType w:start="1"/>
          <w:cols w:space="720"/>
          <w:docGrid w:linePitch="326"/>
        </w:sectPr>
      </w:pPr>
      <w:r w:rsidRPr="00D82992">
        <w:t>Initiate planning for Task 4 in the revised TMDL (anticipated to be adopted in 2026) to implement preliminary wet weather controls in advance of more comprehensive watershed management plan or wet weather CBRP development</w:t>
      </w:r>
      <w:r>
        <w:t>.</w:t>
      </w:r>
    </w:p>
    <w:p w14:paraId="1903C51C" w14:textId="4B9A08FE" w:rsidR="00C74BC7" w:rsidRPr="00C74BC7" w:rsidRDefault="00936974" w:rsidP="00E7334E">
      <w:pPr>
        <w:pStyle w:val="Heading1"/>
      </w:pPr>
      <w:bookmarkStart w:id="6" w:name="_Toc217410133"/>
      <w:r>
        <w:lastRenderedPageBreak/>
        <w:t>Introduction</w:t>
      </w:r>
      <w:bookmarkEnd w:id="6"/>
    </w:p>
    <w:p w14:paraId="0908839F" w14:textId="439E98BB" w:rsidR="006D0E15" w:rsidRPr="00047982" w:rsidRDefault="00235F65" w:rsidP="009B67B6">
      <w:pPr>
        <w:pStyle w:val="Heading2"/>
        <w:tabs>
          <w:tab w:val="clear" w:pos="2322"/>
        </w:tabs>
        <w:ind w:left="720" w:hanging="720"/>
      </w:pPr>
      <w:bookmarkStart w:id="7" w:name="_Toc217410134"/>
      <w:bookmarkEnd w:id="1"/>
      <w:r w:rsidRPr="00047982">
        <w:t>Regulatory Background</w:t>
      </w:r>
      <w:bookmarkEnd w:id="7"/>
    </w:p>
    <w:p w14:paraId="7FC2A1B1" w14:textId="4075257C" w:rsidR="00F422A0" w:rsidRPr="00FE4558" w:rsidRDefault="00F422A0" w:rsidP="00F422A0">
      <w:pPr>
        <w:pStyle w:val="BodyText"/>
      </w:pPr>
      <w:r w:rsidRPr="002960B0">
        <w:t xml:space="preserve">On August 26, 2005, the Santa Ana Regional Water Quality Control Board (Santa Ana Water Board) adopted Middle Santa Ana River (MSAR) Bacterial Indicator Total Maximum Daily Loads (TMDL) (“MSAR TMDL”) for Reach 3 of the Santa Ana River, Mill Creek (in the Prado area), Reach 1 of Cucamonga Creek, Reaches 1 and 2 of Chino Creek, and the Prado </w:t>
      </w:r>
      <w:r w:rsidRPr="00FE4558">
        <w:t>Park Lakes (</w:t>
      </w:r>
      <w:r w:rsidR="00AE7A21">
        <w:t xml:space="preserve">Santa Ana Water Board 2005b; </w:t>
      </w:r>
      <w:r w:rsidRPr="00FE4558">
        <w:t xml:space="preserve">Resolution No. </w:t>
      </w:r>
      <w:bookmarkStart w:id="8" w:name="_Hlk120701937"/>
      <w:r w:rsidRPr="00FE4558">
        <w:t>R8-2005-0001</w:t>
      </w:r>
      <w:bookmarkEnd w:id="8"/>
      <w:r w:rsidRPr="00FE4558">
        <w:t>). The adopted TMDL</w:t>
      </w:r>
      <w:r w:rsidR="00427553">
        <w:t>s were</w:t>
      </w:r>
      <w:r w:rsidRPr="00FE4558">
        <w:t xml:space="preserve"> approved by the State Water Resources Control Board (State Water Board) on May 15, 2006 (</w:t>
      </w:r>
      <w:r w:rsidR="00CD1C6A">
        <w:t xml:space="preserve">State Water Board 2006; </w:t>
      </w:r>
      <w:r w:rsidRPr="00FE4558">
        <w:t xml:space="preserve">Resolution No 2006-030) and by </w:t>
      </w:r>
      <w:r>
        <w:t xml:space="preserve">the </w:t>
      </w:r>
      <w:r w:rsidRPr="00FE4558">
        <w:t>U</w:t>
      </w:r>
      <w:r>
        <w:t>nited States</w:t>
      </w:r>
      <w:r w:rsidRPr="00FE4558">
        <w:t xml:space="preserve"> Environmental Protection Agency (USEPA) Region 9 on May 16, 2007. </w:t>
      </w:r>
    </w:p>
    <w:p w14:paraId="68C1FFE8" w14:textId="692BD9AA" w:rsidR="00F422A0" w:rsidRPr="00FE4558" w:rsidRDefault="00F422A0" w:rsidP="00F422A0">
      <w:pPr>
        <w:pStyle w:val="BodyText"/>
        <w:spacing w:after="120"/>
      </w:pPr>
      <w:r w:rsidRPr="00FE4558">
        <w:t>The MSAR TMDL</w:t>
      </w:r>
      <w:r w:rsidR="00427553">
        <w:t>s</w:t>
      </w:r>
      <w:r w:rsidRPr="00FE4558">
        <w:t xml:space="preserve"> established fecal coliform</w:t>
      </w:r>
      <w:r>
        <w:t xml:space="preserve"> and</w:t>
      </w:r>
      <w:r w:rsidRPr="00FE4558">
        <w:t xml:space="preserve"> </w:t>
      </w:r>
      <w:r w:rsidRPr="00FE4558">
        <w:rPr>
          <w:i/>
        </w:rPr>
        <w:t>Escherichia coli</w:t>
      </w:r>
      <w:r w:rsidRPr="00FE4558">
        <w:t xml:space="preserve"> (</w:t>
      </w:r>
      <w:r w:rsidRPr="00FE4558">
        <w:rPr>
          <w:i/>
        </w:rPr>
        <w:t>E. coli</w:t>
      </w:r>
      <w:r w:rsidRPr="00FE4558">
        <w:t xml:space="preserve">) wasteload allocations (WLA) for urban </w:t>
      </w:r>
      <w:r>
        <w:t>Municipal Separate Storm Sewer System (</w:t>
      </w:r>
      <w:r w:rsidRPr="00FE4558">
        <w:t>MS4</w:t>
      </w:r>
      <w:r>
        <w:t>)</w:t>
      </w:r>
      <w:r w:rsidRPr="00FE4558">
        <w:t xml:space="preserve"> and </w:t>
      </w:r>
      <w:r w:rsidR="00066B88">
        <w:t>C</w:t>
      </w:r>
      <w:r w:rsidRPr="00FE4558">
        <w:t xml:space="preserve">onfined </w:t>
      </w:r>
      <w:r w:rsidR="00066B88">
        <w:t>A</w:t>
      </w:r>
      <w:r w:rsidRPr="00FE4558">
        <w:t xml:space="preserve">nimal </w:t>
      </w:r>
      <w:r w:rsidR="00066B88">
        <w:t>F</w:t>
      </w:r>
      <w:r w:rsidRPr="00FE4558">
        <w:t xml:space="preserve">eeding </w:t>
      </w:r>
      <w:r w:rsidR="00066B88">
        <w:t>O</w:t>
      </w:r>
      <w:r w:rsidRPr="00FE4558">
        <w:t xml:space="preserve">peration </w:t>
      </w:r>
      <w:r w:rsidR="00066B88">
        <w:t xml:space="preserve">(CAFO) </w:t>
      </w:r>
      <w:r w:rsidRPr="00FE4558">
        <w:t xml:space="preserve">discharges and load allocations (LAs) for agricultural and natural </w:t>
      </w:r>
      <w:proofErr w:type="gramStart"/>
      <w:r w:rsidRPr="00FE4558">
        <w:t>sources</w:t>
      </w:r>
      <w:proofErr w:type="gramEnd"/>
      <w:r w:rsidRPr="00FE4558">
        <w:t>:</w:t>
      </w:r>
    </w:p>
    <w:p w14:paraId="70261996" w14:textId="4C4FE747" w:rsidR="00EC657A" w:rsidRPr="00FE4558" w:rsidRDefault="00F422A0" w:rsidP="00EC657A">
      <w:pPr>
        <w:pStyle w:val="ListBullet"/>
      </w:pPr>
      <w:r w:rsidRPr="00FE4558">
        <w:t xml:space="preserve">Fecal coliform: 5‐sample/30‐day logarithmic mean (or geometric mean) less than 180 organisms/100 mL and not more than 10 percent of the samples exceed 360 organisms/100 </w:t>
      </w:r>
      <w:r w:rsidR="00D96E87">
        <w:t>milliliters (</w:t>
      </w:r>
      <w:r w:rsidRPr="00FE4558">
        <w:t>mL</w:t>
      </w:r>
      <w:r w:rsidR="00D96E87">
        <w:t>)</w:t>
      </w:r>
      <w:r w:rsidRPr="00FE4558">
        <w:t xml:space="preserve"> for any 30‐day period.</w:t>
      </w:r>
      <w:r w:rsidRPr="00FE4558">
        <w:rPr>
          <w:rStyle w:val="FootnoteReference"/>
          <w:color w:val="000000"/>
          <w:szCs w:val="24"/>
        </w:rPr>
        <w:footnoteReference w:id="2"/>
      </w:r>
    </w:p>
    <w:p w14:paraId="47CD8F47" w14:textId="77777777" w:rsidR="00F422A0" w:rsidRPr="00FE4558" w:rsidRDefault="00F422A0" w:rsidP="007C2E16">
      <w:pPr>
        <w:pStyle w:val="ListBullet"/>
        <w:spacing w:after="240"/>
      </w:pPr>
      <w:r w:rsidRPr="00FE4558">
        <w:rPr>
          <w:i/>
          <w:iCs/>
        </w:rPr>
        <w:t>E. coli</w:t>
      </w:r>
      <w:r w:rsidRPr="00FE4558">
        <w:t>: 5‐sample/30‐day logarithmic mean (or geometric mean) less than 113 organisms/100 mL and not more than 10 percent of the samples exceed 212 organisms/100 mL for any 30‐day period.</w:t>
      </w:r>
    </w:p>
    <w:p w14:paraId="6162154E" w14:textId="66890756" w:rsidR="007C2E16" w:rsidRDefault="007C2E16" w:rsidP="00F0621D">
      <w:pPr>
        <w:spacing w:after="240"/>
      </w:pPr>
      <w:r>
        <w:t>The TMDL</w:t>
      </w:r>
      <w:r w:rsidR="00427553">
        <w:t>s</w:t>
      </w:r>
      <w:r>
        <w:t xml:space="preserve"> establish different </w:t>
      </w:r>
      <w:r w:rsidR="00356D72">
        <w:t xml:space="preserve">season-based </w:t>
      </w:r>
      <w:r>
        <w:t>compliance dates for these WLAs and LAs as follows:</w:t>
      </w:r>
    </w:p>
    <w:p w14:paraId="0AE8E7A8" w14:textId="28291503" w:rsidR="007C2E16" w:rsidRDefault="007C2E16" w:rsidP="007C2E16">
      <w:pPr>
        <w:pStyle w:val="ListBullet"/>
      </w:pPr>
      <w:r>
        <w:t>Dry Summer Conditions (April 1 through October 31</w:t>
      </w:r>
      <w:r w:rsidR="00326A8C">
        <w:t>, herein referred to as the Dry Season</w:t>
      </w:r>
      <w:r>
        <w:t>) – WLAs/LAs should be complied with as soon as possible, but no later than December 31, 2015; and</w:t>
      </w:r>
    </w:p>
    <w:p w14:paraId="35BE4FC6" w14:textId="43180F65" w:rsidR="007C2E16" w:rsidRDefault="007C2E16" w:rsidP="007C2E16">
      <w:pPr>
        <w:pStyle w:val="ListBullet"/>
        <w:spacing w:after="240"/>
      </w:pPr>
      <w:r>
        <w:t>Wet Winter Conditions (November 1 through March 31</w:t>
      </w:r>
      <w:r w:rsidR="00326A8C">
        <w:t>, herein referred to as the Wet Season</w:t>
      </w:r>
      <w:r>
        <w:t>) – WLAs/LAs should be complied with as soon as possible, but no later than December 31, 2025</w:t>
      </w:r>
    </w:p>
    <w:p w14:paraId="593EFE7D" w14:textId="64390897" w:rsidR="0012309B" w:rsidRDefault="00931E97" w:rsidP="00F0621D">
      <w:pPr>
        <w:spacing w:after="240"/>
      </w:pPr>
      <w:r>
        <w:t>The TMDL</w:t>
      </w:r>
      <w:r w:rsidR="00427553">
        <w:t>s</w:t>
      </w:r>
      <w:r>
        <w:t xml:space="preserve"> identif</w:t>
      </w:r>
      <w:r w:rsidR="00427553">
        <w:t>y</w:t>
      </w:r>
      <w:r>
        <w:t xml:space="preserve"> the following entities responsible for compliance with WLAs and LAs in the MSAR watershed:</w:t>
      </w:r>
      <w:r w:rsidR="0012309B">
        <w:t xml:space="preserve"> </w:t>
      </w:r>
      <w:r>
        <w:t xml:space="preserve">Counties of Riverside and San Bernardino, Cities of Ontario, Chino, Chino Hills, Montclair, Rancho Cucamonga, Upland, Rialto, Fontana, Corona, Norco, </w:t>
      </w:r>
      <w:r>
        <w:lastRenderedPageBreak/>
        <w:t xml:space="preserve">Riverside, Claremont and Pomona, Agricultural Operators </w:t>
      </w:r>
      <w:r w:rsidR="00331184">
        <w:t xml:space="preserve">(including both CAFOs and irrigated and dry-land farming) </w:t>
      </w:r>
      <w:r>
        <w:t xml:space="preserve">and the United States Forest Service. </w:t>
      </w:r>
    </w:p>
    <w:p w14:paraId="4E5BAED9" w14:textId="238CD85D" w:rsidR="00F0621D" w:rsidRDefault="00931E97" w:rsidP="00F0621D">
      <w:pPr>
        <w:spacing w:after="240"/>
      </w:pPr>
      <w:r>
        <w:t xml:space="preserve">Since TMDL </w:t>
      </w:r>
      <w:r w:rsidR="00250B13">
        <w:t>adoption,</w:t>
      </w:r>
      <w:r>
        <w:t xml:space="preserve"> a portion of the Riverside County area has become the newly incorporated Cities of Eastvale and Jurupa Valley</w:t>
      </w:r>
      <w:r w:rsidR="00F0621D">
        <w:t xml:space="preserve">. In addition, the State Water Board identified four additional entities responsible for compliance with WLAs through adoption of the </w:t>
      </w:r>
      <w:r w:rsidR="00F0621D" w:rsidRPr="00CD3AA7">
        <w:t xml:space="preserve">General Permit for </w:t>
      </w:r>
      <w:r w:rsidR="00D96E87">
        <w:t>Waste Discharge Requirements (</w:t>
      </w:r>
      <w:r w:rsidR="00F0621D" w:rsidRPr="00CD3AA7">
        <w:t>WDR</w:t>
      </w:r>
      <w:r w:rsidR="00D96E87">
        <w:t>)</w:t>
      </w:r>
      <w:r w:rsidR="00F0621D" w:rsidRPr="00CD3AA7">
        <w:t xml:space="preserve"> for Storm Water Discharges from Small </w:t>
      </w:r>
      <w:r w:rsidR="00F0621D">
        <w:t>MS4s (</w:t>
      </w:r>
      <w:r w:rsidR="00CD1C6A">
        <w:t xml:space="preserve">State Water Board 2017; </w:t>
      </w:r>
      <w:r w:rsidR="00F0621D">
        <w:t xml:space="preserve">Resolution </w:t>
      </w:r>
      <w:r w:rsidR="00F0621D" w:rsidRPr="00CD3AA7">
        <w:t>No. 2013-0001-DWQ</w:t>
      </w:r>
      <w:r w:rsidR="00F0621D">
        <w:t>, as</w:t>
      </w:r>
      <w:r w:rsidR="00F0621D" w:rsidRPr="00CD3AA7">
        <w:t xml:space="preserve"> amended in 2017</w:t>
      </w:r>
      <w:r w:rsidR="00F0621D">
        <w:t>): University of California Riverside (</w:t>
      </w:r>
      <w:r w:rsidR="00D96E87">
        <w:t>UC Riverside</w:t>
      </w:r>
      <w:r w:rsidR="00F0621D">
        <w:t>), California Institute for Men (Chino, CA); California Institute for Women (Chino CA); and California Rehabilitation Center (Norco, CA).</w:t>
      </w:r>
    </w:p>
    <w:p w14:paraId="38F85190" w14:textId="7B0B8768" w:rsidR="00040EA1" w:rsidRPr="001745E0" w:rsidRDefault="00040EA1" w:rsidP="001745E0">
      <w:pPr>
        <w:pStyle w:val="BodyText"/>
      </w:pPr>
      <w:r w:rsidRPr="001745E0">
        <w:t xml:space="preserve">In 2012, the </w:t>
      </w:r>
      <w:r w:rsidR="001745E0">
        <w:t>Santa Ana Water Board</w:t>
      </w:r>
      <w:r w:rsidRPr="001745E0">
        <w:t xml:space="preserve"> adopted changes to the recreation </w:t>
      </w:r>
      <w:r w:rsidR="001745E0">
        <w:t xml:space="preserve">water quality </w:t>
      </w:r>
      <w:r w:rsidRPr="001745E0">
        <w:t>standards</w:t>
      </w:r>
      <w:r w:rsidR="001745E0" w:rsidRPr="001745E0">
        <w:t xml:space="preserve"> in the Water Quality Control Plan for the Santa Ana River Basin </w:t>
      </w:r>
      <w:r w:rsidR="001745E0">
        <w:t>(</w:t>
      </w:r>
      <w:r w:rsidR="001745E0" w:rsidRPr="001745E0">
        <w:t>Basin Plan)</w:t>
      </w:r>
      <w:r w:rsidRPr="001745E0">
        <w:t>, based on the work and recommendations of the Stormwater Quality Standards Task Force (</w:t>
      </w:r>
      <w:r w:rsidR="00F56046">
        <w:t xml:space="preserve">Santa Ana Water Board 2012c; </w:t>
      </w:r>
      <w:r w:rsidRPr="001745E0">
        <w:t>Resolution No. R8-2012-0001). That Basin Plan amendment was subsequently approved by the State Water Board on January 21, 2014 (</w:t>
      </w:r>
      <w:r w:rsidR="00CD1C6A">
        <w:t xml:space="preserve">State Water Board 2014; </w:t>
      </w:r>
      <w:r w:rsidRPr="001745E0">
        <w:t xml:space="preserve">Resolution No. 2014-0005) and by USEPA on April 8, 2015. This Basin Plan amendment included </w:t>
      </w:r>
      <w:r w:rsidR="009056A6">
        <w:t>several</w:t>
      </w:r>
      <w:r w:rsidRPr="001745E0">
        <w:t xml:space="preserve"> key elements that are relevant to the MSAR TMDL</w:t>
      </w:r>
      <w:r w:rsidR="00427553">
        <w:t>s</w:t>
      </w:r>
      <w:r w:rsidRPr="001745E0">
        <w:t>:</w:t>
      </w:r>
    </w:p>
    <w:p w14:paraId="2BF93CE0" w14:textId="77777777" w:rsidR="00040EA1" w:rsidRDefault="00040EA1" w:rsidP="00B40E8C">
      <w:pPr>
        <w:pStyle w:val="ListBullet"/>
      </w:pPr>
      <w:r>
        <w:t xml:space="preserve">Revised bacteria quality objectives applicable to freshwaters (e.g., fecal coliform water quality objectives were replaced by </w:t>
      </w:r>
      <w:r w:rsidRPr="00040EA1">
        <w:rPr>
          <w:i/>
          <w:iCs/>
        </w:rPr>
        <w:t>E. coli</w:t>
      </w:r>
      <w:r>
        <w:t xml:space="preserve"> objectives)</w:t>
      </w:r>
    </w:p>
    <w:p w14:paraId="5E8EB688" w14:textId="1C5785A0" w:rsidR="00EE04A2" w:rsidRDefault="00040EA1" w:rsidP="00B40E8C">
      <w:pPr>
        <w:pStyle w:val="ListBullet"/>
      </w:pPr>
      <w:r>
        <w:t xml:space="preserve">Changes to the recreation use designations for specific fresh waters, including removal of the </w:t>
      </w:r>
      <w:r w:rsidR="00EE04A2">
        <w:t>REC</w:t>
      </w:r>
      <w:r w:rsidR="002D104A">
        <w:t>1</w:t>
      </w:r>
      <w:r w:rsidR="00EE04A2">
        <w:t xml:space="preserve"> beneficial use from Cucamonga Creek Reach 1 through an approved Use Attainability Analysis</w:t>
      </w:r>
    </w:p>
    <w:p w14:paraId="11D843BD" w14:textId="150122E4" w:rsidR="00EE04A2" w:rsidRDefault="00040EA1" w:rsidP="00B40E8C">
      <w:pPr>
        <w:pStyle w:val="ListBullet"/>
      </w:pPr>
      <w:r>
        <w:t xml:space="preserve">Specific implementation strategies pertaining to the revised standards for </w:t>
      </w:r>
      <w:proofErr w:type="gramStart"/>
      <w:r>
        <w:t>freshwaters</w:t>
      </w:r>
      <w:proofErr w:type="gramEnd"/>
      <w:r w:rsidR="00A67505">
        <w:t xml:space="preserve"> </w:t>
      </w:r>
      <w:r w:rsidR="00EE04A2">
        <w:t xml:space="preserve">including: </w:t>
      </w:r>
    </w:p>
    <w:p w14:paraId="25C10DD7" w14:textId="5F862767" w:rsidR="00EE04A2" w:rsidRDefault="00040EA1" w:rsidP="00267EDD">
      <w:pPr>
        <w:pStyle w:val="BodyText"/>
        <w:numPr>
          <w:ilvl w:val="0"/>
          <w:numId w:val="23"/>
        </w:numPr>
        <w:spacing w:after="120"/>
      </w:pPr>
      <w:r>
        <w:t>Intended application of Single Sample Maximum values in REC1 freshwaters</w:t>
      </w:r>
      <w:r w:rsidR="00D96E87">
        <w:t xml:space="preserve"> with a </w:t>
      </w:r>
      <w:r w:rsidR="00D7514B">
        <w:t>W</w:t>
      </w:r>
      <w:r w:rsidR="00D96E87">
        <w:t xml:space="preserve">ater </w:t>
      </w:r>
      <w:r w:rsidR="00D7514B">
        <w:t>C</w:t>
      </w:r>
      <w:r w:rsidR="00D96E87">
        <w:t xml:space="preserve">ontact </w:t>
      </w:r>
      <w:r w:rsidR="00D7514B">
        <w:t>R</w:t>
      </w:r>
      <w:r w:rsidR="00D96E87">
        <w:t xml:space="preserve">ecreation (REC1) beneficial </w:t>
      </w:r>
      <w:proofErr w:type="gramStart"/>
      <w:r w:rsidR="00D96E87">
        <w:t>use</w:t>
      </w:r>
      <w:r w:rsidR="0012309B">
        <w:t>;</w:t>
      </w:r>
      <w:proofErr w:type="gramEnd"/>
    </w:p>
    <w:p w14:paraId="6A4A0508" w14:textId="25042102" w:rsidR="00EE04A2" w:rsidRDefault="00EE04A2" w:rsidP="00267EDD">
      <w:pPr>
        <w:pStyle w:val="BodyText"/>
        <w:numPr>
          <w:ilvl w:val="0"/>
          <w:numId w:val="23"/>
        </w:numPr>
        <w:spacing w:after="120"/>
      </w:pPr>
      <w:r>
        <w:t>A</w:t>
      </w:r>
      <w:r w:rsidR="00040EA1">
        <w:t xml:space="preserve">ntidegradation targets for </w:t>
      </w:r>
      <w:r w:rsidR="00D96E87">
        <w:t>freshwaters with a Non-contact Water Recreation (</w:t>
      </w:r>
      <w:r w:rsidR="00040EA1">
        <w:t>REC2</w:t>
      </w:r>
      <w:r w:rsidR="00D96E87">
        <w:t>)</w:t>
      </w:r>
      <w:r w:rsidR="00040EA1">
        <w:t xml:space="preserve"> only </w:t>
      </w:r>
      <w:r w:rsidR="00D96E87">
        <w:t>beneficial use</w:t>
      </w:r>
      <w:r>
        <w:t xml:space="preserve">, including Cucamonga Creek Reach </w:t>
      </w:r>
      <w:proofErr w:type="gramStart"/>
      <w:r>
        <w:t>1</w:t>
      </w:r>
      <w:r w:rsidR="0012309B">
        <w:t>;</w:t>
      </w:r>
      <w:proofErr w:type="gramEnd"/>
    </w:p>
    <w:p w14:paraId="77E7732B" w14:textId="0A71DEC7" w:rsidR="00EE04A2" w:rsidRDefault="00040EA1" w:rsidP="00267EDD">
      <w:pPr>
        <w:pStyle w:val="BodyText"/>
        <w:numPr>
          <w:ilvl w:val="0"/>
          <w:numId w:val="23"/>
        </w:numPr>
        <w:spacing w:after="120"/>
      </w:pPr>
      <w:r>
        <w:t>Controllable and uncontrollable sources of bacteria</w:t>
      </w:r>
      <w:r w:rsidR="00EE04A2">
        <w:t>; and</w:t>
      </w:r>
    </w:p>
    <w:p w14:paraId="594FD929" w14:textId="088316B5" w:rsidR="00EE04A2" w:rsidRDefault="00040EA1" w:rsidP="00267EDD">
      <w:pPr>
        <w:pStyle w:val="BodyText"/>
        <w:numPr>
          <w:ilvl w:val="0"/>
          <w:numId w:val="23"/>
        </w:numPr>
      </w:pPr>
      <w:r>
        <w:t xml:space="preserve">High flow suspension of recreation standards </w:t>
      </w:r>
      <w:r w:rsidR="00EE04A2">
        <w:t>under specified conditions</w:t>
      </w:r>
      <w:r w:rsidR="0012309B">
        <w:t>.</w:t>
      </w:r>
    </w:p>
    <w:p w14:paraId="7DA4A233" w14:textId="064828E0" w:rsidR="00F422A0" w:rsidRDefault="0068651A" w:rsidP="00F422A0">
      <w:pPr>
        <w:pStyle w:val="BodyText"/>
      </w:pPr>
      <w:r>
        <w:t>I</w:t>
      </w:r>
      <w:r w:rsidR="00F422A0" w:rsidRPr="0012309B">
        <w:t>n 2018, the State Water Board amended the Water Quality Control Plan for Inland Surface Waters to establish new statewide water quality standards for pathogen indicator bacteria (</w:t>
      </w:r>
      <w:bookmarkStart w:id="9" w:name="_Hlk11767079"/>
      <w:r w:rsidR="00F422A0" w:rsidRPr="0012309B">
        <w:t>Resolution No. 2018-0038, August 7, 2018</w:t>
      </w:r>
      <w:bookmarkEnd w:id="9"/>
      <w:r w:rsidR="00F422A0" w:rsidRPr="0012309B">
        <w:t>). Both the 2012 Santa Ana Water Board Basin Plan amendment and 2018-adopted State Water Board statewide bacteria water quality standards provisions</w:t>
      </w:r>
      <w:r w:rsidR="00EE04A2" w:rsidRPr="0012309B">
        <w:t xml:space="preserve"> have the potential to</w:t>
      </w:r>
      <w:r w:rsidR="00F422A0" w:rsidRPr="0012309B">
        <w:t xml:space="preserve"> impact the </w:t>
      </w:r>
      <w:r w:rsidR="00EE04A2" w:rsidRPr="0012309B">
        <w:t xml:space="preserve">underlying </w:t>
      </w:r>
      <w:r w:rsidR="00F422A0" w:rsidRPr="0012309B">
        <w:t>basis for the 2005-adopted MSAR TMDL</w:t>
      </w:r>
      <w:r w:rsidR="00427553">
        <w:t>s</w:t>
      </w:r>
      <w:r w:rsidR="0012309B" w:rsidRPr="0012309B">
        <w:t>. However, until the MSAR TMDL</w:t>
      </w:r>
      <w:r w:rsidR="00427553">
        <w:t>s are</w:t>
      </w:r>
      <w:r w:rsidR="0012309B" w:rsidRPr="0012309B">
        <w:t xml:space="preserve"> revised to incorporate these </w:t>
      </w:r>
      <w:r w:rsidR="0012309B" w:rsidRPr="0012309B">
        <w:lastRenderedPageBreak/>
        <w:t xml:space="preserve">statewide requirements, the </w:t>
      </w:r>
      <w:r w:rsidR="00EE04A2" w:rsidRPr="0012309B">
        <w:t xml:space="preserve">requirements </w:t>
      </w:r>
      <w:r w:rsidR="0012309B" w:rsidRPr="0012309B">
        <w:t xml:space="preserve">established in </w:t>
      </w:r>
      <w:r w:rsidR="00EE04A2" w:rsidRPr="0012309B">
        <w:t>the existing MSAR TMDL</w:t>
      </w:r>
      <w:r w:rsidR="00427553">
        <w:t>s</w:t>
      </w:r>
      <w:r w:rsidR="00EE04A2" w:rsidRPr="0012309B">
        <w:t xml:space="preserve"> continue to apply.</w:t>
      </w:r>
      <w:r w:rsidR="00EE04A2">
        <w:t xml:space="preserve"> </w:t>
      </w:r>
    </w:p>
    <w:p w14:paraId="2F14F5BC" w14:textId="7EA6D57A" w:rsidR="0012309B" w:rsidRDefault="0012309B" w:rsidP="009B67B6">
      <w:pPr>
        <w:pStyle w:val="Heading2"/>
        <w:tabs>
          <w:tab w:val="clear" w:pos="2322"/>
        </w:tabs>
        <w:ind w:left="720" w:hanging="720"/>
      </w:pPr>
      <w:bookmarkStart w:id="10" w:name="_Toc217410135"/>
      <w:r>
        <w:t>MSAR TMDL Task Force</w:t>
      </w:r>
      <w:bookmarkEnd w:id="10"/>
    </w:p>
    <w:p w14:paraId="52240171" w14:textId="3BC22F92" w:rsidR="0012309B" w:rsidRDefault="0012309B" w:rsidP="0012309B">
      <w:pPr>
        <w:pStyle w:val="BodyText"/>
        <w:spacing w:after="160"/>
      </w:pPr>
      <w:r>
        <w:t xml:space="preserve">The MSAR </w:t>
      </w:r>
      <w:r w:rsidR="003A30AF">
        <w:t xml:space="preserve">Watershed TMDL </w:t>
      </w:r>
      <w:r>
        <w:t xml:space="preserve">Task Force </w:t>
      </w:r>
      <w:r w:rsidR="003A30AF">
        <w:t xml:space="preserve">(“Task Force”) </w:t>
      </w:r>
      <w:r>
        <w:t>is a multi-agency</w:t>
      </w:r>
      <w:r>
        <w:rPr>
          <w:rStyle w:val="FootnoteReference"/>
        </w:rPr>
        <w:footnoteReference w:id="3"/>
      </w:r>
      <w:r>
        <w:t xml:space="preserve"> collaborative effort organized by </w:t>
      </w:r>
      <w:r w:rsidR="00D96E87">
        <w:t>the Santa Ana Water Project Authority (</w:t>
      </w:r>
      <w:r>
        <w:t>SAWPA</w:t>
      </w:r>
      <w:r w:rsidR="00D96E87">
        <w:t>)</w:t>
      </w:r>
      <w:r>
        <w:rPr>
          <w:rStyle w:val="FootnoteReference"/>
        </w:rPr>
        <w:footnoteReference w:id="4"/>
      </w:r>
      <w:r w:rsidR="007C7D38">
        <w:t>.</w:t>
      </w:r>
      <w:r>
        <w:t xml:space="preserve"> Formed in January 2006 after approval of the MSAR TMDL</w:t>
      </w:r>
      <w:r w:rsidR="00427553">
        <w:t>s</w:t>
      </w:r>
      <w:r>
        <w:t xml:space="preserve"> in May 2005, the Task Force coordinates water quality improvement activities designed to support compliance with the MSAR TMDL</w:t>
      </w:r>
      <w:r w:rsidR="00427553">
        <w:t>s</w:t>
      </w:r>
      <w:r>
        <w:t xml:space="preserve">. Specifically, the Task Force: </w:t>
      </w:r>
    </w:p>
    <w:p w14:paraId="058E5C2A" w14:textId="5A6E111E" w:rsidR="00567412" w:rsidRDefault="00567412" w:rsidP="00B40E8C">
      <w:pPr>
        <w:pStyle w:val="ListBullet"/>
      </w:pPr>
      <w:bookmarkStart w:id="11" w:name="_Hlk62832052"/>
      <w:bookmarkStart w:id="12" w:name="_Hlk62293647"/>
      <w:r>
        <w:t xml:space="preserve">Serves as a forum for Task Force participants to report to the Santa Ana Water Board regarding progress being made towards compliance with WLAs and </w:t>
      </w:r>
      <w:proofErr w:type="gramStart"/>
      <w:r>
        <w:t>LAs;</w:t>
      </w:r>
      <w:proofErr w:type="gramEnd"/>
    </w:p>
    <w:p w14:paraId="4B939386" w14:textId="42CB085D" w:rsidR="00567412" w:rsidRDefault="00567412" w:rsidP="00B40E8C">
      <w:pPr>
        <w:pStyle w:val="ListBullet"/>
      </w:pPr>
      <w:r>
        <w:t xml:space="preserve">Collectively implements </w:t>
      </w:r>
      <w:r w:rsidR="00BA27DA">
        <w:t>watershed</w:t>
      </w:r>
      <w:r>
        <w:t xml:space="preserve">-wide monitoring efforts, as required by the MSAR </w:t>
      </w:r>
      <w:proofErr w:type="gramStart"/>
      <w:r>
        <w:t>TMDL</w:t>
      </w:r>
      <w:r w:rsidR="00427553">
        <w:t>s</w:t>
      </w:r>
      <w:r>
        <w:t>;</w:t>
      </w:r>
      <w:proofErr w:type="gramEnd"/>
    </w:p>
    <w:p w14:paraId="000BF3D8" w14:textId="65A2BCBE" w:rsidR="00567412" w:rsidRDefault="00567412" w:rsidP="00B40E8C">
      <w:pPr>
        <w:pStyle w:val="ListBullet"/>
        <w:spacing w:after="240"/>
      </w:pPr>
      <w:r>
        <w:t xml:space="preserve">Supports activities designed to manage or eliminate sources of bacterial indicators in local waterbodies, including coordinating </w:t>
      </w:r>
      <w:r w:rsidR="00BA27DA">
        <w:t xml:space="preserve">implementation </w:t>
      </w:r>
      <w:r>
        <w:t xml:space="preserve">activities </w:t>
      </w:r>
      <w:r w:rsidR="00BA27DA">
        <w:t xml:space="preserve">for </w:t>
      </w:r>
      <w:r>
        <w:t>the Riverside and San Bernardino County MS4 Program Comprehensive Bacteria Reduction Plans (CBRPs)</w:t>
      </w:r>
      <w:r w:rsidR="00AA57D2">
        <w:t>.</w:t>
      </w:r>
    </w:p>
    <w:p w14:paraId="24729731" w14:textId="110811E6" w:rsidR="00C6050D" w:rsidRDefault="00AA57D2" w:rsidP="00DD14AC">
      <w:pPr>
        <w:pStyle w:val="BodyText"/>
        <w:spacing w:after="160"/>
        <w:rPr>
          <w:rFonts w:eastAsia="Calibri"/>
          <w:szCs w:val="24"/>
        </w:rPr>
      </w:pPr>
      <w:r>
        <w:rPr>
          <w:rFonts w:eastAsia="Calibri"/>
          <w:szCs w:val="24"/>
        </w:rPr>
        <w:t xml:space="preserve">SAWPA, through its administrative role in supporting the MSAR Task Force, actively maintains a Task Force website where the work of the Task Force is documented: </w:t>
      </w:r>
      <w:hyperlink r:id="rId17" w:history="1">
        <w:r w:rsidRPr="007E1574">
          <w:rPr>
            <w:rStyle w:val="Hyperlink"/>
            <w:rFonts w:eastAsia="Calibri"/>
            <w:szCs w:val="24"/>
          </w:rPr>
          <w:t>https://sawpa.org/task-forces/middle-santa-ana-river-watershed-tmdl-task-force/</w:t>
        </w:r>
      </w:hyperlink>
      <w:r>
        <w:rPr>
          <w:rFonts w:eastAsia="Calibri"/>
          <w:szCs w:val="24"/>
        </w:rPr>
        <w:t xml:space="preserve">. </w:t>
      </w:r>
    </w:p>
    <w:bookmarkEnd w:id="11"/>
    <w:bookmarkEnd w:id="12"/>
    <w:p w14:paraId="5B1F09F1" w14:textId="30EA92F9" w:rsidR="00C6050D" w:rsidRDefault="00C6050D" w:rsidP="00DD14AC">
      <w:pPr>
        <w:pStyle w:val="BodyText"/>
        <w:spacing w:after="0"/>
        <w:jc w:val="center"/>
        <w:rPr>
          <w:rFonts w:eastAsia="Calibri"/>
          <w:szCs w:val="24"/>
        </w:rPr>
      </w:pPr>
    </w:p>
    <w:p w14:paraId="79D8DE50" w14:textId="629FA607" w:rsidR="00193F2E" w:rsidRDefault="00235F65" w:rsidP="009B67B6">
      <w:pPr>
        <w:pStyle w:val="Heading2"/>
        <w:tabs>
          <w:tab w:val="clear" w:pos="2322"/>
        </w:tabs>
        <w:ind w:left="720" w:hanging="720"/>
      </w:pPr>
      <w:bookmarkStart w:id="13" w:name="_Toc217410136"/>
      <w:r>
        <w:t xml:space="preserve">TMDL Implementation </w:t>
      </w:r>
      <w:r w:rsidR="000B2459">
        <w:t>Requirements</w:t>
      </w:r>
      <w:bookmarkEnd w:id="13"/>
    </w:p>
    <w:p w14:paraId="21B140D2" w14:textId="0753B948" w:rsidR="00002425" w:rsidRPr="00002425" w:rsidRDefault="00002425" w:rsidP="00002425">
      <w:pPr>
        <w:pStyle w:val="BodyText"/>
      </w:pPr>
      <w:r>
        <w:t xml:space="preserve">This section summarizes the implementation requirements established in the adopted </w:t>
      </w:r>
      <w:proofErr w:type="gramStart"/>
      <w:r>
        <w:t>TMDL</w:t>
      </w:r>
      <w:r w:rsidR="00427553">
        <w:t>s</w:t>
      </w:r>
      <w:proofErr w:type="gramEnd"/>
      <w:r>
        <w:t xml:space="preserve"> and subsequent requirements established through discharge permits.</w:t>
      </w:r>
    </w:p>
    <w:p w14:paraId="34B19F0E" w14:textId="33D0CAC7" w:rsidR="00853A13" w:rsidRDefault="00853A13" w:rsidP="00002425">
      <w:pPr>
        <w:pStyle w:val="Heading3"/>
      </w:pPr>
      <w:bookmarkStart w:id="14" w:name="_Hlk62832164"/>
      <w:bookmarkStart w:id="15" w:name="_Toc217410137"/>
      <w:r>
        <w:t>MSAR TMDL Implementation Plan</w:t>
      </w:r>
      <w:bookmarkEnd w:id="15"/>
    </w:p>
    <w:p w14:paraId="77260636" w14:textId="28304B6B" w:rsidR="003C684A" w:rsidRDefault="00C60C0F" w:rsidP="00F74529">
      <w:pPr>
        <w:pStyle w:val="BodyText"/>
      </w:pPr>
      <w:r>
        <w:t xml:space="preserve">Table </w:t>
      </w:r>
      <w:r w:rsidR="00F74529">
        <w:t xml:space="preserve">5-9y </w:t>
      </w:r>
      <w:r w:rsidR="003B53F4">
        <w:t xml:space="preserve">in </w:t>
      </w:r>
      <w:r w:rsidR="00AE7A21">
        <w:t xml:space="preserve">MSAR TMDL </w:t>
      </w:r>
      <w:r w:rsidR="00F74529">
        <w:t xml:space="preserve">Resolution No. </w:t>
      </w:r>
      <w:r w:rsidR="003B53F4" w:rsidRPr="00FE4558">
        <w:t>R8-2005-0001</w:t>
      </w:r>
      <w:r w:rsidR="003B53F4">
        <w:t xml:space="preserve"> (</w:t>
      </w:r>
      <w:r w:rsidR="00AE7A21">
        <w:t xml:space="preserve">Santa Ana Water Board 2005b) </w:t>
      </w:r>
      <w:r w:rsidR="00F74529">
        <w:t xml:space="preserve">Basin Plan Table 6-1y) </w:t>
      </w:r>
      <w:r w:rsidR="003B53F4">
        <w:t>summarizes the</w:t>
      </w:r>
      <w:r w:rsidR="00B22E9E">
        <w:t xml:space="preserve"> Phase 1 TMDL Implementation Plan</w:t>
      </w:r>
      <w:r w:rsidR="003B53F4">
        <w:t>, identifying</w:t>
      </w:r>
      <w:r>
        <w:t xml:space="preserve"> six tasks and the entities responsible for implementation. </w:t>
      </w:r>
      <w:r w:rsidRPr="003B53F4">
        <w:rPr>
          <w:b/>
          <w:bCs/>
        </w:rPr>
        <w:t>Table 1-1</w:t>
      </w:r>
      <w:r>
        <w:t xml:space="preserve"> summarizes these Phase 1 </w:t>
      </w:r>
      <w:r>
        <w:lastRenderedPageBreak/>
        <w:t>tasks</w:t>
      </w:r>
      <w:r w:rsidR="00853A13">
        <w:t xml:space="preserve">. The TMDL </w:t>
      </w:r>
      <w:r w:rsidR="003B53F4">
        <w:t xml:space="preserve">Implementation Plan section of the adopted resolution </w:t>
      </w:r>
      <w:r w:rsidR="00853A13">
        <w:t xml:space="preserve">provides </w:t>
      </w:r>
      <w:r>
        <w:t xml:space="preserve">detailed descriptions of </w:t>
      </w:r>
      <w:r w:rsidR="00853A13">
        <w:t xml:space="preserve">requirements and schedules associated with each of these tasks/subtasks. </w:t>
      </w:r>
    </w:p>
    <w:tbl>
      <w:tblPr>
        <w:tblStyle w:val="TableGrid"/>
        <w:tblW w:w="0" w:type="auto"/>
        <w:tblLook w:val="04A0" w:firstRow="1" w:lastRow="0" w:firstColumn="1" w:lastColumn="0" w:noHBand="0" w:noVBand="1"/>
      </w:tblPr>
      <w:tblGrid>
        <w:gridCol w:w="2250"/>
        <w:gridCol w:w="4320"/>
        <w:gridCol w:w="2335"/>
      </w:tblGrid>
      <w:tr w:rsidR="003B53F4" w:rsidRPr="00EF5DCC" w14:paraId="4E00E990" w14:textId="77777777" w:rsidTr="009B67B6">
        <w:tc>
          <w:tcPr>
            <w:tcW w:w="8905" w:type="dxa"/>
            <w:gridSpan w:val="3"/>
            <w:tcBorders>
              <w:top w:val="nil"/>
              <w:left w:val="nil"/>
              <w:bottom w:val="single" w:sz="4" w:space="0" w:color="auto"/>
              <w:right w:val="nil"/>
            </w:tcBorders>
          </w:tcPr>
          <w:p w14:paraId="00EE38AD" w14:textId="763D24E3" w:rsidR="003B53F4" w:rsidRPr="00DF3266" w:rsidRDefault="000C3A43" w:rsidP="000C3A43">
            <w:pPr>
              <w:pStyle w:val="Caption"/>
              <w:keepNext/>
            </w:pPr>
            <w:bookmarkStart w:id="16" w:name="_Toc217391752"/>
            <w:r>
              <w:t xml:space="preserve">Table </w:t>
            </w:r>
            <w:r w:rsidR="00FE614C">
              <w:fldChar w:fldCharType="begin"/>
            </w:r>
            <w:r w:rsidR="00FE614C">
              <w:instrText xml:space="preserve"> STYLEREF 1 \s </w:instrText>
            </w:r>
            <w:r w:rsidR="00FE614C">
              <w:fldChar w:fldCharType="separate"/>
            </w:r>
            <w:r w:rsidR="00FE614C">
              <w:rPr>
                <w:noProof/>
              </w:rPr>
              <w:t>1</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w:t>
            </w:r>
            <w:r w:rsidR="00FE614C">
              <w:fldChar w:fldCharType="end"/>
            </w:r>
            <w:r w:rsidR="00A41B16">
              <w:t>.</w:t>
            </w:r>
            <w:r w:rsidRPr="000C3A43">
              <w:t xml:space="preserve"> </w:t>
            </w:r>
            <w:r w:rsidRPr="00DF3266">
              <w:t>MSAR Watershed Phase 1 TMDL Implementation Plan</w:t>
            </w:r>
            <w:bookmarkEnd w:id="16"/>
            <w:r w:rsidRPr="00DF3266">
              <w:t xml:space="preserve"> </w:t>
            </w:r>
          </w:p>
        </w:tc>
      </w:tr>
      <w:tr w:rsidR="003B53F4" w:rsidRPr="00DD4B8A" w14:paraId="269A017E" w14:textId="77777777" w:rsidTr="009B67B6">
        <w:trPr>
          <w:trHeight w:val="432"/>
        </w:trPr>
        <w:tc>
          <w:tcPr>
            <w:tcW w:w="657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0D134E" w14:textId="59FAD65D" w:rsidR="003B53F4" w:rsidRPr="002714B2" w:rsidRDefault="003B53F4" w:rsidP="00777780">
            <w:pPr>
              <w:pStyle w:val="BodyText"/>
              <w:spacing w:after="0" w:line="240" w:lineRule="auto"/>
              <w:jc w:val="center"/>
              <w:rPr>
                <w:rFonts w:ascii="Arial" w:hAnsi="Arial" w:cs="Arial"/>
                <w:b/>
                <w:bCs/>
                <w:sz w:val="18"/>
                <w:szCs w:val="18"/>
                <w:vertAlign w:val="superscript"/>
              </w:rPr>
            </w:pPr>
            <w:r w:rsidRPr="002714B2">
              <w:rPr>
                <w:rFonts w:ascii="Arial" w:hAnsi="Arial" w:cs="Arial"/>
                <w:b/>
                <w:bCs/>
                <w:sz w:val="18"/>
                <w:szCs w:val="18"/>
              </w:rPr>
              <w:t>Task/Subtasks</w:t>
            </w:r>
            <w:r w:rsidR="00262350" w:rsidRPr="002714B2">
              <w:rPr>
                <w:rFonts w:ascii="Arial" w:hAnsi="Arial" w:cs="Arial"/>
                <w:b/>
                <w:bCs/>
                <w:sz w:val="18"/>
                <w:szCs w:val="18"/>
                <w:vertAlign w:val="superscript"/>
              </w:rPr>
              <w:t>1</w:t>
            </w:r>
          </w:p>
        </w:tc>
        <w:tc>
          <w:tcPr>
            <w:tcW w:w="23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AA5C0B" w14:textId="77777777" w:rsidR="003B53F4" w:rsidRPr="002714B2" w:rsidRDefault="003B53F4" w:rsidP="00777780">
            <w:pPr>
              <w:pStyle w:val="BodyText"/>
              <w:spacing w:after="0" w:line="240" w:lineRule="auto"/>
              <w:jc w:val="center"/>
              <w:rPr>
                <w:rFonts w:ascii="Arial" w:hAnsi="Arial" w:cs="Arial"/>
                <w:b/>
                <w:bCs/>
                <w:sz w:val="18"/>
                <w:szCs w:val="18"/>
              </w:rPr>
            </w:pPr>
            <w:r w:rsidRPr="002714B2">
              <w:rPr>
                <w:rFonts w:ascii="Arial" w:hAnsi="Arial" w:cs="Arial"/>
                <w:b/>
                <w:bCs/>
                <w:sz w:val="18"/>
                <w:szCs w:val="18"/>
              </w:rPr>
              <w:t>Responsible Entity</w:t>
            </w:r>
          </w:p>
        </w:tc>
      </w:tr>
      <w:tr w:rsidR="003B53F4" w:rsidRPr="00EF5DCC" w14:paraId="79F69187" w14:textId="77777777" w:rsidTr="009B67B6">
        <w:trPr>
          <w:trHeight w:val="504"/>
        </w:trPr>
        <w:tc>
          <w:tcPr>
            <w:tcW w:w="6570" w:type="dxa"/>
            <w:gridSpan w:val="2"/>
            <w:tcBorders>
              <w:top w:val="single" w:sz="4" w:space="0" w:color="auto"/>
            </w:tcBorders>
            <w:vAlign w:val="center"/>
          </w:tcPr>
          <w:p w14:paraId="7D37FD09" w14:textId="77777777" w:rsidR="003B53F4" w:rsidRPr="002714B2" w:rsidRDefault="003B53F4" w:rsidP="00777780">
            <w:pPr>
              <w:pStyle w:val="BodyText"/>
              <w:spacing w:after="0" w:line="252" w:lineRule="auto"/>
              <w:rPr>
                <w:rFonts w:ascii="Arial" w:hAnsi="Arial" w:cs="Arial"/>
                <w:sz w:val="18"/>
                <w:szCs w:val="18"/>
              </w:rPr>
            </w:pPr>
            <w:r w:rsidRPr="002714B2">
              <w:rPr>
                <w:rFonts w:ascii="Arial" w:hAnsi="Arial" w:cs="Arial"/>
                <w:sz w:val="18"/>
                <w:szCs w:val="18"/>
              </w:rPr>
              <w:t>1 – Revise Existing Waste Discharge Requirements</w:t>
            </w:r>
          </w:p>
        </w:tc>
        <w:tc>
          <w:tcPr>
            <w:tcW w:w="2335" w:type="dxa"/>
            <w:tcBorders>
              <w:top w:val="single" w:sz="4" w:space="0" w:color="auto"/>
            </w:tcBorders>
            <w:vAlign w:val="center"/>
          </w:tcPr>
          <w:p w14:paraId="67F3404C" w14:textId="77777777" w:rsidR="003B53F4" w:rsidRPr="002714B2" w:rsidRDefault="003B53F4" w:rsidP="00777780">
            <w:pPr>
              <w:pStyle w:val="BodyText"/>
              <w:spacing w:after="0" w:line="252" w:lineRule="auto"/>
              <w:rPr>
                <w:rFonts w:ascii="Arial" w:hAnsi="Arial" w:cs="Arial"/>
                <w:sz w:val="18"/>
                <w:szCs w:val="18"/>
              </w:rPr>
            </w:pPr>
            <w:r w:rsidRPr="002714B2">
              <w:rPr>
                <w:rFonts w:ascii="Arial" w:hAnsi="Arial" w:cs="Arial"/>
                <w:sz w:val="18"/>
                <w:szCs w:val="18"/>
              </w:rPr>
              <w:t>Santa Ana Water Board staff</w:t>
            </w:r>
          </w:p>
        </w:tc>
      </w:tr>
      <w:tr w:rsidR="003B53F4" w:rsidRPr="00EF5DCC" w14:paraId="07B23CEF" w14:textId="77777777" w:rsidTr="00777780">
        <w:trPr>
          <w:trHeight w:val="504"/>
        </w:trPr>
        <w:tc>
          <w:tcPr>
            <w:tcW w:w="6570" w:type="dxa"/>
            <w:gridSpan w:val="2"/>
            <w:vAlign w:val="center"/>
          </w:tcPr>
          <w:p w14:paraId="0339D3CB" w14:textId="77777777" w:rsidR="003B53F4" w:rsidRPr="002714B2" w:rsidRDefault="003B53F4" w:rsidP="00777780">
            <w:pPr>
              <w:pStyle w:val="BodyText"/>
              <w:spacing w:after="0" w:line="252" w:lineRule="auto"/>
              <w:rPr>
                <w:rFonts w:ascii="Arial" w:hAnsi="Arial" w:cs="Arial"/>
                <w:sz w:val="18"/>
                <w:szCs w:val="18"/>
              </w:rPr>
            </w:pPr>
            <w:r w:rsidRPr="002714B2">
              <w:rPr>
                <w:rFonts w:ascii="Arial" w:hAnsi="Arial" w:cs="Arial"/>
                <w:sz w:val="18"/>
                <w:szCs w:val="18"/>
              </w:rPr>
              <w:t>2 - Identify Agricultural Operators</w:t>
            </w:r>
          </w:p>
        </w:tc>
        <w:tc>
          <w:tcPr>
            <w:tcW w:w="2335" w:type="dxa"/>
            <w:vAlign w:val="center"/>
          </w:tcPr>
          <w:p w14:paraId="5C7ECE03" w14:textId="77777777" w:rsidR="003B53F4" w:rsidRPr="002714B2" w:rsidRDefault="003B53F4" w:rsidP="00777780">
            <w:pPr>
              <w:pStyle w:val="BodyText"/>
              <w:spacing w:after="0" w:line="252" w:lineRule="auto"/>
              <w:rPr>
                <w:rFonts w:ascii="Arial" w:hAnsi="Arial" w:cs="Arial"/>
                <w:sz w:val="18"/>
                <w:szCs w:val="18"/>
              </w:rPr>
            </w:pPr>
            <w:r w:rsidRPr="002714B2">
              <w:rPr>
                <w:rFonts w:ascii="Arial" w:hAnsi="Arial" w:cs="Arial"/>
                <w:sz w:val="18"/>
                <w:szCs w:val="18"/>
              </w:rPr>
              <w:t>Santa Ana Water Board staff</w:t>
            </w:r>
          </w:p>
        </w:tc>
      </w:tr>
      <w:tr w:rsidR="003B53F4" w:rsidRPr="00EF5DCC" w14:paraId="10300A29" w14:textId="77777777" w:rsidTr="00777780">
        <w:trPr>
          <w:trHeight w:val="728"/>
        </w:trPr>
        <w:tc>
          <w:tcPr>
            <w:tcW w:w="2250" w:type="dxa"/>
            <w:vAlign w:val="center"/>
          </w:tcPr>
          <w:p w14:paraId="5BD86042" w14:textId="77777777" w:rsidR="003B53F4" w:rsidRPr="00EF5DCC" w:rsidRDefault="003B53F4" w:rsidP="00777780">
            <w:pPr>
              <w:pStyle w:val="BodyText"/>
              <w:spacing w:after="0" w:line="240" w:lineRule="auto"/>
              <w:rPr>
                <w:rFonts w:ascii="Arial" w:hAnsi="Arial" w:cs="Arial"/>
                <w:sz w:val="18"/>
                <w:szCs w:val="18"/>
              </w:rPr>
            </w:pPr>
            <w:r w:rsidRPr="00EF5DCC">
              <w:rPr>
                <w:rFonts w:ascii="Arial" w:hAnsi="Arial" w:cs="Arial"/>
                <w:sz w:val="18"/>
                <w:szCs w:val="18"/>
              </w:rPr>
              <w:t>3 – Watershed-wide Bacterial Indicator Monitoring Program</w:t>
            </w:r>
          </w:p>
        </w:tc>
        <w:tc>
          <w:tcPr>
            <w:tcW w:w="4320" w:type="dxa"/>
            <w:vAlign w:val="center"/>
          </w:tcPr>
          <w:p w14:paraId="16F1B01A" w14:textId="77777777" w:rsidR="003B53F4" w:rsidRPr="002714B2" w:rsidRDefault="003B53F4" w:rsidP="00267EDD">
            <w:pPr>
              <w:pStyle w:val="BodyText"/>
              <w:numPr>
                <w:ilvl w:val="0"/>
                <w:numId w:val="24"/>
              </w:numPr>
              <w:spacing w:after="0" w:line="252" w:lineRule="auto"/>
              <w:ind w:left="250" w:hanging="270"/>
              <w:rPr>
                <w:rFonts w:ascii="Arial" w:hAnsi="Arial" w:cs="Arial"/>
                <w:sz w:val="18"/>
                <w:szCs w:val="18"/>
              </w:rPr>
            </w:pPr>
            <w:r w:rsidRPr="002714B2">
              <w:rPr>
                <w:rFonts w:ascii="Arial" w:hAnsi="Arial" w:cs="Arial"/>
                <w:sz w:val="18"/>
                <w:szCs w:val="18"/>
              </w:rPr>
              <w:t>Seasonal Reports (May 31; December 31)</w:t>
            </w:r>
          </w:p>
          <w:p w14:paraId="50FD8D0B" w14:textId="77777777" w:rsidR="003B53F4" w:rsidRPr="002714B2" w:rsidRDefault="003B53F4" w:rsidP="00267EDD">
            <w:pPr>
              <w:pStyle w:val="BodyText"/>
              <w:numPr>
                <w:ilvl w:val="0"/>
                <w:numId w:val="24"/>
              </w:numPr>
              <w:spacing w:after="0" w:line="252" w:lineRule="auto"/>
              <w:ind w:left="250" w:hanging="270"/>
              <w:rPr>
                <w:rFonts w:ascii="Arial" w:hAnsi="Arial" w:cs="Arial"/>
                <w:sz w:val="18"/>
                <w:szCs w:val="18"/>
              </w:rPr>
            </w:pPr>
            <w:r w:rsidRPr="002714B2">
              <w:rPr>
                <w:rFonts w:ascii="Arial" w:hAnsi="Arial" w:cs="Arial"/>
                <w:sz w:val="18"/>
                <w:szCs w:val="18"/>
              </w:rPr>
              <w:t>Triennial Reports</w:t>
            </w:r>
          </w:p>
        </w:tc>
        <w:tc>
          <w:tcPr>
            <w:tcW w:w="2335" w:type="dxa"/>
            <w:vAlign w:val="center"/>
          </w:tcPr>
          <w:p w14:paraId="2A18B04C" w14:textId="77777777" w:rsidR="003B53F4" w:rsidRPr="002714B2" w:rsidRDefault="003B53F4" w:rsidP="00777780">
            <w:pPr>
              <w:pStyle w:val="BodyText"/>
              <w:spacing w:after="0" w:line="252" w:lineRule="auto"/>
              <w:rPr>
                <w:rFonts w:ascii="Arial" w:hAnsi="Arial" w:cs="Arial"/>
                <w:sz w:val="18"/>
                <w:szCs w:val="18"/>
              </w:rPr>
            </w:pPr>
            <w:r w:rsidRPr="002714B2">
              <w:rPr>
                <w:rFonts w:ascii="Arial" w:hAnsi="Arial" w:cs="Arial"/>
                <w:sz w:val="18"/>
                <w:szCs w:val="18"/>
              </w:rPr>
              <w:t>Urban and Agricultural Dischargers</w:t>
            </w:r>
          </w:p>
        </w:tc>
      </w:tr>
      <w:tr w:rsidR="003B53F4" w:rsidRPr="00EF5DCC" w14:paraId="5C6C99E9" w14:textId="77777777" w:rsidTr="00777780">
        <w:trPr>
          <w:trHeight w:val="2780"/>
        </w:trPr>
        <w:tc>
          <w:tcPr>
            <w:tcW w:w="2250" w:type="dxa"/>
            <w:vAlign w:val="center"/>
          </w:tcPr>
          <w:p w14:paraId="1E02835D" w14:textId="77777777" w:rsidR="003B53F4" w:rsidRPr="00EF5DCC" w:rsidRDefault="003B53F4" w:rsidP="00777780">
            <w:pPr>
              <w:pStyle w:val="BodyText"/>
              <w:spacing w:after="0" w:line="240" w:lineRule="auto"/>
              <w:rPr>
                <w:rFonts w:ascii="Arial" w:hAnsi="Arial" w:cs="Arial"/>
                <w:sz w:val="18"/>
                <w:szCs w:val="18"/>
              </w:rPr>
            </w:pPr>
            <w:r w:rsidRPr="00EF5DCC">
              <w:rPr>
                <w:rFonts w:ascii="Arial" w:hAnsi="Arial" w:cs="Arial"/>
                <w:sz w:val="18"/>
                <w:szCs w:val="18"/>
              </w:rPr>
              <w:t>4 – Urban Discharges</w:t>
            </w:r>
          </w:p>
        </w:tc>
        <w:tc>
          <w:tcPr>
            <w:tcW w:w="4320" w:type="dxa"/>
            <w:vAlign w:val="center"/>
          </w:tcPr>
          <w:p w14:paraId="617650AA" w14:textId="77777777" w:rsidR="003B53F4" w:rsidRPr="002714B2" w:rsidRDefault="003B53F4" w:rsidP="00267EDD">
            <w:pPr>
              <w:pStyle w:val="BodyText"/>
              <w:numPr>
                <w:ilvl w:val="0"/>
                <w:numId w:val="24"/>
              </w:numPr>
              <w:spacing w:after="0" w:line="252" w:lineRule="auto"/>
              <w:ind w:left="250" w:hanging="270"/>
              <w:rPr>
                <w:rFonts w:ascii="Arial" w:hAnsi="Arial" w:cs="Arial"/>
                <w:sz w:val="18"/>
                <w:szCs w:val="18"/>
              </w:rPr>
            </w:pPr>
            <w:r w:rsidRPr="002714B2">
              <w:rPr>
                <w:rFonts w:ascii="Arial" w:hAnsi="Arial" w:cs="Arial"/>
                <w:sz w:val="18"/>
                <w:szCs w:val="18"/>
              </w:rPr>
              <w:t>4.1 - Develop and Implement Bacterial Indicator Urban Source Evaluation Plan (USEP)</w:t>
            </w:r>
          </w:p>
          <w:p w14:paraId="13016759" w14:textId="77777777" w:rsidR="003B53F4" w:rsidRPr="002714B2" w:rsidRDefault="003B53F4" w:rsidP="00267EDD">
            <w:pPr>
              <w:pStyle w:val="BodyText"/>
              <w:numPr>
                <w:ilvl w:val="0"/>
                <w:numId w:val="24"/>
              </w:numPr>
              <w:spacing w:after="0" w:line="252" w:lineRule="auto"/>
              <w:ind w:left="250" w:hanging="270"/>
              <w:rPr>
                <w:rFonts w:ascii="Arial" w:hAnsi="Arial" w:cs="Arial"/>
                <w:sz w:val="18"/>
                <w:szCs w:val="18"/>
              </w:rPr>
            </w:pPr>
            <w:r w:rsidRPr="002714B2">
              <w:rPr>
                <w:rFonts w:ascii="Arial" w:hAnsi="Arial" w:cs="Arial"/>
                <w:sz w:val="18"/>
                <w:szCs w:val="18"/>
              </w:rPr>
              <w:t>Dependent on findings from Task 4.1 implement the following:</w:t>
            </w:r>
          </w:p>
          <w:p w14:paraId="37E66FCA" w14:textId="77777777" w:rsidR="003B53F4" w:rsidRPr="002714B2" w:rsidRDefault="003B53F4" w:rsidP="00267EDD">
            <w:pPr>
              <w:pStyle w:val="BodyText"/>
              <w:numPr>
                <w:ilvl w:val="1"/>
                <w:numId w:val="25"/>
              </w:numPr>
              <w:spacing w:after="0" w:line="252" w:lineRule="auto"/>
              <w:ind w:left="610"/>
              <w:rPr>
                <w:rFonts w:ascii="Arial" w:hAnsi="Arial" w:cs="Arial"/>
                <w:sz w:val="18"/>
                <w:szCs w:val="18"/>
              </w:rPr>
            </w:pPr>
            <w:r w:rsidRPr="002714B2">
              <w:rPr>
                <w:rFonts w:ascii="Arial" w:hAnsi="Arial" w:cs="Arial"/>
                <w:sz w:val="18"/>
                <w:szCs w:val="18"/>
              </w:rPr>
              <w:t xml:space="preserve">4.2 - San Bernardino County MS4: Revise Municipal Storm Water Management Program (MSWMP) </w:t>
            </w:r>
          </w:p>
          <w:p w14:paraId="1E5B638A" w14:textId="77777777" w:rsidR="003B53F4" w:rsidRPr="002714B2" w:rsidRDefault="003B53F4" w:rsidP="00267EDD">
            <w:pPr>
              <w:pStyle w:val="BodyText"/>
              <w:numPr>
                <w:ilvl w:val="1"/>
                <w:numId w:val="25"/>
              </w:numPr>
              <w:spacing w:after="0" w:line="252" w:lineRule="auto"/>
              <w:ind w:left="610"/>
              <w:rPr>
                <w:rFonts w:ascii="Arial" w:hAnsi="Arial" w:cs="Arial"/>
                <w:sz w:val="18"/>
                <w:szCs w:val="18"/>
              </w:rPr>
            </w:pPr>
            <w:r w:rsidRPr="002714B2">
              <w:rPr>
                <w:rFonts w:ascii="Arial" w:hAnsi="Arial" w:cs="Arial"/>
                <w:sz w:val="18"/>
                <w:szCs w:val="18"/>
              </w:rPr>
              <w:t xml:space="preserve">4.3 - Riverside County MS4: Revise Drainage Area Management Plan (DAMP) </w:t>
            </w:r>
          </w:p>
          <w:p w14:paraId="33065FBA" w14:textId="77777777" w:rsidR="003B53F4" w:rsidRPr="002714B2" w:rsidRDefault="003B53F4" w:rsidP="00267EDD">
            <w:pPr>
              <w:pStyle w:val="BodyText"/>
              <w:numPr>
                <w:ilvl w:val="1"/>
                <w:numId w:val="25"/>
              </w:numPr>
              <w:spacing w:after="0" w:line="252" w:lineRule="auto"/>
              <w:ind w:left="610"/>
              <w:rPr>
                <w:rFonts w:ascii="Arial" w:hAnsi="Arial" w:cs="Arial"/>
                <w:sz w:val="18"/>
                <w:szCs w:val="18"/>
              </w:rPr>
            </w:pPr>
            <w:r w:rsidRPr="002714B2">
              <w:rPr>
                <w:rFonts w:ascii="Arial" w:hAnsi="Arial" w:cs="Arial"/>
                <w:sz w:val="18"/>
                <w:szCs w:val="18"/>
              </w:rPr>
              <w:t xml:space="preserve">4.4 - San Bernardino County MS4: Revise Water Quality Management Plan (WQMP) </w:t>
            </w:r>
          </w:p>
          <w:p w14:paraId="16933E10" w14:textId="77777777" w:rsidR="003B53F4" w:rsidRPr="002714B2" w:rsidRDefault="003B53F4" w:rsidP="00267EDD">
            <w:pPr>
              <w:pStyle w:val="BodyText"/>
              <w:numPr>
                <w:ilvl w:val="1"/>
                <w:numId w:val="25"/>
              </w:numPr>
              <w:spacing w:after="0" w:line="252" w:lineRule="auto"/>
              <w:ind w:left="610"/>
              <w:rPr>
                <w:rFonts w:ascii="Arial" w:hAnsi="Arial" w:cs="Arial"/>
                <w:sz w:val="18"/>
                <w:szCs w:val="18"/>
              </w:rPr>
            </w:pPr>
            <w:r w:rsidRPr="002714B2">
              <w:rPr>
                <w:rFonts w:ascii="Arial" w:hAnsi="Arial" w:cs="Arial"/>
                <w:sz w:val="18"/>
                <w:szCs w:val="18"/>
              </w:rPr>
              <w:t>4.5 Riverside County MS4: Revise WQMP</w:t>
            </w:r>
          </w:p>
        </w:tc>
        <w:tc>
          <w:tcPr>
            <w:tcW w:w="2335" w:type="dxa"/>
            <w:vAlign w:val="center"/>
          </w:tcPr>
          <w:p w14:paraId="29C096F9" w14:textId="77777777" w:rsidR="003B53F4" w:rsidRPr="002714B2" w:rsidRDefault="003B53F4" w:rsidP="00777780">
            <w:pPr>
              <w:pStyle w:val="BodyText"/>
              <w:spacing w:after="0" w:line="252" w:lineRule="auto"/>
              <w:rPr>
                <w:rFonts w:ascii="Arial" w:hAnsi="Arial" w:cs="Arial"/>
                <w:sz w:val="18"/>
                <w:szCs w:val="18"/>
              </w:rPr>
            </w:pPr>
            <w:r w:rsidRPr="002714B2">
              <w:rPr>
                <w:rFonts w:ascii="Arial" w:hAnsi="Arial" w:cs="Arial"/>
                <w:sz w:val="18"/>
                <w:szCs w:val="18"/>
              </w:rPr>
              <w:t>Urban Dischargers (cities and unincorporated communities)</w:t>
            </w:r>
          </w:p>
        </w:tc>
      </w:tr>
      <w:tr w:rsidR="003B53F4" w:rsidRPr="00EF5DCC" w14:paraId="1C816554" w14:textId="77777777" w:rsidTr="00777780">
        <w:trPr>
          <w:trHeight w:val="1160"/>
        </w:trPr>
        <w:tc>
          <w:tcPr>
            <w:tcW w:w="2250" w:type="dxa"/>
            <w:vAlign w:val="center"/>
          </w:tcPr>
          <w:p w14:paraId="4D59561C" w14:textId="77777777" w:rsidR="003B53F4" w:rsidRPr="00EF5DCC" w:rsidRDefault="003B53F4" w:rsidP="00777780">
            <w:pPr>
              <w:pStyle w:val="BodyText"/>
              <w:spacing w:after="0" w:line="240" w:lineRule="auto"/>
              <w:rPr>
                <w:rFonts w:ascii="Arial" w:hAnsi="Arial" w:cs="Arial"/>
                <w:sz w:val="18"/>
                <w:szCs w:val="18"/>
              </w:rPr>
            </w:pPr>
            <w:bookmarkStart w:id="17" w:name="_Hlk120712629"/>
            <w:r>
              <w:rPr>
                <w:rFonts w:ascii="Arial" w:hAnsi="Arial" w:cs="Arial"/>
                <w:sz w:val="18"/>
                <w:szCs w:val="18"/>
              </w:rPr>
              <w:t>5 - Agricultural Dischargers</w:t>
            </w:r>
          </w:p>
        </w:tc>
        <w:tc>
          <w:tcPr>
            <w:tcW w:w="4320" w:type="dxa"/>
            <w:vAlign w:val="center"/>
          </w:tcPr>
          <w:p w14:paraId="77496189" w14:textId="12F88C9A" w:rsidR="003B53F4" w:rsidRPr="002714B2" w:rsidRDefault="003B53F4" w:rsidP="00267EDD">
            <w:pPr>
              <w:pStyle w:val="BodyText"/>
              <w:numPr>
                <w:ilvl w:val="0"/>
                <w:numId w:val="24"/>
              </w:numPr>
              <w:spacing w:after="0" w:line="252" w:lineRule="auto"/>
              <w:ind w:left="250" w:hanging="270"/>
              <w:rPr>
                <w:rFonts w:ascii="Arial" w:hAnsi="Arial" w:cs="Arial"/>
                <w:sz w:val="18"/>
                <w:szCs w:val="18"/>
              </w:rPr>
            </w:pPr>
            <w:r w:rsidRPr="002714B2">
              <w:rPr>
                <w:rFonts w:ascii="Arial" w:hAnsi="Arial" w:cs="Arial"/>
                <w:sz w:val="18"/>
                <w:szCs w:val="18"/>
              </w:rPr>
              <w:t>5.1 Develop and Implement Bacterial Indicator Agricultural Source Evaluation Plan</w:t>
            </w:r>
            <w:r w:rsidR="001745E0" w:rsidRPr="002714B2">
              <w:rPr>
                <w:rFonts w:ascii="Arial" w:hAnsi="Arial" w:cs="Arial"/>
                <w:sz w:val="18"/>
                <w:szCs w:val="18"/>
              </w:rPr>
              <w:t xml:space="preserve"> (</w:t>
            </w:r>
            <w:proofErr w:type="spellStart"/>
            <w:r w:rsidR="001745E0" w:rsidRPr="002714B2">
              <w:rPr>
                <w:rFonts w:ascii="Arial" w:hAnsi="Arial" w:cs="Arial"/>
                <w:sz w:val="18"/>
                <w:szCs w:val="18"/>
              </w:rPr>
              <w:t>AgSEP</w:t>
            </w:r>
            <w:proofErr w:type="spellEnd"/>
            <w:proofErr w:type="gramStart"/>
            <w:r w:rsidR="001745E0" w:rsidRPr="002714B2">
              <w:rPr>
                <w:rFonts w:ascii="Arial" w:hAnsi="Arial" w:cs="Arial"/>
                <w:sz w:val="18"/>
                <w:szCs w:val="18"/>
              </w:rPr>
              <w:t>)</w:t>
            </w:r>
            <w:r w:rsidRPr="002714B2">
              <w:rPr>
                <w:rFonts w:ascii="Arial" w:hAnsi="Arial" w:cs="Arial"/>
                <w:sz w:val="18"/>
                <w:szCs w:val="18"/>
              </w:rPr>
              <w:t>;</w:t>
            </w:r>
            <w:proofErr w:type="gramEnd"/>
          </w:p>
          <w:p w14:paraId="552FBE27" w14:textId="7CE93979" w:rsidR="003B53F4" w:rsidRPr="002714B2" w:rsidRDefault="003B53F4" w:rsidP="00267EDD">
            <w:pPr>
              <w:pStyle w:val="BodyText"/>
              <w:numPr>
                <w:ilvl w:val="0"/>
                <w:numId w:val="24"/>
              </w:numPr>
              <w:spacing w:after="0" w:line="252" w:lineRule="auto"/>
              <w:ind w:left="250" w:hanging="270"/>
              <w:rPr>
                <w:rFonts w:ascii="Arial" w:hAnsi="Arial" w:cs="Arial"/>
                <w:sz w:val="18"/>
                <w:szCs w:val="18"/>
              </w:rPr>
            </w:pPr>
            <w:r w:rsidRPr="002714B2">
              <w:rPr>
                <w:rFonts w:ascii="Arial" w:hAnsi="Arial" w:cs="Arial"/>
                <w:sz w:val="18"/>
                <w:szCs w:val="18"/>
              </w:rPr>
              <w:t>5.2 - Dependent on Task 5.1 results, Develop and Implement Bacterial Indicator Agricultural Source Management Plan (BASMP</w:t>
            </w:r>
            <w:r w:rsidR="001745E0" w:rsidRPr="002714B2">
              <w:rPr>
                <w:rFonts w:ascii="Arial" w:hAnsi="Arial" w:cs="Arial"/>
                <w:sz w:val="18"/>
                <w:szCs w:val="18"/>
              </w:rPr>
              <w:t>)</w:t>
            </w:r>
          </w:p>
        </w:tc>
        <w:tc>
          <w:tcPr>
            <w:tcW w:w="2335" w:type="dxa"/>
            <w:vAlign w:val="center"/>
          </w:tcPr>
          <w:p w14:paraId="239EC1E6" w14:textId="77777777" w:rsidR="003B53F4" w:rsidRPr="002714B2" w:rsidRDefault="003B53F4" w:rsidP="00777780">
            <w:pPr>
              <w:pStyle w:val="BodyText"/>
              <w:spacing w:after="0" w:line="252" w:lineRule="auto"/>
              <w:rPr>
                <w:rFonts w:ascii="Arial" w:hAnsi="Arial" w:cs="Arial"/>
                <w:sz w:val="18"/>
                <w:szCs w:val="18"/>
                <w:vertAlign w:val="superscript"/>
              </w:rPr>
            </w:pPr>
            <w:r w:rsidRPr="002714B2">
              <w:rPr>
                <w:rFonts w:ascii="Arial" w:hAnsi="Arial" w:cs="Arial"/>
                <w:sz w:val="18"/>
                <w:szCs w:val="18"/>
              </w:rPr>
              <w:t>Agricultural Operators (includes CAFOs and irrigated and dry land farming)</w:t>
            </w:r>
          </w:p>
        </w:tc>
      </w:tr>
      <w:bookmarkEnd w:id="17"/>
      <w:tr w:rsidR="003B53F4" w:rsidRPr="00EF5DCC" w14:paraId="2D20630A" w14:textId="77777777" w:rsidTr="00777780">
        <w:trPr>
          <w:trHeight w:val="504"/>
        </w:trPr>
        <w:tc>
          <w:tcPr>
            <w:tcW w:w="6570" w:type="dxa"/>
            <w:gridSpan w:val="2"/>
            <w:vAlign w:val="center"/>
          </w:tcPr>
          <w:p w14:paraId="2B191A03" w14:textId="77777777" w:rsidR="003B53F4" w:rsidRPr="002714B2" w:rsidRDefault="003B53F4" w:rsidP="00777780">
            <w:pPr>
              <w:pStyle w:val="BodyText"/>
              <w:spacing w:after="0" w:line="252" w:lineRule="auto"/>
              <w:ind w:left="-20"/>
              <w:rPr>
                <w:rFonts w:ascii="Arial" w:hAnsi="Arial" w:cs="Arial"/>
                <w:sz w:val="18"/>
                <w:szCs w:val="18"/>
              </w:rPr>
            </w:pPr>
            <w:r w:rsidRPr="002714B2">
              <w:rPr>
                <w:rFonts w:ascii="Arial" w:hAnsi="Arial" w:cs="Arial"/>
                <w:sz w:val="18"/>
                <w:szCs w:val="18"/>
              </w:rPr>
              <w:t>6 – Review of TMDL/WLAs/LAs</w:t>
            </w:r>
          </w:p>
        </w:tc>
        <w:tc>
          <w:tcPr>
            <w:tcW w:w="2335" w:type="dxa"/>
            <w:vAlign w:val="center"/>
          </w:tcPr>
          <w:p w14:paraId="7D07BE67" w14:textId="77777777" w:rsidR="003B53F4" w:rsidRPr="002714B2" w:rsidRDefault="003B53F4" w:rsidP="00777780">
            <w:pPr>
              <w:pStyle w:val="BodyText"/>
              <w:spacing w:after="0" w:line="252" w:lineRule="auto"/>
              <w:rPr>
                <w:rFonts w:ascii="Arial" w:hAnsi="Arial" w:cs="Arial"/>
                <w:sz w:val="18"/>
                <w:szCs w:val="18"/>
              </w:rPr>
            </w:pPr>
            <w:r w:rsidRPr="002714B2">
              <w:rPr>
                <w:rFonts w:ascii="Arial" w:hAnsi="Arial" w:cs="Arial"/>
                <w:sz w:val="18"/>
                <w:szCs w:val="18"/>
              </w:rPr>
              <w:t>Santa Ana Water Board</w:t>
            </w:r>
          </w:p>
        </w:tc>
      </w:tr>
    </w:tbl>
    <w:p w14:paraId="0526F2F6" w14:textId="17341080" w:rsidR="003B53F4" w:rsidRPr="00262350" w:rsidRDefault="00262350" w:rsidP="003B53F4">
      <w:pPr>
        <w:pStyle w:val="BodyText"/>
        <w:rPr>
          <w:rFonts w:ascii="Arial" w:hAnsi="Arial" w:cs="Arial"/>
          <w:sz w:val="16"/>
          <w:szCs w:val="16"/>
        </w:rPr>
      </w:pPr>
      <w:r w:rsidRPr="00262350">
        <w:rPr>
          <w:rFonts w:ascii="Arial" w:hAnsi="Arial" w:cs="Arial"/>
          <w:sz w:val="16"/>
          <w:szCs w:val="16"/>
          <w:vertAlign w:val="superscript"/>
        </w:rPr>
        <w:t xml:space="preserve">1 </w:t>
      </w:r>
      <w:r w:rsidRPr="00262350">
        <w:rPr>
          <w:rFonts w:ascii="Arial" w:hAnsi="Arial" w:cs="Arial"/>
          <w:sz w:val="16"/>
          <w:szCs w:val="16"/>
        </w:rPr>
        <w:t>Excerpted from Table 5-9y in the adopting resolution or Table 6-1y in the Basin Plan</w:t>
      </w:r>
    </w:p>
    <w:p w14:paraId="01C4C778" w14:textId="05E6DFDE" w:rsidR="00DD4B8A" w:rsidRDefault="00DD4B8A" w:rsidP="00DD4B8A">
      <w:pPr>
        <w:pStyle w:val="Heading3"/>
      </w:pPr>
      <w:bookmarkStart w:id="18" w:name="_Toc217410138"/>
      <w:r>
        <w:t>Additional Implementation Requirements</w:t>
      </w:r>
      <w:bookmarkEnd w:id="18"/>
    </w:p>
    <w:p w14:paraId="7524E8D5" w14:textId="77777777" w:rsidR="00DD4B8A" w:rsidRDefault="00DD4B8A" w:rsidP="00DD4B8A">
      <w:pPr>
        <w:pStyle w:val="Heading4"/>
      </w:pPr>
      <w:r>
        <w:t>Urban Dischargers</w:t>
      </w:r>
    </w:p>
    <w:p w14:paraId="240533F6" w14:textId="16885A30" w:rsidR="00DD4B8A" w:rsidRDefault="00DD4B8A" w:rsidP="00DD4B8A">
      <w:pPr>
        <w:pStyle w:val="BodyText"/>
      </w:pPr>
      <w:r>
        <w:t>When the MSAR TMDLs were adopted in 2005</w:t>
      </w:r>
      <w:r w:rsidR="009D077A">
        <w:t>,</w:t>
      </w:r>
      <w:r>
        <w:t xml:space="preserve"> the San Bernardino </w:t>
      </w:r>
      <w:r w:rsidR="00B720E0">
        <w:t xml:space="preserve">and Riverside </w:t>
      </w:r>
      <w:r>
        <w:t>County MS4s were authorized to discharge urban runoff under MS4 Permits R8-2002-001</w:t>
      </w:r>
      <w:r w:rsidR="00B720E0">
        <w:t>2</w:t>
      </w:r>
      <w:r>
        <w:t xml:space="preserve"> and R8-2002-001</w:t>
      </w:r>
      <w:r w:rsidR="00B720E0">
        <w:t>1</w:t>
      </w:r>
      <w:r>
        <w:t>, respectively</w:t>
      </w:r>
      <w:r w:rsidR="00B720E0">
        <w:t xml:space="preserve"> (Santa Ana Water Board 2002a, 2002b</w:t>
      </w:r>
      <w:r w:rsidR="009D077A">
        <w:t>)</w:t>
      </w:r>
      <w:r>
        <w:t>. Accordingly, the Phase 1 TMDL Implementation Plan tasks applicable to urban discharges</w:t>
      </w:r>
      <w:r w:rsidR="009D077A">
        <w:t>,</w:t>
      </w:r>
      <w:r>
        <w:t xml:space="preserve"> and summarized in Table 1-1 above</w:t>
      </w:r>
      <w:r w:rsidR="009D077A">
        <w:t>,</w:t>
      </w:r>
      <w:r>
        <w:t xml:space="preserve"> were based on the requirements of these MS4 Permits.</w:t>
      </w:r>
    </w:p>
    <w:p w14:paraId="56108A5C" w14:textId="6918B093" w:rsidR="0012309B" w:rsidRDefault="0012309B" w:rsidP="00002425">
      <w:pPr>
        <w:pStyle w:val="BodyText"/>
      </w:pPr>
      <w:r>
        <w:t>In 2010, the Santa Ana Water Board adopted new MS4 Permits for the portions of Riverside and San Bernardino Counties within the Santa Ana River watershed (</w:t>
      </w:r>
      <w:r w:rsidR="00B56110">
        <w:t xml:space="preserve">Santa Ana Water Board 2010a, 2010b; </w:t>
      </w:r>
      <w:r>
        <w:t>Order Nos. R8-2010-0033 and R8-2010-0036, respectively). These 2010 MS4 Permits significantly updated the MSAR TMDL requirements applicable to MS4s within the MSAR watershed in Riverside and San Bernardino Counties. Specifically, the 2010 Permits required development of CBRP</w:t>
      </w:r>
      <w:r w:rsidR="002623B0">
        <w:t>s</w:t>
      </w:r>
      <w:r>
        <w:t xml:space="preserve"> designed to achieve compliance with the urban WLAs for </w:t>
      </w:r>
      <w:r>
        <w:lastRenderedPageBreak/>
        <w:t xml:space="preserve">the dry season (April 1 through October 31). Similarly, when the Los Angeles Regional Water Quality Control Board </w:t>
      </w:r>
      <w:r w:rsidR="0014321E">
        <w:t xml:space="preserve">(Los Angeles Water Board) </w:t>
      </w:r>
      <w:r>
        <w:t>adopted a new MS4 Permit in</w:t>
      </w:r>
      <w:r w:rsidR="0014321E">
        <w:t xml:space="preserve"> 2012</w:t>
      </w:r>
      <w:r>
        <w:t>, it required the Cities of Claremont and Pomona to submit CBRPs to the Santa Ana Water Board for the portions of their cities located within the MSAR watershed</w:t>
      </w:r>
      <w:r w:rsidR="0014321E">
        <w:t xml:space="preserve"> (Los Angeles Water Board 2012; Order No. R4-2012-0175)</w:t>
      </w:r>
      <w:r>
        <w:t xml:space="preserve">. </w:t>
      </w:r>
    </w:p>
    <w:p w14:paraId="5EA16369" w14:textId="799D3921" w:rsidR="00EE6CE2" w:rsidRDefault="00EE6CE2" w:rsidP="00002425">
      <w:pPr>
        <w:pStyle w:val="BodyText"/>
      </w:pPr>
      <w:r>
        <w:t>The Santa Ana Water Board approved CBRPs submitted by Riverside and San Bernardino County MS4 Programs on February 10, 2012 (</w:t>
      </w:r>
      <w:r w:rsidR="00F56046">
        <w:t xml:space="preserve">Santa Ana Water Board 2012a, 2012b; </w:t>
      </w:r>
      <w:r>
        <w:t>Resolution Nos. R8-2012- 0015 and R8-2012-0016, respectively) (R</w:t>
      </w:r>
      <w:r w:rsidR="002623B0">
        <w:t>iverside County</w:t>
      </w:r>
      <w:r w:rsidR="00C139A2">
        <w:t xml:space="preserve"> </w:t>
      </w:r>
      <w:r>
        <w:t xml:space="preserve">2011; </w:t>
      </w:r>
      <w:r w:rsidR="002623B0">
        <w:t>San Bernardino County Flood Control District [</w:t>
      </w:r>
      <w:r>
        <w:t>SBCFCD</w:t>
      </w:r>
      <w:r w:rsidR="002623B0">
        <w:t>]</w:t>
      </w:r>
      <w:r>
        <w:t xml:space="preserve"> 2011). The Santa Ana Water Board also approved CBRPs for Claremont and Pomona on March 14, 2014 (</w:t>
      </w:r>
      <w:r w:rsidR="00F56046">
        <w:t xml:space="preserve">Santa Ana Water Board 2014a, 2014b; </w:t>
      </w:r>
      <w:r>
        <w:t>Resolution No</w:t>
      </w:r>
      <w:r w:rsidR="00F56046">
        <w:t>s</w:t>
      </w:r>
      <w:r>
        <w:t>. R8-2014-0030 and R8-2014-0031, respectively)</w:t>
      </w:r>
      <w:r w:rsidR="002623B0">
        <w:t xml:space="preserve"> (</w:t>
      </w:r>
      <w:bookmarkStart w:id="19" w:name="_Hlk120870307"/>
      <w:r w:rsidR="002623B0">
        <w:t>City of Claremont 2014; City of Pomona 2014</w:t>
      </w:r>
      <w:bookmarkEnd w:id="19"/>
      <w:r w:rsidR="002623B0">
        <w:t>)</w:t>
      </w:r>
      <w:r>
        <w:t xml:space="preserve">. </w:t>
      </w:r>
      <w:r w:rsidR="009D077A">
        <w:t>T</w:t>
      </w:r>
      <w:r>
        <w:t xml:space="preserve">he </w:t>
      </w:r>
      <w:r w:rsidR="000B7473">
        <w:t xml:space="preserve">resolutions approving the </w:t>
      </w:r>
      <w:r>
        <w:t>CBRP</w:t>
      </w:r>
      <w:r w:rsidR="000B7473">
        <w:t>s</w:t>
      </w:r>
      <w:r>
        <w:t xml:space="preserve"> state that the approved CBRP “will serve as the final Water Quality Based Effluent Limitations</w:t>
      </w:r>
      <w:r w:rsidR="00BA0746">
        <w:t xml:space="preserve"> (WQBEL)</w:t>
      </w:r>
      <w:r>
        <w:t xml:space="preserve"> for bacterial indicators during the dry season (annually April 1 through October 31).” </w:t>
      </w:r>
    </w:p>
    <w:p w14:paraId="7FEC3C72" w14:textId="28CFDC5F" w:rsidR="000B7473" w:rsidRDefault="000B7473" w:rsidP="00002425">
      <w:pPr>
        <w:pStyle w:val="BodyText"/>
      </w:pPr>
      <w:r>
        <w:t xml:space="preserve">As noted above, the State Water Board amended the MS4 Permit applicable to </w:t>
      </w:r>
      <w:r w:rsidR="00BA0746">
        <w:t xml:space="preserve">Phase II </w:t>
      </w:r>
      <w:r>
        <w:t xml:space="preserve">Small MS4s to include MSAR TMDL implementation requirements </w:t>
      </w:r>
      <w:r w:rsidR="00BC2EF8">
        <w:t xml:space="preserve">for four </w:t>
      </w:r>
      <w:r w:rsidR="00BA0746">
        <w:t>S</w:t>
      </w:r>
      <w:r w:rsidR="00BC2EF8">
        <w:t>mall MS4s in the MSAR watershed. In accordance with these requirements, UC</w:t>
      </w:r>
      <w:r w:rsidR="00D96E87">
        <w:t xml:space="preserve"> </w:t>
      </w:r>
      <w:r w:rsidR="00BC2EF8">
        <w:t>R</w:t>
      </w:r>
      <w:r w:rsidR="00D96E87">
        <w:t>iverside</w:t>
      </w:r>
      <w:r w:rsidR="00BC2EF8">
        <w:t xml:space="preserve"> is a participant in the TMDL monitoring program and recently submitted its Facility Bacteria Reduction Plan </w:t>
      </w:r>
      <w:r w:rsidR="00BA0746">
        <w:t xml:space="preserve">(FBRP) </w:t>
      </w:r>
      <w:r w:rsidR="00BC2EF8">
        <w:t>to the Santa Ana Water Board (</w:t>
      </w:r>
      <w:r w:rsidR="007F37F4">
        <w:t>September 26, 2022</w:t>
      </w:r>
      <w:r w:rsidR="00BC2EF8">
        <w:t xml:space="preserve">). </w:t>
      </w:r>
      <w:proofErr w:type="gramStart"/>
      <w:r w:rsidR="00BC2EF8">
        <w:t>Similar to</w:t>
      </w:r>
      <w:proofErr w:type="gramEnd"/>
      <w:r w:rsidR="00BC2EF8">
        <w:t xml:space="preserve"> a CBRP, the FBRP is designed to achieve compliance with the urban WLAs applicable to the dry season</w:t>
      </w:r>
      <w:r w:rsidR="00845538">
        <w:t xml:space="preserve"> (see </w:t>
      </w:r>
      <w:r w:rsidR="00AE3EC7">
        <w:t>discussion of FBRP in Section 3.2.2.1</w:t>
      </w:r>
      <w:r w:rsidR="00845538">
        <w:t>).</w:t>
      </w:r>
      <w:r w:rsidR="00BC2EF8">
        <w:t xml:space="preserve"> </w:t>
      </w:r>
    </w:p>
    <w:p w14:paraId="331502A3" w14:textId="66E12254" w:rsidR="00FB1AA2" w:rsidRDefault="00FB1AA2" w:rsidP="009B67B6">
      <w:pPr>
        <w:pStyle w:val="BodyText"/>
        <w:spacing w:after="200"/>
      </w:pPr>
      <w:r w:rsidRPr="009B67B6">
        <w:t>The Small MS4 General Permit (State Water Board 2013, Attachment G) includes MSAR TMDL implementation requirements for three additional facilities: California Institute for Men (Chino, CA); California Institute for Women (Chino, CA); and California Rehabilitation Center (Norco, CA). These entities are not participants of the MSAR Task Force; no information is available on TMDL implementation activities being carried out by these facilities to comply with the Small MS4 Permit TMDL requirements.</w:t>
      </w:r>
      <w:r>
        <w:t xml:space="preserve">  </w:t>
      </w:r>
    </w:p>
    <w:p w14:paraId="16446B04" w14:textId="5F9EA31F" w:rsidR="00EE6CE2" w:rsidRDefault="00EE6CE2" w:rsidP="00002425">
      <w:pPr>
        <w:pStyle w:val="Heading4"/>
      </w:pPr>
      <w:r>
        <w:t xml:space="preserve">Agricultural </w:t>
      </w:r>
      <w:r w:rsidR="000B7473">
        <w:t>Operator</w:t>
      </w:r>
      <w:r>
        <w:t>s</w:t>
      </w:r>
    </w:p>
    <w:p w14:paraId="59DBCAAF" w14:textId="52CB5510" w:rsidR="00EE6CE2" w:rsidRDefault="00DD4B8A" w:rsidP="00002425">
      <w:pPr>
        <w:pStyle w:val="BodyText"/>
      </w:pPr>
      <w:r>
        <w:t xml:space="preserve">The </w:t>
      </w:r>
      <w:r w:rsidR="00CF4511">
        <w:t xml:space="preserve">“agricultural operator” group includes </w:t>
      </w:r>
      <w:r>
        <w:t xml:space="preserve">CAFOs </w:t>
      </w:r>
      <w:r w:rsidR="00CF4511">
        <w:t xml:space="preserve">with applicable WLAs </w:t>
      </w:r>
      <w:r>
        <w:t xml:space="preserve">and irrigated and dry land farming activities </w:t>
      </w:r>
      <w:r w:rsidR="00CF4511">
        <w:t>with applicable LAs</w:t>
      </w:r>
      <w:r>
        <w:t xml:space="preserve">. </w:t>
      </w:r>
      <w:r w:rsidR="00FA746E">
        <w:t xml:space="preserve">At the time of TMDL adoption, </w:t>
      </w:r>
      <w:r>
        <w:t>CAFOs</w:t>
      </w:r>
      <w:r w:rsidR="00FA746E">
        <w:t xml:space="preserve"> were permitted under General Order 99-11</w:t>
      </w:r>
      <w:r w:rsidR="004D3589">
        <w:t xml:space="preserve"> (Santa Ana Water Board 1999)</w:t>
      </w:r>
      <w:r w:rsidR="00FA746E">
        <w:t xml:space="preserve">. This permit has since been superseded by </w:t>
      </w:r>
      <w:r>
        <w:t xml:space="preserve">the following </w:t>
      </w:r>
      <w:r w:rsidR="00FA746E">
        <w:t>General Order</w:t>
      </w:r>
      <w:r>
        <w:t xml:space="preserve">s: </w:t>
      </w:r>
      <w:r w:rsidR="00FA746E">
        <w:t>R8-2007-0001, 2013-0001 and 2018-0001</w:t>
      </w:r>
      <w:r w:rsidR="004D3589">
        <w:t xml:space="preserve"> (Santa Ana Water Board 2007, 2013 and 2018, respectively)</w:t>
      </w:r>
      <w:r w:rsidR="00FA746E">
        <w:t xml:space="preserve">. Each of these </w:t>
      </w:r>
      <w:r>
        <w:t>Orders has</w:t>
      </w:r>
      <w:r w:rsidR="00FA746E">
        <w:t xml:space="preserve"> included TMDL implementation requirements consistent with </w:t>
      </w:r>
      <w:r>
        <w:t>the TMDL</w:t>
      </w:r>
      <w:r w:rsidR="00427553">
        <w:t>s</w:t>
      </w:r>
      <w:r>
        <w:t xml:space="preserve"> </w:t>
      </w:r>
      <w:r w:rsidR="002623B0">
        <w:t>I</w:t>
      </w:r>
      <w:r>
        <w:t xml:space="preserve">mplementation </w:t>
      </w:r>
      <w:r w:rsidR="002623B0">
        <w:t>P</w:t>
      </w:r>
      <w:r>
        <w:t xml:space="preserve">lan (e.g., see Table 1-1). Farming activities within the MSAR watershed are not currently regulated under any Order. </w:t>
      </w:r>
    </w:p>
    <w:p w14:paraId="3B21055A" w14:textId="688F4522" w:rsidR="00EE6CE2" w:rsidRDefault="000B2459" w:rsidP="00002425">
      <w:pPr>
        <w:pStyle w:val="Heading3"/>
      </w:pPr>
      <w:bookmarkStart w:id="20" w:name="_Toc217410139"/>
      <w:r>
        <w:lastRenderedPageBreak/>
        <w:t>TMDL Implementation Overview</w:t>
      </w:r>
      <w:bookmarkEnd w:id="20"/>
    </w:p>
    <w:p w14:paraId="14B6338A" w14:textId="0FB17BCC" w:rsidR="00EE6CE2" w:rsidRDefault="00EE6CE2" w:rsidP="00002425">
      <w:pPr>
        <w:pStyle w:val="BodyText"/>
      </w:pPr>
      <w:r>
        <w:t xml:space="preserve">Implementation of many MSAR TMDL </w:t>
      </w:r>
      <w:r w:rsidR="000B7473">
        <w:t>activities</w:t>
      </w:r>
      <w:r>
        <w:t xml:space="preserve"> occurs through the collaborative work of the MSAR Task Force</w:t>
      </w:r>
      <w:r w:rsidR="000B7473">
        <w:t>, especially the TMDL’s watershed-wide monitoring requirements and various studies to understand sources of bacterial indicators.</w:t>
      </w:r>
      <w:r w:rsidR="001F0142">
        <w:t xml:space="preserve"> </w:t>
      </w:r>
      <w:r w:rsidR="00C075C3">
        <w:t>Soon after the TMDL</w:t>
      </w:r>
      <w:r w:rsidR="00427553">
        <w:t>s</w:t>
      </w:r>
      <w:r w:rsidR="00C075C3">
        <w:t xml:space="preserve"> became effective</w:t>
      </w:r>
      <w:r w:rsidR="001F0142">
        <w:t>, much of th</w:t>
      </w:r>
      <w:r w:rsidR="00C075C3">
        <w:t xml:space="preserve">e early </w:t>
      </w:r>
      <w:r w:rsidR="001F0142">
        <w:t xml:space="preserve">work was supported by </w:t>
      </w:r>
      <w:r w:rsidR="00EC344E">
        <w:t xml:space="preserve">the Middle Santa Ana River Pathogen TMDL </w:t>
      </w:r>
      <w:r w:rsidR="000C1AA1">
        <w:t>B</w:t>
      </w:r>
      <w:r w:rsidR="00EC344E">
        <w:t xml:space="preserve">MP Implementation </w:t>
      </w:r>
      <w:r w:rsidR="001F0142">
        <w:t xml:space="preserve">Proposition 40 grant </w:t>
      </w:r>
      <w:r w:rsidR="00EC344E">
        <w:t xml:space="preserve">project </w:t>
      </w:r>
      <w:r w:rsidR="001F0142">
        <w:t>administered by SAWPA on behalf of the Task Force</w:t>
      </w:r>
      <w:r w:rsidR="00EC344E">
        <w:t xml:space="preserve"> and funding partners </w:t>
      </w:r>
      <w:r w:rsidR="00BA0746">
        <w:t xml:space="preserve">RCFC&amp;WCD </w:t>
      </w:r>
      <w:r w:rsidR="00EC344E">
        <w:t xml:space="preserve">and </w:t>
      </w:r>
      <w:r w:rsidR="00BA0746">
        <w:t>SBCFCD</w:t>
      </w:r>
      <w:r w:rsidR="001F0142">
        <w:t xml:space="preserve">. </w:t>
      </w:r>
      <w:r>
        <w:t xml:space="preserve">In addition, </w:t>
      </w:r>
      <w:r w:rsidR="000B7473">
        <w:t>implementation of TMDL activities occurs locally through implementation of</w:t>
      </w:r>
      <w:r w:rsidR="00C075C3">
        <w:t xml:space="preserve">: (a) </w:t>
      </w:r>
      <w:r w:rsidR="000B7473">
        <w:t>CBRPs</w:t>
      </w:r>
      <w:r w:rsidR="00EC344E">
        <w:t xml:space="preserve"> by </w:t>
      </w:r>
      <w:r w:rsidR="00C075C3">
        <w:t xml:space="preserve">the urban </w:t>
      </w:r>
      <w:r w:rsidR="00EC344E">
        <w:t>MS4 Permittees</w:t>
      </w:r>
      <w:r w:rsidR="00C075C3">
        <w:t xml:space="preserve">; (b) </w:t>
      </w:r>
      <w:r w:rsidR="000B7473">
        <w:t>UC</w:t>
      </w:r>
      <w:r w:rsidR="00D96E87">
        <w:t xml:space="preserve"> Riverside</w:t>
      </w:r>
      <w:r w:rsidR="000B7473">
        <w:t>’s FBRP</w:t>
      </w:r>
      <w:r w:rsidR="00C075C3">
        <w:t xml:space="preserve">; (c) </w:t>
      </w:r>
      <w:r w:rsidR="009D077A">
        <w:t xml:space="preserve">the </w:t>
      </w:r>
      <w:r w:rsidR="00C075C3">
        <w:t>BASMP prepared by the agricultural community; and</w:t>
      </w:r>
      <w:r w:rsidR="000B7473">
        <w:t xml:space="preserve"> </w:t>
      </w:r>
      <w:r w:rsidR="00C075C3">
        <w:t xml:space="preserve">(d) compliance with CAFO General Order requirements. </w:t>
      </w:r>
    </w:p>
    <w:p w14:paraId="68F7D592" w14:textId="20479D93" w:rsidR="00066B88" w:rsidRDefault="00D36B4E" w:rsidP="00002425">
      <w:pPr>
        <w:pStyle w:val="BodyText"/>
      </w:pPr>
      <w:r>
        <w:rPr>
          <w:b/>
          <w:bCs/>
        </w:rPr>
        <w:t>Appendix A</w:t>
      </w:r>
      <w:r w:rsidR="00066B88">
        <w:t xml:space="preserve"> provides a </w:t>
      </w:r>
      <w:r>
        <w:t xml:space="preserve">figure that summarizes </w:t>
      </w:r>
      <w:r w:rsidR="00D40215">
        <w:t>key activities that have occurred over time through implementation of the MSAR TMDL</w:t>
      </w:r>
      <w:r w:rsidR="00427553">
        <w:t>s</w:t>
      </w:r>
      <w:r w:rsidR="00D40215">
        <w:t>, from adoption in 2005 through 202</w:t>
      </w:r>
      <w:r w:rsidR="007459FC">
        <w:t>5</w:t>
      </w:r>
      <w:r>
        <w:t xml:space="preserve"> (Figure A.1)</w:t>
      </w:r>
      <w:r w:rsidR="00D40215">
        <w:t>. Th</w:t>
      </w:r>
      <w:r w:rsidR="001F0142">
        <w:t>is figure</w:t>
      </w:r>
      <w:r w:rsidR="00D40215">
        <w:t xml:space="preserve"> </w:t>
      </w:r>
      <w:r w:rsidR="00C075C3">
        <w:t>provides a timeline of activities categorized as follows</w:t>
      </w:r>
      <w:r w:rsidR="00D40215">
        <w:t>:</w:t>
      </w:r>
    </w:p>
    <w:p w14:paraId="5D5E0CD0" w14:textId="4758C797" w:rsidR="00D40215" w:rsidRDefault="000B2459" w:rsidP="00A30ABF">
      <w:pPr>
        <w:pStyle w:val="ListBullet"/>
      </w:pPr>
      <w:r>
        <w:t xml:space="preserve">Key </w:t>
      </w:r>
      <w:r w:rsidR="00C075C3">
        <w:t>r</w:t>
      </w:r>
      <w:r>
        <w:t xml:space="preserve">egulatory </w:t>
      </w:r>
      <w:r w:rsidR="00C075C3">
        <w:t>d</w:t>
      </w:r>
      <w:r w:rsidR="00A30ABF">
        <w:t>ates</w:t>
      </w:r>
      <w:r w:rsidR="00C075C3">
        <w:t>/events</w:t>
      </w:r>
    </w:p>
    <w:p w14:paraId="31896180" w14:textId="316C4E24" w:rsidR="00A30ABF" w:rsidRDefault="00A30ABF" w:rsidP="00A30ABF">
      <w:pPr>
        <w:pStyle w:val="ListBullet"/>
      </w:pPr>
      <w:r>
        <w:t>TMDL Triennial Reports</w:t>
      </w:r>
    </w:p>
    <w:p w14:paraId="22FE77EC" w14:textId="44FFC9D0" w:rsidR="00A30ABF" w:rsidRDefault="00A30ABF" w:rsidP="00A30ABF">
      <w:pPr>
        <w:pStyle w:val="ListBullet"/>
      </w:pPr>
      <w:r>
        <w:t xml:space="preserve">Proposition 40 </w:t>
      </w:r>
      <w:r w:rsidR="00C075C3">
        <w:t>g</w:t>
      </w:r>
      <w:r>
        <w:t xml:space="preserve">rant </w:t>
      </w:r>
      <w:r w:rsidR="00C075C3">
        <w:t>project d</w:t>
      </w:r>
      <w:r>
        <w:t>eliverables</w:t>
      </w:r>
    </w:p>
    <w:p w14:paraId="6304179B" w14:textId="7D59EB5D" w:rsidR="00A30ABF" w:rsidRDefault="00A30ABF" w:rsidP="00A30ABF">
      <w:pPr>
        <w:pStyle w:val="ListBullet"/>
      </w:pPr>
      <w:r>
        <w:t xml:space="preserve">Monitoring </w:t>
      </w:r>
      <w:r w:rsidR="00C075C3">
        <w:t>p</w:t>
      </w:r>
      <w:r>
        <w:t>rograms</w:t>
      </w:r>
    </w:p>
    <w:p w14:paraId="49DFD8C2" w14:textId="4A595291" w:rsidR="00A30ABF" w:rsidRDefault="00A30ABF" w:rsidP="00A30ABF">
      <w:pPr>
        <w:pStyle w:val="ListBullet"/>
      </w:pPr>
      <w:r>
        <w:t>USEP</w:t>
      </w:r>
      <w:r w:rsidR="001745E0">
        <w:t xml:space="preserve"> and </w:t>
      </w:r>
      <w:proofErr w:type="spellStart"/>
      <w:r>
        <w:t>AgSEP</w:t>
      </w:r>
      <w:proofErr w:type="spellEnd"/>
    </w:p>
    <w:p w14:paraId="07E1D03E" w14:textId="15C4DAB6" w:rsidR="00A30ABF" w:rsidRDefault="00A30ABF" w:rsidP="00A30ABF">
      <w:pPr>
        <w:pStyle w:val="ListBullet"/>
      </w:pPr>
      <w:r>
        <w:t xml:space="preserve">Tier 1 </w:t>
      </w:r>
      <w:r w:rsidR="00C075C3">
        <w:t>p</w:t>
      </w:r>
      <w:r>
        <w:t>rioritization (through USEP and CBRP implementation)</w:t>
      </w:r>
    </w:p>
    <w:p w14:paraId="14A74C9E" w14:textId="3A0E5E7F" w:rsidR="00A30ABF" w:rsidRDefault="00A30ABF" w:rsidP="00A30ABF">
      <w:pPr>
        <w:pStyle w:val="ListBullet"/>
      </w:pPr>
      <w:r>
        <w:t>Task Force</w:t>
      </w:r>
      <w:r w:rsidR="00C075C3">
        <w:t>-c</w:t>
      </w:r>
      <w:r>
        <w:t xml:space="preserve">oordinated </w:t>
      </w:r>
      <w:r w:rsidR="00C075C3">
        <w:t>s</w:t>
      </w:r>
      <w:r>
        <w:t xml:space="preserve">ource </w:t>
      </w:r>
      <w:r w:rsidR="00C075C3">
        <w:t>e</w:t>
      </w:r>
      <w:r>
        <w:t xml:space="preserve">valuation </w:t>
      </w:r>
      <w:r w:rsidR="00C075C3">
        <w:t>s</w:t>
      </w:r>
      <w:r>
        <w:t>tudies</w:t>
      </w:r>
    </w:p>
    <w:p w14:paraId="62BA856D" w14:textId="6A87702F" w:rsidR="00A30ABF" w:rsidRDefault="00A30ABF" w:rsidP="00A30ABF">
      <w:pPr>
        <w:pStyle w:val="ListBullet"/>
      </w:pPr>
      <w:r>
        <w:t xml:space="preserve">MS4 Permittee </w:t>
      </w:r>
      <w:r w:rsidR="00C075C3">
        <w:t>d</w:t>
      </w:r>
      <w:r>
        <w:t xml:space="preserve">irected CBRP </w:t>
      </w:r>
      <w:r w:rsidR="00C075C3">
        <w:t>a</w:t>
      </w:r>
      <w:r>
        <w:t>ctivities</w:t>
      </w:r>
    </w:p>
    <w:p w14:paraId="164BF76A" w14:textId="182FF54E" w:rsidR="00A30ABF" w:rsidRDefault="00A30ABF" w:rsidP="00A30ABF">
      <w:pPr>
        <w:pStyle w:val="ListBullet"/>
        <w:spacing w:after="240"/>
      </w:pPr>
      <w:r>
        <w:t>MS4 Program B</w:t>
      </w:r>
      <w:r w:rsidR="0007102C">
        <w:t>est Management Practice (B</w:t>
      </w:r>
      <w:r>
        <w:t>MP</w:t>
      </w:r>
      <w:r w:rsidR="0007102C">
        <w:t>)</w:t>
      </w:r>
      <w:r>
        <w:t xml:space="preserve"> </w:t>
      </w:r>
      <w:r w:rsidR="00C075C3">
        <w:t>p</w:t>
      </w:r>
      <w:r>
        <w:t>rojects</w:t>
      </w:r>
    </w:p>
    <w:p w14:paraId="24B2BDB9" w14:textId="1C526063" w:rsidR="00C075C3" w:rsidRDefault="00C075C3" w:rsidP="00066B88">
      <w:pPr>
        <w:pStyle w:val="BodyText"/>
      </w:pPr>
      <w:r>
        <w:t xml:space="preserve">Deliverables resulting from implementation of the Proposition 40 grant project may be found here: </w:t>
      </w:r>
      <w:hyperlink r:id="rId18" w:anchor="resourcesb8a6-4b67" w:history="1">
        <w:r w:rsidRPr="00A20F53">
          <w:rPr>
            <w:rStyle w:val="Hyperlink"/>
          </w:rPr>
          <w:t>https://sawpa.org/task-forces/middle-santa-ana-river-watershed-tmdl-task-force/#resourcesb8a6-4b67</w:t>
        </w:r>
      </w:hyperlink>
      <w:r>
        <w:t xml:space="preserve">. These deliverables initiated the </w:t>
      </w:r>
      <w:r w:rsidR="00AF0E47">
        <w:t xml:space="preserve">required TMDL </w:t>
      </w:r>
      <w:r>
        <w:t xml:space="preserve">watershed-wide monitoring program and provided the initial data that resulted in the first prioritization of </w:t>
      </w:r>
      <w:r w:rsidR="00AF0E47">
        <w:t xml:space="preserve">Tier 1 </w:t>
      </w:r>
      <w:r>
        <w:t xml:space="preserve">sites for subsequent source evaluation activities. </w:t>
      </w:r>
    </w:p>
    <w:p w14:paraId="669D137A" w14:textId="3A50F9F8" w:rsidR="00AF0E47" w:rsidRDefault="0057486A" w:rsidP="00066B88">
      <w:pPr>
        <w:pStyle w:val="BodyText"/>
      </w:pPr>
      <w:r w:rsidRPr="00002425">
        <w:rPr>
          <w:b/>
          <w:bCs/>
        </w:rPr>
        <w:t xml:space="preserve">Appendix </w:t>
      </w:r>
      <w:r w:rsidR="00D36B4E">
        <w:rPr>
          <w:b/>
          <w:bCs/>
        </w:rPr>
        <w:t>B</w:t>
      </w:r>
      <w:r>
        <w:t xml:space="preserve"> provides </w:t>
      </w:r>
      <w:proofErr w:type="gramStart"/>
      <w:r>
        <w:t>a brief summary</w:t>
      </w:r>
      <w:proofErr w:type="gramEnd"/>
      <w:r>
        <w:t xml:space="preserve"> of key studies completed </w:t>
      </w:r>
      <w:r w:rsidR="00EC344E">
        <w:t xml:space="preserve">through implementation of the </w:t>
      </w:r>
      <w:r w:rsidR="00EC344E" w:rsidRPr="00AF3A60">
        <w:t>USEP</w:t>
      </w:r>
      <w:r w:rsidR="007F05C4" w:rsidRPr="00AF3A60">
        <w:t xml:space="preserve"> (SAWPA 200</w:t>
      </w:r>
      <w:r w:rsidR="00AF3A60" w:rsidRPr="00AF3A60">
        <w:t>7a</w:t>
      </w:r>
      <w:r w:rsidR="007F05C4" w:rsidRPr="00AF3A60">
        <w:t>)</w:t>
      </w:r>
      <w:r w:rsidR="00C075C3" w:rsidRPr="00AF3A60">
        <w:t xml:space="preserve">, </w:t>
      </w:r>
      <w:proofErr w:type="spellStart"/>
      <w:r w:rsidR="00C075C3" w:rsidRPr="00AF3A60">
        <w:t>AgSEP</w:t>
      </w:r>
      <w:proofErr w:type="spellEnd"/>
      <w:r w:rsidR="00EC344E" w:rsidRPr="00AF3A60">
        <w:t xml:space="preserve"> </w:t>
      </w:r>
      <w:r w:rsidR="007F05C4" w:rsidRPr="00AF3A60">
        <w:t>(SAWPA 200</w:t>
      </w:r>
      <w:r w:rsidR="00AF3A60" w:rsidRPr="00AF3A60">
        <w:t>7b</w:t>
      </w:r>
      <w:r w:rsidR="007F05C4" w:rsidRPr="00AF3A60">
        <w:t xml:space="preserve">) </w:t>
      </w:r>
      <w:r w:rsidR="00EC344E" w:rsidRPr="00AF3A60">
        <w:t>and</w:t>
      </w:r>
      <w:r w:rsidR="00EC344E">
        <w:t xml:space="preserve"> CBRP. </w:t>
      </w:r>
      <w:r w:rsidR="00002425">
        <w:t xml:space="preserve">Outcomes from these various activities have resulted in periodic revisions to the prioritization of Tier 1 sites for </w:t>
      </w:r>
      <w:r w:rsidR="00AF0E47">
        <w:t xml:space="preserve">subsequent </w:t>
      </w:r>
      <w:r w:rsidR="00002425">
        <w:t>source evaluation studies in the MSAR watershed.</w:t>
      </w:r>
      <w:r w:rsidR="00AF0E47">
        <w:t xml:space="preserve"> </w:t>
      </w:r>
    </w:p>
    <w:p w14:paraId="67EBAEE3" w14:textId="00B751E9" w:rsidR="0057486A" w:rsidRDefault="00AF0E47" w:rsidP="00066B88">
      <w:pPr>
        <w:pStyle w:val="BodyText"/>
      </w:pPr>
      <w:r>
        <w:t xml:space="preserve">As noted above, </w:t>
      </w:r>
      <w:proofErr w:type="gramStart"/>
      <w:r>
        <w:t>the TMDL</w:t>
      </w:r>
      <w:proofErr w:type="gramEnd"/>
      <w:r>
        <w:t xml:space="preserve"> requires the preparation of Triennial Reports every three years. The findings from the assessment completed for each of these reports </w:t>
      </w:r>
      <w:proofErr w:type="gramStart"/>
      <w:r>
        <w:t>has</w:t>
      </w:r>
      <w:proofErr w:type="gramEnd"/>
      <w:r>
        <w:t xml:space="preserve"> been important to </w:t>
      </w:r>
      <w:r>
        <w:lastRenderedPageBreak/>
        <w:t xml:space="preserve">guide future TMDL implementation activities. </w:t>
      </w:r>
      <w:r w:rsidR="00E3046D">
        <w:t>Appendix C</w:t>
      </w:r>
      <w:r>
        <w:t xml:space="preserve"> summarizes key findings from the </w:t>
      </w:r>
      <w:r w:rsidR="00002425">
        <w:t>previously submitted</w:t>
      </w:r>
      <w:r w:rsidR="00EC344E">
        <w:t xml:space="preserve"> Triennial Reports</w:t>
      </w:r>
      <w:r>
        <w:t>.</w:t>
      </w:r>
    </w:p>
    <w:p w14:paraId="59B3AF5D" w14:textId="1BF8C1DE" w:rsidR="00F422A0" w:rsidRPr="00066B88" w:rsidRDefault="00F422A0" w:rsidP="009B67B6">
      <w:pPr>
        <w:pStyle w:val="Heading2"/>
        <w:tabs>
          <w:tab w:val="clear" w:pos="2322"/>
        </w:tabs>
        <w:ind w:left="720" w:hanging="720"/>
      </w:pPr>
      <w:bookmarkStart w:id="21" w:name="_Hlk65678831"/>
      <w:bookmarkStart w:id="22" w:name="_Toc217410140"/>
      <w:bookmarkEnd w:id="14"/>
      <w:r w:rsidRPr="00066B88">
        <w:t>TMDL Triennial Reports</w:t>
      </w:r>
      <w:bookmarkEnd w:id="22"/>
    </w:p>
    <w:p w14:paraId="307F7607" w14:textId="63991C0F" w:rsidR="00F47C22" w:rsidRDefault="00F422A0" w:rsidP="00F422A0">
      <w:pPr>
        <w:pStyle w:val="BodyText"/>
      </w:pPr>
      <w:r>
        <w:t>TMDL</w:t>
      </w:r>
      <w:r w:rsidR="0007102C">
        <w:t xml:space="preserve"> Task 3</w:t>
      </w:r>
      <w:r>
        <w:t xml:space="preserve"> requires preparation of a Triennial Report that assesses the data collected for the preceding three</w:t>
      </w:r>
      <w:r w:rsidR="002B19AA">
        <w:t>-</w:t>
      </w:r>
      <w:r>
        <w:t>year period and evaluates progress towards achieving the WLAs and LAs in the MSAR TMDL</w:t>
      </w:r>
      <w:r w:rsidR="00427553">
        <w:t>s</w:t>
      </w:r>
      <w:r>
        <w:t xml:space="preserve">. </w:t>
      </w:r>
      <w:r w:rsidR="00F47C22">
        <w:t>F</w:t>
      </w:r>
      <w:r w:rsidR="00D00D3B">
        <w:t>ive</w:t>
      </w:r>
      <w:r>
        <w:t xml:space="preserve"> Triennial Reports </w:t>
      </w:r>
      <w:r w:rsidR="00F47C22">
        <w:t xml:space="preserve">have been </w:t>
      </w:r>
      <w:r>
        <w:t xml:space="preserve">prepared to </w:t>
      </w:r>
      <w:proofErr w:type="gramStart"/>
      <w:r>
        <w:t>date</w:t>
      </w:r>
      <w:proofErr w:type="gramEnd"/>
      <w:r w:rsidR="00D00D3B">
        <w:t xml:space="preserve"> and their key findings are summarized in </w:t>
      </w:r>
      <w:r w:rsidR="00D00D3B" w:rsidRPr="009B67B6">
        <w:rPr>
          <w:b/>
          <w:bCs/>
        </w:rPr>
        <w:t>Appendix C.</w:t>
      </w:r>
      <w:r w:rsidR="00D00D3B">
        <w:t xml:space="preserve"> The contents of each report are as follows</w:t>
      </w:r>
      <w:r w:rsidR="00F47C22">
        <w:t>:</w:t>
      </w:r>
    </w:p>
    <w:p w14:paraId="73CDB1D2" w14:textId="3227A83F" w:rsidR="007C7D38" w:rsidRDefault="00F47C22" w:rsidP="00267EDD">
      <w:pPr>
        <w:pStyle w:val="BodyText"/>
        <w:numPr>
          <w:ilvl w:val="0"/>
          <w:numId w:val="26"/>
        </w:numPr>
        <w:ind w:left="360"/>
      </w:pPr>
      <w:r w:rsidRPr="00F47C22">
        <w:rPr>
          <w:i/>
          <w:iCs/>
        </w:rPr>
        <w:t>2007-2009 Triennial Report</w:t>
      </w:r>
      <w:r w:rsidRPr="0007102C">
        <w:t xml:space="preserve"> (</w:t>
      </w:r>
      <w:r>
        <w:t>SAWPA 2010</w:t>
      </w:r>
      <w:r w:rsidR="00FD1F05">
        <w:t>a</w:t>
      </w:r>
      <w:r w:rsidRPr="0007102C">
        <w:t>)</w:t>
      </w:r>
      <w:r w:rsidR="007C7D38">
        <w:rPr>
          <w:rStyle w:val="FootnoteReference"/>
        </w:rPr>
        <w:footnoteReference w:id="5"/>
      </w:r>
      <w:r w:rsidR="007C7D38">
        <w:t>:</w:t>
      </w:r>
    </w:p>
    <w:p w14:paraId="69784097" w14:textId="476F16A6" w:rsidR="007C7D38" w:rsidRDefault="007C7D38" w:rsidP="007C7D38">
      <w:pPr>
        <w:pStyle w:val="BodyText"/>
        <w:numPr>
          <w:ilvl w:val="1"/>
          <w:numId w:val="26"/>
        </w:numPr>
      </w:pPr>
      <w:r>
        <w:t>A</w:t>
      </w:r>
      <w:r w:rsidR="00F47C22" w:rsidRPr="0007102C">
        <w:t xml:space="preserve"> water quality and </w:t>
      </w:r>
      <w:r w:rsidR="00F47C22">
        <w:t xml:space="preserve">TMDL </w:t>
      </w:r>
      <w:r w:rsidR="00F47C22" w:rsidRPr="0007102C">
        <w:t>compliance assessment based on data collected from the 2007 effective date of the TMDL</w:t>
      </w:r>
      <w:r w:rsidR="00427553">
        <w:t>s</w:t>
      </w:r>
      <w:r w:rsidR="00F47C22" w:rsidRPr="0007102C">
        <w:t xml:space="preserve"> through 2009 </w:t>
      </w:r>
    </w:p>
    <w:p w14:paraId="4F5362FA" w14:textId="4C552265" w:rsidR="007C7D38" w:rsidRDefault="007C7D38" w:rsidP="007C7D38">
      <w:pPr>
        <w:pStyle w:val="BodyText"/>
        <w:numPr>
          <w:ilvl w:val="1"/>
          <w:numId w:val="26"/>
        </w:numPr>
      </w:pPr>
      <w:r>
        <w:t>F</w:t>
      </w:r>
      <w:r w:rsidR="00F47C22" w:rsidRPr="0007102C">
        <w:t xml:space="preserve">indings from the first watershed-wide assessment conducted at multiple sites in the MSAR watershed (reported in SAWPA 2009, see Section 2.1.4.1) </w:t>
      </w:r>
    </w:p>
    <w:p w14:paraId="793051C3" w14:textId="63D624EB" w:rsidR="00F47C22" w:rsidRDefault="007C7D38" w:rsidP="009B67B6">
      <w:pPr>
        <w:pStyle w:val="BodyText"/>
        <w:numPr>
          <w:ilvl w:val="1"/>
          <w:numId w:val="26"/>
        </w:numPr>
        <w:rPr>
          <w:rStyle w:val="Hyperlink"/>
          <w:color w:val="auto"/>
          <w:u w:val="none"/>
        </w:rPr>
      </w:pPr>
      <w:r>
        <w:t>W</w:t>
      </w:r>
      <w:r w:rsidR="00F47C22" w:rsidRPr="0007102C">
        <w:t xml:space="preserve">et weather findings from storm event sampling of agricultural runoff (as required by the </w:t>
      </w:r>
      <w:proofErr w:type="spellStart"/>
      <w:r w:rsidR="00F47C22" w:rsidRPr="0007102C">
        <w:t>AgSEP</w:t>
      </w:r>
      <w:proofErr w:type="spellEnd"/>
      <w:r w:rsidR="00F47C22" w:rsidRPr="0007102C">
        <w:t xml:space="preserve">) </w:t>
      </w:r>
    </w:p>
    <w:p w14:paraId="27FA9159" w14:textId="731CD337" w:rsidR="007C7D38" w:rsidRDefault="00F47C22" w:rsidP="00267EDD">
      <w:pPr>
        <w:pStyle w:val="BodyText"/>
        <w:numPr>
          <w:ilvl w:val="0"/>
          <w:numId w:val="26"/>
        </w:numPr>
        <w:ind w:left="360"/>
      </w:pPr>
      <w:r>
        <w:rPr>
          <w:i/>
          <w:iCs/>
        </w:rPr>
        <w:t xml:space="preserve">2010 -2012 Triennial Report </w:t>
      </w:r>
      <w:r w:rsidRPr="00BA0746">
        <w:t>(SAWPA 2013)</w:t>
      </w:r>
      <w:r w:rsidR="007C7D38">
        <w:rPr>
          <w:rStyle w:val="FootnoteReference"/>
        </w:rPr>
        <w:footnoteReference w:id="6"/>
      </w:r>
      <w:r w:rsidR="007C7D38">
        <w:t>:</w:t>
      </w:r>
    </w:p>
    <w:p w14:paraId="2EB49FB5" w14:textId="7E1F6905" w:rsidR="007C7D38" w:rsidRDefault="007C7D38" w:rsidP="007C7D38">
      <w:pPr>
        <w:pStyle w:val="BodyText"/>
        <w:numPr>
          <w:ilvl w:val="1"/>
          <w:numId w:val="26"/>
        </w:numPr>
      </w:pPr>
      <w:r>
        <w:t>E</w:t>
      </w:r>
      <w:r w:rsidR="00F47C22">
        <w:t>valuat</w:t>
      </w:r>
      <w:r>
        <w:t>ion of</w:t>
      </w:r>
      <w:r w:rsidR="00F47C22">
        <w:t xml:space="preserve"> the status of compliance with urban </w:t>
      </w:r>
      <w:r w:rsidR="00F47C22" w:rsidRPr="003B53F4">
        <w:t>WLAs and LAs as required by the TMDL</w:t>
      </w:r>
      <w:r w:rsidR="007E5EA5">
        <w:t>s</w:t>
      </w:r>
      <w:r w:rsidR="00F47C22" w:rsidRPr="003B53F4">
        <w:t xml:space="preserve"> </w:t>
      </w:r>
    </w:p>
    <w:p w14:paraId="550AB26A" w14:textId="548FF1BA" w:rsidR="00F47C22" w:rsidRPr="00F47C22" w:rsidRDefault="007C7D38" w:rsidP="009B67B6">
      <w:pPr>
        <w:pStyle w:val="BodyText"/>
        <w:numPr>
          <w:ilvl w:val="1"/>
          <w:numId w:val="26"/>
        </w:numPr>
      </w:pPr>
      <w:r>
        <w:t>Results</w:t>
      </w:r>
      <w:r w:rsidR="00F47C22" w:rsidRPr="003B53F4">
        <w:t xml:space="preserve"> from source evaluati</w:t>
      </w:r>
      <w:r w:rsidR="00F47C22">
        <w:t xml:space="preserve">on studies conducted as part of the implementation of the Riverside and San Bernardino County MS4 </w:t>
      </w:r>
      <w:r w:rsidR="00CE6536">
        <w:t>P</w:t>
      </w:r>
      <w:r w:rsidR="00F47C22">
        <w:t>rogram CBRPs</w:t>
      </w:r>
    </w:p>
    <w:p w14:paraId="1D02535E" w14:textId="00DD0EB5" w:rsidR="00D00D3B" w:rsidRDefault="00F47C22" w:rsidP="00267EDD">
      <w:pPr>
        <w:pStyle w:val="BodyText"/>
        <w:numPr>
          <w:ilvl w:val="0"/>
          <w:numId w:val="26"/>
        </w:numPr>
        <w:ind w:left="360"/>
      </w:pPr>
      <w:r w:rsidRPr="00F47C22">
        <w:rPr>
          <w:i/>
          <w:iCs/>
        </w:rPr>
        <w:t>2013-2015 Triennial Report</w:t>
      </w:r>
      <w:r>
        <w:t xml:space="preserve"> (SAWPA 2017)</w:t>
      </w:r>
      <w:r w:rsidR="00D00D3B">
        <w:rPr>
          <w:rStyle w:val="FootnoteReference"/>
        </w:rPr>
        <w:footnoteReference w:id="7"/>
      </w:r>
      <w:r w:rsidR="00D00D3B">
        <w:t>:</w:t>
      </w:r>
    </w:p>
    <w:p w14:paraId="2B5C4E2D" w14:textId="37936C55" w:rsidR="00D00D3B" w:rsidRDefault="00D00D3B" w:rsidP="00D00D3B">
      <w:pPr>
        <w:pStyle w:val="BodyText"/>
        <w:numPr>
          <w:ilvl w:val="1"/>
          <w:numId w:val="26"/>
        </w:numPr>
      </w:pPr>
      <w:r>
        <w:t>U</w:t>
      </w:r>
      <w:r w:rsidR="00F47C22">
        <w:t>pdate</w:t>
      </w:r>
      <w:r>
        <w:t>d</w:t>
      </w:r>
      <w:r w:rsidR="00F47C22">
        <w:t xml:space="preserve"> </w:t>
      </w:r>
      <w:r>
        <w:t xml:space="preserve">assessment of </w:t>
      </w:r>
      <w:r w:rsidR="00F47C22">
        <w:t>compliance with the TMDL</w:t>
      </w:r>
      <w:r>
        <w:t xml:space="preserve"> WLAs and LAs</w:t>
      </w:r>
    </w:p>
    <w:p w14:paraId="68D326BE" w14:textId="1603E6DF" w:rsidR="00F47C22" w:rsidRDefault="00D00D3B" w:rsidP="009B67B6">
      <w:pPr>
        <w:pStyle w:val="BodyText"/>
        <w:numPr>
          <w:ilvl w:val="1"/>
          <w:numId w:val="26"/>
        </w:numPr>
      </w:pPr>
      <w:r>
        <w:t>Summary of</w:t>
      </w:r>
      <w:r w:rsidR="00F47C22">
        <w:t xml:space="preserve"> findings from Tier 1 and Tier 2 source evaluation studies conducted in the watershed by the Task Force and MS4 Permittees </w:t>
      </w:r>
    </w:p>
    <w:p w14:paraId="232AFB0A" w14:textId="77777777" w:rsidR="00D00D3B" w:rsidRDefault="00F47C22" w:rsidP="00267EDD">
      <w:pPr>
        <w:pStyle w:val="BodyText"/>
        <w:numPr>
          <w:ilvl w:val="0"/>
          <w:numId w:val="26"/>
        </w:numPr>
        <w:ind w:left="360"/>
      </w:pPr>
      <w:r w:rsidRPr="00305922">
        <w:rPr>
          <w:i/>
          <w:iCs/>
        </w:rPr>
        <w:t>2016-2019 Triennial Report</w:t>
      </w:r>
      <w:r w:rsidRPr="00305922">
        <w:t xml:space="preserve"> (SAWPA 2020</w:t>
      </w:r>
      <w:r w:rsidR="000C5342">
        <w:t>a</w:t>
      </w:r>
      <w:r w:rsidRPr="00305922">
        <w:t>)</w:t>
      </w:r>
      <w:r w:rsidR="00D00D3B">
        <w:rPr>
          <w:rStyle w:val="FootnoteReference"/>
        </w:rPr>
        <w:footnoteReference w:id="8"/>
      </w:r>
      <w:r w:rsidR="00D00D3B">
        <w:t>:</w:t>
      </w:r>
    </w:p>
    <w:p w14:paraId="39327675" w14:textId="42D59A9F" w:rsidR="00D00D3B" w:rsidRDefault="00D00D3B" w:rsidP="00D00D3B">
      <w:pPr>
        <w:pStyle w:val="BodyText"/>
        <w:numPr>
          <w:ilvl w:val="1"/>
          <w:numId w:val="26"/>
        </w:numPr>
      </w:pPr>
      <w:r>
        <w:lastRenderedPageBreak/>
        <w:t>U</w:t>
      </w:r>
      <w:r w:rsidR="00F47C22" w:rsidRPr="00305922">
        <w:t xml:space="preserve">pdated assessment of compliance with the TMDL </w:t>
      </w:r>
      <w:r w:rsidR="00305922" w:rsidRPr="00305922">
        <w:t xml:space="preserve">WLAs and LAs </w:t>
      </w:r>
    </w:p>
    <w:p w14:paraId="2012B8A4" w14:textId="223B0F94" w:rsidR="00F47C22" w:rsidRDefault="00D00D3B" w:rsidP="009B67B6">
      <w:pPr>
        <w:pStyle w:val="BodyText"/>
        <w:numPr>
          <w:ilvl w:val="1"/>
          <w:numId w:val="26"/>
        </w:numPr>
      </w:pPr>
      <w:r>
        <w:t>Findings from</w:t>
      </w:r>
      <w:r w:rsidR="00305922" w:rsidRPr="00305922">
        <w:t xml:space="preserve"> a synoptic study conducted in the MSAR watershed to provide updated information on the status of </w:t>
      </w:r>
      <w:r w:rsidR="006624DB">
        <w:t>dry weather flow (</w:t>
      </w:r>
      <w:r w:rsidR="00305922" w:rsidRPr="00305922">
        <w:t>DWF</w:t>
      </w:r>
      <w:r w:rsidR="006624DB">
        <w:t>)</w:t>
      </w:r>
      <w:r w:rsidR="00305922" w:rsidRPr="00305922">
        <w:t xml:space="preserve"> and bacterial indicators within each MSAR subwatershed</w:t>
      </w:r>
    </w:p>
    <w:p w14:paraId="649DF081" w14:textId="3D604837" w:rsidR="007C7D38" w:rsidRDefault="008C26AF" w:rsidP="00267EDD">
      <w:pPr>
        <w:pStyle w:val="BodyText"/>
        <w:numPr>
          <w:ilvl w:val="0"/>
          <w:numId w:val="26"/>
        </w:numPr>
        <w:ind w:left="360"/>
      </w:pPr>
      <w:r w:rsidRPr="00305922">
        <w:rPr>
          <w:i/>
          <w:iCs/>
        </w:rPr>
        <w:t>20</w:t>
      </w:r>
      <w:r>
        <w:rPr>
          <w:i/>
          <w:iCs/>
        </w:rPr>
        <w:t>20</w:t>
      </w:r>
      <w:r w:rsidRPr="00305922">
        <w:rPr>
          <w:i/>
          <w:iCs/>
        </w:rPr>
        <w:t>-20</w:t>
      </w:r>
      <w:r>
        <w:rPr>
          <w:i/>
          <w:iCs/>
        </w:rPr>
        <w:t>22</w:t>
      </w:r>
      <w:r w:rsidRPr="00305922">
        <w:rPr>
          <w:i/>
          <w:iCs/>
        </w:rPr>
        <w:t xml:space="preserve"> Triennial Report</w:t>
      </w:r>
      <w:r w:rsidRPr="00305922">
        <w:t xml:space="preserve"> (SAWPA 202</w:t>
      </w:r>
      <w:r>
        <w:t>3</w:t>
      </w:r>
      <w:r w:rsidRPr="00305922">
        <w:t>)</w:t>
      </w:r>
      <w:r w:rsidR="007C7D38">
        <w:rPr>
          <w:rStyle w:val="FootnoteReference"/>
        </w:rPr>
        <w:footnoteReference w:id="9"/>
      </w:r>
      <w:r w:rsidR="00D00D3B">
        <w:t>:</w:t>
      </w:r>
      <w:r w:rsidR="007C7D38">
        <w:t xml:space="preserve"> </w:t>
      </w:r>
    </w:p>
    <w:p w14:paraId="0011354B" w14:textId="1CC33437" w:rsidR="007C7D38" w:rsidRDefault="00D00D3B" w:rsidP="007C7D38">
      <w:pPr>
        <w:pStyle w:val="BodyText"/>
        <w:numPr>
          <w:ilvl w:val="1"/>
          <w:numId w:val="26"/>
        </w:numPr>
      </w:pPr>
      <w:r>
        <w:t>U</w:t>
      </w:r>
      <w:r w:rsidR="00F37D14">
        <w:t>pdate</w:t>
      </w:r>
      <w:r>
        <w:t>d assessment of</w:t>
      </w:r>
      <w:r w:rsidR="00F37D14">
        <w:t xml:space="preserve"> compliance with the TMDL</w:t>
      </w:r>
      <w:r>
        <w:t xml:space="preserve"> WLAs and LAs</w:t>
      </w:r>
    </w:p>
    <w:p w14:paraId="1CD971A8" w14:textId="63EF5C36" w:rsidR="007C7D38" w:rsidRDefault="007C7D38" w:rsidP="007C7D38">
      <w:pPr>
        <w:pStyle w:val="BodyText"/>
        <w:numPr>
          <w:ilvl w:val="1"/>
          <w:numId w:val="26"/>
        </w:numPr>
      </w:pPr>
      <w:r>
        <w:t>S</w:t>
      </w:r>
      <w:r w:rsidR="00FA16AC">
        <w:t>ynthes</w:t>
      </w:r>
      <w:r>
        <w:t>is of</w:t>
      </w:r>
      <w:r w:rsidR="00FA16AC">
        <w:t xml:space="preserve"> historical source tracking data collected in the MSAR watershed.</w:t>
      </w:r>
    </w:p>
    <w:p w14:paraId="223D9518" w14:textId="06DF4444" w:rsidR="007C7D38" w:rsidRDefault="007C7D38" w:rsidP="007C7D38">
      <w:pPr>
        <w:pStyle w:val="BodyText"/>
        <w:numPr>
          <w:ilvl w:val="1"/>
          <w:numId w:val="26"/>
        </w:numPr>
      </w:pPr>
      <w:r>
        <w:t xml:space="preserve">Analysis of </w:t>
      </w:r>
      <w:r w:rsidR="00B32B16">
        <w:t xml:space="preserve">data from a new monitoring site in the SAR at Mission </w:t>
      </w:r>
      <w:proofErr w:type="gramStart"/>
      <w:r w:rsidR="00B32B16">
        <w:t xml:space="preserve">Boulevard </w:t>
      </w:r>
      <w:r w:rsidR="00C74596">
        <w:t>t</w:t>
      </w:r>
      <w:r>
        <w:t>hat</w:t>
      </w:r>
      <w:proofErr w:type="gramEnd"/>
      <w:r>
        <w:t xml:space="preserve"> demonstrated that </w:t>
      </w:r>
      <w:r w:rsidR="00534895" w:rsidRPr="00A87850">
        <w:t>majority of</w:t>
      </w:r>
      <w:r w:rsidR="00C74596">
        <w:t xml:space="preserve"> dry weather</w:t>
      </w:r>
      <w:r w:rsidR="00534895" w:rsidRPr="00A87850">
        <w:t xml:space="preserve"> </w:t>
      </w:r>
      <w:r w:rsidR="00534895" w:rsidRPr="00A87850">
        <w:rPr>
          <w:i/>
          <w:iCs/>
        </w:rPr>
        <w:t>E. coli</w:t>
      </w:r>
      <w:r w:rsidR="00534895" w:rsidRPr="00A87850">
        <w:t xml:space="preserve"> load observed within Reach 3 of the Santa Ana River come</w:t>
      </w:r>
      <w:r w:rsidR="00B10A8F">
        <w:t>s</w:t>
      </w:r>
      <w:r w:rsidR="00534895" w:rsidRPr="00A87850">
        <w:t xml:space="preserve"> fro</w:t>
      </w:r>
      <w:r w:rsidR="00C31497">
        <w:t xml:space="preserve">m </w:t>
      </w:r>
      <w:r w:rsidR="00534895" w:rsidRPr="00A87850">
        <w:t xml:space="preserve">in-stream </w:t>
      </w:r>
      <w:r w:rsidR="00C31497">
        <w:t xml:space="preserve">(non-MS4) </w:t>
      </w:r>
      <w:r w:rsidR="00534895" w:rsidRPr="00A87850">
        <w:t>sources in Santa Ana Reach 4</w:t>
      </w:r>
      <w:r w:rsidR="00B10A8F">
        <w:t>.</w:t>
      </w:r>
      <w:r w:rsidR="00F37D14">
        <w:t xml:space="preserve"> </w:t>
      </w:r>
    </w:p>
    <w:p w14:paraId="1090D641" w14:textId="144AB461" w:rsidR="0009197B" w:rsidRDefault="007C7D38" w:rsidP="009B67B6">
      <w:pPr>
        <w:pStyle w:val="BodyText"/>
        <w:numPr>
          <w:ilvl w:val="1"/>
          <w:numId w:val="26"/>
        </w:numPr>
      </w:pPr>
      <w:r>
        <w:t>A summary of findings from a 20</w:t>
      </w:r>
      <w:r w:rsidR="009B67B6">
        <w:t>20-21</w:t>
      </w:r>
      <w:r>
        <w:t xml:space="preserve"> study developed to assess homeless encampment activities and potential impacts to water quality and habitat. </w:t>
      </w:r>
      <w:r w:rsidR="00AD0EF7">
        <w:t xml:space="preserve">(SAWPA 2020b). </w:t>
      </w:r>
    </w:p>
    <w:p w14:paraId="68D4446B" w14:textId="55D4CCE2" w:rsidR="00637889" w:rsidRDefault="00637889" w:rsidP="003B7ED3">
      <w:pPr>
        <w:pStyle w:val="BodyText"/>
      </w:pPr>
      <w:r>
        <w:br w:type="page"/>
      </w:r>
    </w:p>
    <w:p w14:paraId="69C0C7D3" w14:textId="77777777" w:rsidR="00637889" w:rsidRDefault="00637889" w:rsidP="003B7ED3">
      <w:pPr>
        <w:pStyle w:val="BodyText"/>
        <w:sectPr w:rsidR="00637889" w:rsidSect="00DF3266">
          <w:pgSz w:w="12240" w:h="15840" w:code="1"/>
          <w:pgMar w:top="1440" w:right="1440" w:bottom="1440" w:left="1800" w:header="720" w:footer="720" w:gutter="0"/>
          <w:pgNumType w:start="1" w:chapStyle="1"/>
          <w:cols w:space="720"/>
          <w:docGrid w:linePitch="326"/>
        </w:sectPr>
      </w:pPr>
    </w:p>
    <w:p w14:paraId="4D045361" w14:textId="2CD24F80" w:rsidR="001E2C69" w:rsidRDefault="00235F65" w:rsidP="001E2C69">
      <w:pPr>
        <w:pStyle w:val="Heading1"/>
      </w:pPr>
      <w:bookmarkStart w:id="23" w:name="_Hlk14702894"/>
      <w:bookmarkStart w:id="24" w:name="_Toc217410141"/>
      <w:bookmarkEnd w:id="21"/>
      <w:r>
        <w:lastRenderedPageBreak/>
        <w:t>Watershed-wide Monitoring Program</w:t>
      </w:r>
      <w:bookmarkEnd w:id="24"/>
    </w:p>
    <w:p w14:paraId="2911F3A4" w14:textId="54CEC803" w:rsidR="007E5C5F" w:rsidRDefault="00235F65" w:rsidP="00EB79F1">
      <w:pPr>
        <w:pStyle w:val="Heading2"/>
        <w:tabs>
          <w:tab w:val="clear" w:pos="2322"/>
        </w:tabs>
        <w:ind w:left="810"/>
      </w:pPr>
      <w:bookmarkStart w:id="25" w:name="_Toc217410142"/>
      <w:r>
        <w:t>Program Overview</w:t>
      </w:r>
      <w:bookmarkEnd w:id="25"/>
    </w:p>
    <w:p w14:paraId="2E2926D1" w14:textId="26AB6793" w:rsidR="000716E0" w:rsidRDefault="005A0B33" w:rsidP="005A0B33">
      <w:pPr>
        <w:pStyle w:val="BodyText"/>
      </w:pPr>
      <w:r>
        <w:t xml:space="preserve">Task 3 </w:t>
      </w:r>
      <w:r w:rsidR="00D5037B">
        <w:t xml:space="preserve">in the Phase 1 TMDL </w:t>
      </w:r>
      <w:r w:rsidR="002623B0">
        <w:t>I</w:t>
      </w:r>
      <w:r w:rsidR="00D5037B">
        <w:t xml:space="preserve">mplementation </w:t>
      </w:r>
      <w:r w:rsidR="002623B0">
        <w:t>P</w:t>
      </w:r>
      <w:r w:rsidR="00D5037B">
        <w:t xml:space="preserve">lan </w:t>
      </w:r>
      <w:r>
        <w:t xml:space="preserve">required responsible </w:t>
      </w:r>
      <w:r w:rsidR="00D5037B">
        <w:t>entities</w:t>
      </w:r>
      <w:r>
        <w:t xml:space="preserve"> </w:t>
      </w:r>
      <w:r w:rsidR="00D5037B">
        <w:t>with assigned WLAs and LAs</w:t>
      </w:r>
      <w:r>
        <w:t xml:space="preserve"> to submit a proposed watershed-wide monitoring program that</w:t>
      </w:r>
      <w:r w:rsidR="000716E0">
        <w:t>,</w:t>
      </w:r>
      <w:r>
        <w:t xml:space="preserve"> “…will provide data necessary to review and update the TMDLs</w:t>
      </w:r>
      <w:r w:rsidR="000716E0">
        <w:t>,</w:t>
      </w:r>
      <w:r>
        <w:t xml:space="preserve">” and collect and analyze data that “shall address, at a minimum, determination of compliance with the TMDLs, WLAs and LAs.” </w:t>
      </w:r>
      <w:r w:rsidR="000716E0">
        <w:t>(Santa Ana Water Board 2005</w:t>
      </w:r>
      <w:r w:rsidR="00AE7A21">
        <w:t>b</w:t>
      </w:r>
      <w:r w:rsidR="000716E0">
        <w:t xml:space="preserve">). </w:t>
      </w:r>
      <w:r>
        <w:t xml:space="preserve">When developing the monitoring program, the </w:t>
      </w:r>
      <w:r w:rsidR="000716E0">
        <w:t xml:space="preserve">MSAR </w:t>
      </w:r>
      <w:r>
        <w:t>TMDL</w:t>
      </w:r>
      <w:r w:rsidR="007E5EA5">
        <w:t>s</w:t>
      </w:r>
      <w:r>
        <w:t xml:space="preserve"> further state</w:t>
      </w:r>
      <w:r w:rsidR="000716E0">
        <w:t>d</w:t>
      </w:r>
      <w:r>
        <w:t xml:space="preserve"> the following regarding selection of monitoring sites and collection of water quality data: </w:t>
      </w:r>
    </w:p>
    <w:p w14:paraId="4C2C92D3" w14:textId="7DCFF64F" w:rsidR="005A0B33" w:rsidRDefault="005A0B33" w:rsidP="000716E0">
      <w:pPr>
        <w:pStyle w:val="ListParagraph"/>
        <w:spacing w:after="240"/>
      </w:pPr>
      <w:r>
        <w:t xml:space="preserve">“At a minimum, the stations specified in Tables 5-9z and 5-9aa and shown in Figure 5-6, at the frequency specified in Tables 5-9z and 5-9aa, shall be considered for inclusion in the proposed monitoring plan. If one or more of these monitoring stations are not included, the rationale shall be provided and proposed alternative monitoring locations shall be identified in the proposed monitoring </w:t>
      </w:r>
      <w:proofErr w:type="gramStart"/>
      <w:r>
        <w:t>plan.”</w:t>
      </w:r>
      <w:proofErr w:type="gramEnd"/>
      <w:r>
        <w:t xml:space="preserve">  </w:t>
      </w:r>
    </w:p>
    <w:p w14:paraId="65098569" w14:textId="6E0833C1" w:rsidR="005A0B33" w:rsidRDefault="005A0B33" w:rsidP="005A0B33">
      <w:pPr>
        <w:pStyle w:val="BodyText"/>
      </w:pPr>
      <w:r>
        <w:t xml:space="preserve">When </w:t>
      </w:r>
      <w:r w:rsidR="000716E0">
        <w:t xml:space="preserve">the </w:t>
      </w:r>
      <w:r>
        <w:t>MSAR Task Force developed the watershed-wide monitoring program two key factors were used to select watershed sites: (a) sites should be located on waterbodies that are impaired and thus incorporated into the TMDLs; and (b) sites should be located in reaches of the impaired waterbodies where REC1 activity is likely to occur, i.e., there is an increased risk from exposure to pathogens (</w:t>
      </w:r>
      <w:r w:rsidR="000716E0">
        <w:t>SAWPA 2008</w:t>
      </w:r>
      <w:r>
        <w:t xml:space="preserve">). </w:t>
      </w:r>
    </w:p>
    <w:p w14:paraId="2CBFF4A8" w14:textId="77777777" w:rsidR="000716E0" w:rsidRDefault="005A0B33" w:rsidP="005A0B33">
      <w:pPr>
        <w:pStyle w:val="BodyText"/>
      </w:pPr>
      <w:r>
        <w:t xml:space="preserve">Using the impaired waters list, recreational use data that had already been developed by the SAWPA Stormwater Quality Standards Task Force, and recommendations from Santa Ana Water Board staff participating in the </w:t>
      </w:r>
      <w:r w:rsidR="000716E0">
        <w:t xml:space="preserve">MSAR </w:t>
      </w:r>
      <w:r>
        <w:t xml:space="preserve">Task Force, six sites were selected for inclusion in the </w:t>
      </w:r>
      <w:r w:rsidR="000716E0">
        <w:t>initial</w:t>
      </w:r>
      <w:r>
        <w:t xml:space="preserve"> MSAR TMDL watershed-wide monitoring program: </w:t>
      </w:r>
    </w:p>
    <w:p w14:paraId="7DB5389E" w14:textId="3DA6FC1D" w:rsidR="000716E0" w:rsidRDefault="005A0B33" w:rsidP="000716E0">
      <w:pPr>
        <w:pStyle w:val="ListBullet"/>
      </w:pPr>
      <w:r>
        <w:t xml:space="preserve">Icehouse Canyon </w:t>
      </w:r>
      <w:proofErr w:type="gramStart"/>
      <w:r>
        <w:t>Creek;</w:t>
      </w:r>
      <w:proofErr w:type="gramEnd"/>
      <w:r>
        <w:t xml:space="preserve"> </w:t>
      </w:r>
    </w:p>
    <w:p w14:paraId="2F6C6F31" w14:textId="53D58DC7" w:rsidR="000716E0" w:rsidRDefault="005A0B33" w:rsidP="000716E0">
      <w:pPr>
        <w:pStyle w:val="ListBullet"/>
      </w:pPr>
      <w:r>
        <w:t xml:space="preserve">Chino Creek at Central </w:t>
      </w:r>
      <w:proofErr w:type="gramStart"/>
      <w:r>
        <w:t>Avenue;</w:t>
      </w:r>
      <w:proofErr w:type="gramEnd"/>
      <w:r>
        <w:t xml:space="preserve"> </w:t>
      </w:r>
    </w:p>
    <w:p w14:paraId="0B7E3D43" w14:textId="68150074" w:rsidR="000716E0" w:rsidRDefault="005A0B33" w:rsidP="000716E0">
      <w:pPr>
        <w:pStyle w:val="ListBullet"/>
      </w:pPr>
      <w:r>
        <w:t xml:space="preserve">Santa Ana River at Pedley </w:t>
      </w:r>
      <w:proofErr w:type="gramStart"/>
      <w:r>
        <w:t>Avenue;</w:t>
      </w:r>
      <w:proofErr w:type="gramEnd"/>
      <w:r>
        <w:t xml:space="preserve"> </w:t>
      </w:r>
    </w:p>
    <w:p w14:paraId="107B1C64" w14:textId="1D1B7EC0" w:rsidR="000716E0" w:rsidRDefault="005A0B33" w:rsidP="000716E0">
      <w:pPr>
        <w:pStyle w:val="ListBullet"/>
      </w:pPr>
      <w:r>
        <w:t xml:space="preserve">Santa Ana River at MWD </w:t>
      </w:r>
      <w:proofErr w:type="gramStart"/>
      <w:r>
        <w:t>Crossing;</w:t>
      </w:r>
      <w:proofErr w:type="gramEnd"/>
      <w:r>
        <w:t xml:space="preserve"> </w:t>
      </w:r>
    </w:p>
    <w:p w14:paraId="4AAB66EF" w14:textId="16E6F115" w:rsidR="000716E0" w:rsidRDefault="005A0B33" w:rsidP="000716E0">
      <w:pPr>
        <w:pStyle w:val="ListBullet"/>
      </w:pPr>
      <w:r>
        <w:t xml:space="preserve">Prado Park Lake at Lake Outlet; and </w:t>
      </w:r>
    </w:p>
    <w:p w14:paraId="7D43FD25" w14:textId="3D01B28D" w:rsidR="000716E0" w:rsidRDefault="005A0B33" w:rsidP="000716E0">
      <w:pPr>
        <w:pStyle w:val="ListBullet"/>
        <w:spacing w:after="240"/>
      </w:pPr>
      <w:r>
        <w:t xml:space="preserve">Mill Creek at Chino-Corona Road. </w:t>
      </w:r>
    </w:p>
    <w:p w14:paraId="39500867" w14:textId="6047BAF7" w:rsidR="005A0B33" w:rsidRDefault="005A0B33" w:rsidP="005A0B33">
      <w:pPr>
        <w:pStyle w:val="BodyText"/>
      </w:pPr>
      <w:r>
        <w:t xml:space="preserve">All six of these sites were </w:t>
      </w:r>
      <w:proofErr w:type="gramStart"/>
      <w:r>
        <w:t>either already</w:t>
      </w:r>
      <w:proofErr w:type="gramEnd"/>
      <w:r>
        <w:t xml:space="preserve"> recommended </w:t>
      </w:r>
      <w:proofErr w:type="gramStart"/>
      <w:r>
        <w:t>monitoring</w:t>
      </w:r>
      <w:proofErr w:type="gramEnd"/>
      <w:r>
        <w:t xml:space="preserve"> locations in the </w:t>
      </w:r>
      <w:r w:rsidR="000716E0">
        <w:t xml:space="preserve">MSAR </w:t>
      </w:r>
      <w:r>
        <w:t>TMDL</w:t>
      </w:r>
      <w:r w:rsidR="007E5EA5">
        <w:t>s</w:t>
      </w:r>
      <w:r>
        <w:t xml:space="preserve"> or were located very close to recommended sites. As required, the approved Monitoring Plan </w:t>
      </w:r>
      <w:r w:rsidR="00A41285">
        <w:t xml:space="preserve">and supporting Quality Assurance Project Plan (QAPP) </w:t>
      </w:r>
      <w:r>
        <w:t xml:space="preserve">provided the </w:t>
      </w:r>
      <w:r>
        <w:lastRenderedPageBreak/>
        <w:t xml:space="preserve">rationale </w:t>
      </w:r>
      <w:r w:rsidR="000716E0">
        <w:t xml:space="preserve">for </w:t>
      </w:r>
      <w:r>
        <w:t xml:space="preserve">not including other sites recommended for </w:t>
      </w:r>
      <w:r w:rsidRPr="00A86676">
        <w:t xml:space="preserve">consideration </w:t>
      </w:r>
      <w:r w:rsidR="000716E0" w:rsidRPr="00A86676">
        <w:t>by</w:t>
      </w:r>
      <w:r w:rsidRPr="00A86676">
        <w:t xml:space="preserve"> the TMDL</w:t>
      </w:r>
      <w:r w:rsidR="007E5EA5">
        <w:t>s</w:t>
      </w:r>
      <w:r w:rsidRPr="00A86676">
        <w:t xml:space="preserve"> (see Section 2.2</w:t>
      </w:r>
      <w:r w:rsidR="000716E0" w:rsidRPr="00A86676">
        <w:t>, SAWPA 20</w:t>
      </w:r>
      <w:r w:rsidR="0067143A">
        <w:t>22</w:t>
      </w:r>
      <w:r w:rsidR="00EB0745">
        <w:t>a</w:t>
      </w:r>
      <w:r w:rsidRPr="00A86676">
        <w:t>).</w:t>
      </w:r>
      <w:r>
        <w:t xml:space="preserve"> </w:t>
      </w:r>
    </w:p>
    <w:p w14:paraId="4E5F298A" w14:textId="5F67213E" w:rsidR="005A0B33" w:rsidRDefault="005A0B33" w:rsidP="005A0B33">
      <w:pPr>
        <w:pStyle w:val="BodyText"/>
      </w:pPr>
      <w:r>
        <w:t>The Santa Ana Water Board formally approved the watershed-wide monitoring program Monitoring Plan and QAPP in April 2008 (</w:t>
      </w:r>
      <w:r w:rsidR="00BD7901">
        <w:t xml:space="preserve">Santa Ana Water Board 2008; </w:t>
      </w:r>
      <w:r>
        <w:t xml:space="preserve">Resolution </w:t>
      </w:r>
      <w:r w:rsidR="00BD7901">
        <w:t xml:space="preserve">No. </w:t>
      </w:r>
      <w:r>
        <w:t>R8-2008-0044). The</w:t>
      </w:r>
      <w:r w:rsidR="008E4510">
        <w:t xml:space="preserve"> </w:t>
      </w:r>
      <w:r w:rsidR="002101BC">
        <w:t>watershed-wide mo</w:t>
      </w:r>
      <w:r w:rsidR="004D270C">
        <w:t xml:space="preserve">nitoring program’s </w:t>
      </w:r>
      <w:r w:rsidR="008E4510">
        <w:t>Monitoring Plan and QAPP</w:t>
      </w:r>
      <w:r w:rsidR="00D76F4C">
        <w:t xml:space="preserve"> </w:t>
      </w:r>
      <w:r>
        <w:t xml:space="preserve">were routinely updated as the TMDL monitoring program evolved based on knowledge gained during implementation. </w:t>
      </w:r>
      <w:r w:rsidR="00463B28">
        <w:t>With the concurrence of the MSAR Task Force and Santa Ana Water Board, monitoring at Icehouse Canyon Creek was discontinued after the 2008-2009 wet season.</w:t>
      </w:r>
    </w:p>
    <w:p w14:paraId="51D958F4" w14:textId="4415C2EE" w:rsidR="005A0B33" w:rsidRDefault="00A41285" w:rsidP="005A0B33">
      <w:pPr>
        <w:pStyle w:val="BodyText"/>
      </w:pPr>
      <w:r>
        <w:t xml:space="preserve">As noted in Section 1.1, </w:t>
      </w:r>
      <w:r w:rsidR="005A0B33">
        <w:t xml:space="preserve">the Santa Ana Water Board adopted </w:t>
      </w:r>
      <w:r w:rsidR="006624DB">
        <w:t xml:space="preserve">a </w:t>
      </w:r>
      <w:r w:rsidR="005A0B33">
        <w:t xml:space="preserve">Basin Plan amendment to </w:t>
      </w:r>
      <w:r w:rsidR="006624DB">
        <w:t>revise recreation water quality standards</w:t>
      </w:r>
      <w:r w:rsidR="005A0B33">
        <w:t xml:space="preserve"> </w:t>
      </w:r>
      <w:r>
        <w:t>on June 15, 2012 (</w:t>
      </w:r>
      <w:r w:rsidR="00F56046">
        <w:t>Santa Ana Water Board 2012c</w:t>
      </w:r>
      <w:r>
        <w:t>)</w:t>
      </w:r>
      <w:r w:rsidR="005A0B33">
        <w:t>. The B</w:t>
      </w:r>
      <w:r>
        <w:t xml:space="preserve">asin Plan amendment </w:t>
      </w:r>
      <w:r w:rsidR="005A0B33">
        <w:t xml:space="preserve">required establishment of a comprehensive Regional Bacteria Monitoring Program (RBMP) for the Santa Ana Region to support implementation of the revised recreation standards. To facilitate </w:t>
      </w:r>
      <w:r w:rsidR="00EB0745">
        <w:t xml:space="preserve">the </w:t>
      </w:r>
      <w:r w:rsidR="005A0B33">
        <w:t>efficient use of resources</w:t>
      </w:r>
      <w:r w:rsidR="00463B28">
        <w:t xml:space="preserve"> and coordinate data collection in the watershed</w:t>
      </w:r>
      <w:r w:rsidR="005A0B33">
        <w:t xml:space="preserve">, </w:t>
      </w:r>
      <w:r w:rsidR="00463B28">
        <w:t xml:space="preserve">the </w:t>
      </w:r>
      <w:r>
        <w:t>existing</w:t>
      </w:r>
      <w:r w:rsidR="005A0B33">
        <w:t xml:space="preserve"> </w:t>
      </w:r>
      <w:r>
        <w:t xml:space="preserve">MSAR TMDL </w:t>
      </w:r>
      <w:r w:rsidR="005A0B33">
        <w:t>watershed-wide monitoring program</w:t>
      </w:r>
      <w:r w:rsidR="00463B28">
        <w:t xml:space="preserve"> was incorporated into the RBMP</w:t>
      </w:r>
      <w:r>
        <w:t xml:space="preserve">. </w:t>
      </w:r>
      <w:r w:rsidR="005A0B33">
        <w:t xml:space="preserve">The Santa Ana Water Board approved the </w:t>
      </w:r>
      <w:r w:rsidR="00197B9F">
        <w:t xml:space="preserve">original </w:t>
      </w:r>
      <w:r w:rsidR="005A0B33">
        <w:t>RBMP Monitoring Plan and QAPP on March 11, 2016 (</w:t>
      </w:r>
      <w:r w:rsidR="00750C9F">
        <w:t xml:space="preserve">Santa Ana Water Board 2016; </w:t>
      </w:r>
      <w:r w:rsidR="005A0B33">
        <w:t>Resolution No. R8-2016-0022).</w:t>
      </w:r>
      <w:r w:rsidR="002C1FD1">
        <w:t xml:space="preserve"> The Monitoring Plan and QAPP are routinely updated</w:t>
      </w:r>
      <w:r w:rsidR="00EB0745">
        <w:t xml:space="preserve"> with the most recent versions updated in 2022 (</w:t>
      </w:r>
      <w:r w:rsidR="002C1FD1">
        <w:t xml:space="preserve">SAWPA 2022a, </w:t>
      </w:r>
      <w:r w:rsidR="00EB0745">
        <w:t>and 2022</w:t>
      </w:r>
      <w:r w:rsidR="002C1FD1">
        <w:t>b)</w:t>
      </w:r>
      <w:r w:rsidR="00EB0745">
        <w:t>.</w:t>
      </w:r>
    </w:p>
    <w:p w14:paraId="1A367D02" w14:textId="6BADC2DF" w:rsidR="005A0B33" w:rsidRDefault="00A41285" w:rsidP="005A0B33">
      <w:pPr>
        <w:pStyle w:val="BodyText"/>
      </w:pPr>
      <w:r>
        <w:t xml:space="preserve">Prior to the establishment of the RBMP, </w:t>
      </w:r>
      <w:r w:rsidR="005A0B33">
        <w:t>the MSAR Task Force prepared two monitoring reports each year</w:t>
      </w:r>
      <w:r>
        <w:t xml:space="preserve"> as required by the TMDL </w:t>
      </w:r>
      <w:r w:rsidR="002623B0">
        <w:t>I</w:t>
      </w:r>
      <w:r>
        <w:t xml:space="preserve">mplementation </w:t>
      </w:r>
      <w:r w:rsidR="002623B0">
        <w:t>P</w:t>
      </w:r>
      <w:r>
        <w:t>lan (Task 3)</w:t>
      </w:r>
      <w:r w:rsidR="005A0B33">
        <w:t xml:space="preserve">: Dry Season Report (December 31) and Wet Season Report (May 31). </w:t>
      </w:r>
      <w:r>
        <w:t>When the MSAR TMDL monitoring program was incorporated into the RMBP t</w:t>
      </w:r>
      <w:r w:rsidR="005A0B33">
        <w:t xml:space="preserve">his </w:t>
      </w:r>
      <w:r>
        <w:t xml:space="preserve">biannual reporting </w:t>
      </w:r>
      <w:r w:rsidR="005A0B33">
        <w:t xml:space="preserve">requirement was modified into a single annual </w:t>
      </w:r>
      <w:r w:rsidR="002C1FD1">
        <w:t xml:space="preserve">watershed </w:t>
      </w:r>
      <w:r w:rsidR="005A0B33">
        <w:t xml:space="preserve">report </w:t>
      </w:r>
      <w:r>
        <w:t xml:space="preserve">to be </w:t>
      </w:r>
      <w:r w:rsidR="005A0B33">
        <w:t xml:space="preserve">submitted by June 30 each year. The first RBMP annual report was submitted in June 2017 and included water quality monitoring results during the 2016 dry season and 2016-2017 wet season. </w:t>
      </w:r>
      <w:r w:rsidR="002C1FD1">
        <w:t>The most recent annual report (SAWPA 202</w:t>
      </w:r>
      <w:r w:rsidR="0081668A">
        <w:t>5</w:t>
      </w:r>
      <w:r w:rsidR="002C1FD1">
        <w:t>)</w:t>
      </w:r>
      <w:r w:rsidR="00C60CBB">
        <w:t xml:space="preserve">, </w:t>
      </w:r>
      <w:r w:rsidR="002C1FD1">
        <w:t>previous reports</w:t>
      </w:r>
      <w:r w:rsidR="00D32F6C">
        <w:t>,</w:t>
      </w:r>
      <w:r w:rsidR="00C60CBB">
        <w:t xml:space="preserve"> and access to the online data viewer</w:t>
      </w:r>
      <w:r>
        <w:t xml:space="preserve"> are </w:t>
      </w:r>
      <w:r w:rsidR="005A0B33">
        <w:t xml:space="preserve">available </w:t>
      </w:r>
      <w:r w:rsidR="00EB0745">
        <w:t>online at the</w:t>
      </w:r>
      <w:r>
        <w:t xml:space="preserve"> SAWPA</w:t>
      </w:r>
      <w:r w:rsidR="00EB0745">
        <w:t xml:space="preserve"> website</w:t>
      </w:r>
      <w:r w:rsidR="00EB0745">
        <w:rPr>
          <w:rStyle w:val="FootnoteReference"/>
        </w:rPr>
        <w:footnoteReference w:id="10"/>
      </w:r>
      <w:r>
        <w:t>.</w:t>
      </w:r>
    </w:p>
    <w:p w14:paraId="76D0BE91" w14:textId="1652A3E2" w:rsidR="00EB79F1" w:rsidRDefault="00235F65" w:rsidP="00056D57">
      <w:pPr>
        <w:pStyle w:val="Heading2"/>
        <w:tabs>
          <w:tab w:val="clear" w:pos="2322"/>
        </w:tabs>
        <w:ind w:left="810"/>
      </w:pPr>
      <w:bookmarkStart w:id="26" w:name="_Toc217410143"/>
      <w:r w:rsidRPr="00235F65">
        <w:t xml:space="preserve">Water Quality </w:t>
      </w:r>
      <w:r w:rsidR="00C60CBB">
        <w:t>Monitoring Program</w:t>
      </w:r>
      <w:bookmarkEnd w:id="26"/>
    </w:p>
    <w:p w14:paraId="7B65D71C" w14:textId="030EFC70" w:rsidR="00C91967" w:rsidRPr="00C91967" w:rsidRDefault="00C91967" w:rsidP="00C91967">
      <w:pPr>
        <w:pStyle w:val="BodyText"/>
      </w:pPr>
      <w:r w:rsidRPr="007F63A5">
        <w:t xml:space="preserve">Sampling </w:t>
      </w:r>
      <w:r w:rsidR="00922EA8" w:rsidRPr="007F63A5">
        <w:t>began at the</w:t>
      </w:r>
      <w:r w:rsidRPr="007F63A5">
        <w:t xml:space="preserve"> TMDL watershed-wide monitoring sites </w:t>
      </w:r>
      <w:r w:rsidR="00922EA8" w:rsidRPr="007F63A5">
        <w:t xml:space="preserve">in fall 2007. </w:t>
      </w:r>
      <w:r w:rsidR="00AC0FC2">
        <w:t xml:space="preserve">This section provides an overview of the current program and focuses on the past three years </w:t>
      </w:r>
      <w:r w:rsidR="00AC0FC2" w:rsidRPr="00D76F4C">
        <w:t xml:space="preserve">of data (2020-2022), especially data collected under dry weather conditions. </w:t>
      </w:r>
      <w:r w:rsidR="00922EA8" w:rsidRPr="00D76F4C">
        <w:t>Previous dat</w:t>
      </w:r>
      <w:r w:rsidR="00922EA8">
        <w:t xml:space="preserve">a may </w:t>
      </w:r>
      <w:r w:rsidR="007F63A5">
        <w:t xml:space="preserve">be </w:t>
      </w:r>
      <w:r w:rsidR="00922EA8">
        <w:t>reviewed at the monitoring program’s data dashboard:</w:t>
      </w:r>
      <w:r w:rsidR="00007FE2">
        <w:t xml:space="preserve"> </w:t>
      </w:r>
      <w:hyperlink r:id="rId19" w:history="1">
        <w:r w:rsidR="00007FE2" w:rsidRPr="002728AD">
          <w:rPr>
            <w:rStyle w:val="Hyperlink"/>
          </w:rPr>
          <w:t>https://sarwqmdashboard.org/</w:t>
        </w:r>
      </w:hyperlink>
      <w:r w:rsidR="00922EA8">
        <w:t xml:space="preserve">. </w:t>
      </w:r>
    </w:p>
    <w:p w14:paraId="15853CFC" w14:textId="47988E7F" w:rsidR="00D73F70" w:rsidRPr="000A740B" w:rsidRDefault="00D73F70" w:rsidP="00DF6FF3">
      <w:pPr>
        <w:pStyle w:val="Heading3"/>
      </w:pPr>
      <w:bookmarkStart w:id="27" w:name="_Toc217410144"/>
      <w:r w:rsidRPr="000A740B">
        <w:lastRenderedPageBreak/>
        <w:t>Watershed</w:t>
      </w:r>
      <w:r w:rsidRPr="000A740B">
        <w:rPr>
          <w:rFonts w:ascii="Cambria Math" w:hAnsi="Cambria Math" w:cs="Cambria Math"/>
        </w:rPr>
        <w:t>‐</w:t>
      </w:r>
      <w:r w:rsidRPr="000A740B">
        <w:t>wide Compliance Monitoring Sites</w:t>
      </w:r>
      <w:bookmarkEnd w:id="27"/>
    </w:p>
    <w:p w14:paraId="0BA4A926" w14:textId="05092943" w:rsidR="00C91967" w:rsidRDefault="00922EA8" w:rsidP="00DF6FF3">
      <w:pPr>
        <w:pStyle w:val="BodyText"/>
      </w:pPr>
      <w:r>
        <w:t xml:space="preserve">Since 2007, sample collection has occurred </w:t>
      </w:r>
      <w:r w:rsidR="00C60CBB">
        <w:t xml:space="preserve">at the following five locations: </w:t>
      </w:r>
      <w:r w:rsidR="00C60CBB" w:rsidRPr="00367A53">
        <w:t>Chino Creek at Central Avenue</w:t>
      </w:r>
      <w:r w:rsidR="00C91967">
        <w:t xml:space="preserve"> (WW-C7),</w:t>
      </w:r>
      <w:r w:rsidR="00C60CBB" w:rsidRPr="00367A53">
        <w:t xml:space="preserve"> Mill-Cucamonga Creek</w:t>
      </w:r>
      <w:r w:rsidR="00C91967">
        <w:t xml:space="preserve"> (WW-M6)</w:t>
      </w:r>
      <w:r w:rsidR="00C60CBB" w:rsidRPr="00367A53">
        <w:t>, Santa Ana River at MWD Crossing</w:t>
      </w:r>
      <w:r w:rsidR="00C91967">
        <w:t xml:space="preserve"> (WW-S1)</w:t>
      </w:r>
      <w:r w:rsidR="00C60CBB" w:rsidRPr="00367A53">
        <w:t>, Santa Ana River at Pedley Avenue</w:t>
      </w:r>
      <w:r w:rsidR="00C91967">
        <w:t xml:space="preserve"> (WW-S4)</w:t>
      </w:r>
      <w:r w:rsidR="00C60CBB" w:rsidRPr="00367A53">
        <w:t xml:space="preserve"> and Prado Park Lake</w:t>
      </w:r>
      <w:r w:rsidR="00C91967">
        <w:t xml:space="preserve"> (WW-C</w:t>
      </w:r>
      <w:r w:rsidR="00AC0FC2">
        <w:t>3</w:t>
      </w:r>
      <w:r w:rsidR="00C91967">
        <w:t>)</w:t>
      </w:r>
      <w:r w:rsidR="00C60CBB" w:rsidRPr="00367A53">
        <w:t xml:space="preserve"> </w:t>
      </w:r>
      <w:r w:rsidR="00C60CBB">
        <w:t>(</w:t>
      </w:r>
      <w:r w:rsidR="00C60CBB" w:rsidRPr="00C60CBB">
        <w:rPr>
          <w:b/>
          <w:bCs/>
        </w:rPr>
        <w:t>Figure 2-1</w:t>
      </w:r>
      <w:r w:rsidR="00C60CBB">
        <w:t>)</w:t>
      </w:r>
      <w:r w:rsidR="00C60CBB" w:rsidRPr="00367A53">
        <w:t xml:space="preserve">. </w:t>
      </w:r>
      <w:r w:rsidR="00C91967">
        <w:t>The MSAR Task Force added t</w:t>
      </w:r>
      <w:r w:rsidR="00D73F70" w:rsidRPr="00367A53">
        <w:t xml:space="preserve">he WW-MISSION </w:t>
      </w:r>
      <w:r w:rsidR="00C91967">
        <w:t xml:space="preserve">monitoring site </w:t>
      </w:r>
      <w:r w:rsidR="00D73F70" w:rsidRPr="00367A53">
        <w:t xml:space="preserve">in 2020 to </w:t>
      </w:r>
      <w:r w:rsidR="00C91967">
        <w:t xml:space="preserve">characterize bacterial indicators flowing from Santa Ana River Reach 4 into Reach 3 </w:t>
      </w:r>
      <w:r w:rsidR="00D73F70">
        <w:t xml:space="preserve">during </w:t>
      </w:r>
      <w:r w:rsidR="00D73F70" w:rsidRPr="00367A53">
        <w:t xml:space="preserve">dry weather </w:t>
      </w:r>
      <w:r w:rsidR="00C91967">
        <w:t xml:space="preserve">conditions. The Task Force recognized the need for additional data collection based on findings from the </w:t>
      </w:r>
      <w:r w:rsidR="00D73F70">
        <w:t xml:space="preserve">2019 Synoptic Study </w:t>
      </w:r>
      <w:r w:rsidR="00C91967">
        <w:t xml:space="preserve">that </w:t>
      </w:r>
      <w:r w:rsidR="00D73F70" w:rsidRPr="00367A53">
        <w:t>found</w:t>
      </w:r>
      <w:r w:rsidR="00C91967">
        <w:t xml:space="preserve"> that (a)</w:t>
      </w:r>
      <w:r w:rsidR="00D73F70" w:rsidRPr="00367A53">
        <w:t xml:space="preserve"> </w:t>
      </w:r>
      <w:r w:rsidR="00C91967">
        <w:t xml:space="preserve">the </w:t>
      </w:r>
      <w:r w:rsidR="00586975">
        <w:t>DWF</w:t>
      </w:r>
      <w:r w:rsidR="00C91967">
        <w:t xml:space="preserve"> at the WW-MISSION</w:t>
      </w:r>
      <w:r w:rsidR="00D73F70" w:rsidRPr="00367A53">
        <w:t xml:space="preserve"> site</w:t>
      </w:r>
      <w:r w:rsidR="00C91967">
        <w:t xml:space="preserve"> does not include any flow from an </w:t>
      </w:r>
      <w:r w:rsidR="00D73F70" w:rsidRPr="00367A53">
        <w:t>MS4</w:t>
      </w:r>
      <w:r w:rsidR="00C91967">
        <w:t>; and (b) the m</w:t>
      </w:r>
      <w:r w:rsidR="00D73F70">
        <w:t xml:space="preserve">ajority of </w:t>
      </w:r>
      <w:r w:rsidR="00D73F70" w:rsidRPr="00305924">
        <w:rPr>
          <w:i/>
          <w:iCs/>
        </w:rPr>
        <w:t>E. coli</w:t>
      </w:r>
      <w:r w:rsidR="00D73F70">
        <w:t xml:space="preserve"> load </w:t>
      </w:r>
      <w:r w:rsidR="00C91967">
        <w:t>observed in Santa Ana River</w:t>
      </w:r>
      <w:r w:rsidR="00D73F70">
        <w:t xml:space="preserve"> Reach 3 </w:t>
      </w:r>
      <w:r w:rsidR="00C91967">
        <w:t>results</w:t>
      </w:r>
      <w:r w:rsidR="00D73F70">
        <w:t xml:space="preserve"> </w:t>
      </w:r>
      <w:r w:rsidR="00C91967">
        <w:t xml:space="preserve">from </w:t>
      </w:r>
      <w:r w:rsidR="00D73F70" w:rsidRPr="00367A53">
        <w:t>in</w:t>
      </w:r>
      <w:r w:rsidR="00D73F70" w:rsidRPr="00C91967">
        <w:t>-stream bacteria sources (SAWPA 202</w:t>
      </w:r>
      <w:r w:rsidR="00F073E7">
        <w:t>3</w:t>
      </w:r>
      <w:r w:rsidR="00D73F70" w:rsidRPr="00C91967">
        <w:t xml:space="preserve">). </w:t>
      </w:r>
      <w:r w:rsidR="00EB0745">
        <w:t xml:space="preserve">The original five monitoring locations and the additional monitoring location added in 2020 are presented in </w:t>
      </w:r>
      <w:r w:rsidR="00EB0745" w:rsidRPr="00A00713">
        <w:rPr>
          <w:b/>
          <w:bCs/>
        </w:rPr>
        <w:t>Table 2-1</w:t>
      </w:r>
      <w:r w:rsidR="00EB0745">
        <w:rPr>
          <w:b/>
          <w:bCs/>
        </w:rPr>
        <w:t xml:space="preserve">. </w:t>
      </w:r>
      <w:r w:rsidR="00EB0745" w:rsidRPr="00056D57">
        <w:t>The</w:t>
      </w:r>
      <w:r w:rsidR="00326A8C">
        <w:t xml:space="preserve"> RBMP </w:t>
      </w:r>
      <w:r w:rsidR="00EB0745" w:rsidRPr="00056D57">
        <w:t>Monitoring Plan</w:t>
      </w:r>
      <w:r w:rsidR="00326A8C">
        <w:rPr>
          <w:b/>
          <w:bCs/>
        </w:rPr>
        <w:t xml:space="preserve"> </w:t>
      </w:r>
      <w:r w:rsidR="00D73F70" w:rsidRPr="00367A53">
        <w:t xml:space="preserve">provides </w:t>
      </w:r>
      <w:r w:rsidR="00D73F70" w:rsidRPr="00C91967">
        <w:t xml:space="preserve">additional information about each </w:t>
      </w:r>
      <w:r w:rsidR="00C91967" w:rsidRPr="00C91967">
        <w:t>of these monitoring locations</w:t>
      </w:r>
      <w:r w:rsidR="00326A8C">
        <w:t xml:space="preserve"> (SAWPA 2022a, Attachment A)</w:t>
      </w:r>
    </w:p>
    <w:tbl>
      <w:tblPr>
        <w:tblpPr w:leftFromText="180" w:rightFromText="180" w:vertAnchor="text" w:tblpY="58"/>
        <w:tblW w:w="9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250"/>
        <w:gridCol w:w="1702"/>
        <w:gridCol w:w="1268"/>
        <w:gridCol w:w="1224"/>
        <w:gridCol w:w="1279"/>
      </w:tblGrid>
      <w:tr w:rsidR="00DF6FF3" w:rsidRPr="00787A27" w14:paraId="243A8A8B" w14:textId="77777777" w:rsidTr="00262350">
        <w:trPr>
          <w:trHeight w:val="332"/>
          <w:tblHeader/>
        </w:trPr>
        <w:tc>
          <w:tcPr>
            <w:tcW w:w="9136" w:type="dxa"/>
            <w:gridSpan w:val="6"/>
            <w:tcBorders>
              <w:top w:val="nil"/>
              <w:left w:val="nil"/>
              <w:bottom w:val="single" w:sz="4" w:space="0" w:color="auto"/>
              <w:right w:val="nil"/>
            </w:tcBorders>
            <w:vAlign w:val="center"/>
          </w:tcPr>
          <w:p w14:paraId="57D1BC88" w14:textId="5B9137D8" w:rsidR="00DF6FF3" w:rsidRPr="00787A27" w:rsidRDefault="00262350" w:rsidP="00262350">
            <w:pPr>
              <w:pStyle w:val="Caption"/>
              <w:keepNext/>
            </w:pPr>
            <w:bookmarkStart w:id="28" w:name="_Toc512587111"/>
            <w:bookmarkStart w:id="29" w:name="_Toc40695453"/>
            <w:bookmarkStart w:id="30" w:name="_Toc217391753"/>
            <w:r>
              <w:t xml:space="preserve">Table </w:t>
            </w:r>
            <w:r w:rsidR="00FE614C">
              <w:fldChar w:fldCharType="begin"/>
            </w:r>
            <w:r w:rsidR="00FE614C">
              <w:instrText xml:space="preserve"> STYLEREF 1 \s </w:instrText>
            </w:r>
            <w:r w:rsidR="00FE614C">
              <w:fldChar w:fldCharType="separate"/>
            </w:r>
            <w:r w:rsidR="00FE614C">
              <w:rPr>
                <w:noProof/>
              </w:rPr>
              <w:t>2</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w:t>
            </w:r>
            <w:r w:rsidR="00FE614C">
              <w:fldChar w:fldCharType="end"/>
            </w:r>
            <w:r>
              <w:t xml:space="preserve">. </w:t>
            </w:r>
            <w:r w:rsidR="00F63012">
              <w:t>MSAR TMDL</w:t>
            </w:r>
            <w:r w:rsidR="007E5EA5">
              <w:t>s</w:t>
            </w:r>
            <w:r w:rsidR="00F63012">
              <w:t xml:space="preserve"> Watershed-wide</w:t>
            </w:r>
            <w:r w:rsidR="00DF6FF3" w:rsidRPr="00787A27">
              <w:t xml:space="preserve"> Monitoring Sites</w:t>
            </w:r>
            <w:bookmarkEnd w:id="28"/>
            <w:bookmarkEnd w:id="29"/>
            <w:bookmarkEnd w:id="30"/>
          </w:p>
        </w:tc>
      </w:tr>
      <w:tr w:rsidR="00DF6FF3" w:rsidRPr="00787A27" w14:paraId="064C4690" w14:textId="77777777" w:rsidTr="00262350">
        <w:trPr>
          <w:trHeight w:val="432"/>
          <w:tblHeader/>
        </w:trPr>
        <w:tc>
          <w:tcPr>
            <w:tcW w:w="141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E1C7DE" w14:textId="77777777" w:rsidR="00DF6FF3" w:rsidRPr="002714B2" w:rsidRDefault="00DF6FF3" w:rsidP="00262350">
            <w:pPr>
              <w:pStyle w:val="Caption"/>
              <w:keepNext/>
              <w:jc w:val="center"/>
              <w:rPr>
                <w:rFonts w:ascii="Arial" w:hAnsi="Arial" w:cs="Arial"/>
                <w:sz w:val="18"/>
              </w:rPr>
            </w:pPr>
            <w:r w:rsidRPr="002714B2">
              <w:rPr>
                <w:rFonts w:ascii="Arial" w:hAnsi="Arial" w:cs="Arial"/>
                <w:sz w:val="18"/>
              </w:rPr>
              <w:t>Site ID</w:t>
            </w:r>
          </w:p>
        </w:tc>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BD7388" w14:textId="77777777" w:rsidR="00DF6FF3" w:rsidRPr="002714B2" w:rsidRDefault="00DF6FF3" w:rsidP="00262350">
            <w:pPr>
              <w:pStyle w:val="Caption"/>
              <w:keepNext/>
              <w:jc w:val="center"/>
              <w:rPr>
                <w:rFonts w:ascii="Arial" w:hAnsi="Arial" w:cs="Arial"/>
                <w:sz w:val="18"/>
              </w:rPr>
            </w:pPr>
            <w:r w:rsidRPr="002714B2">
              <w:rPr>
                <w:rFonts w:ascii="Arial" w:hAnsi="Arial" w:cs="Arial"/>
                <w:sz w:val="18"/>
              </w:rPr>
              <w:t>Site Description</w:t>
            </w:r>
          </w:p>
        </w:tc>
        <w:tc>
          <w:tcPr>
            <w:tcW w:w="17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05E0D4" w14:textId="77777777" w:rsidR="00DF6FF3" w:rsidRPr="002714B2" w:rsidRDefault="00DF6FF3" w:rsidP="00262350">
            <w:pPr>
              <w:pStyle w:val="Caption"/>
              <w:keepNext/>
              <w:jc w:val="center"/>
              <w:rPr>
                <w:rFonts w:ascii="Arial" w:hAnsi="Arial" w:cs="Arial"/>
                <w:sz w:val="18"/>
              </w:rPr>
            </w:pPr>
            <w:r w:rsidRPr="002714B2">
              <w:rPr>
                <w:rFonts w:ascii="Arial" w:hAnsi="Arial" w:cs="Arial"/>
                <w:sz w:val="18"/>
              </w:rPr>
              <w:t>Type</w:t>
            </w:r>
          </w:p>
        </w:tc>
        <w:tc>
          <w:tcPr>
            <w:tcW w:w="1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8EF63D" w14:textId="77777777" w:rsidR="00DF6FF3" w:rsidRPr="002714B2" w:rsidRDefault="00DF6FF3" w:rsidP="00262350">
            <w:pPr>
              <w:spacing w:before="40" w:after="40" w:line="216" w:lineRule="auto"/>
              <w:jc w:val="center"/>
              <w:rPr>
                <w:rFonts w:ascii="Arial" w:hAnsi="Arial" w:cs="Arial"/>
                <w:b/>
                <w:sz w:val="18"/>
                <w:szCs w:val="18"/>
              </w:rPr>
            </w:pPr>
            <w:r w:rsidRPr="002714B2">
              <w:rPr>
                <w:rFonts w:ascii="Arial" w:hAnsi="Arial" w:cs="Arial"/>
                <w:b/>
                <w:sz w:val="18"/>
                <w:szCs w:val="18"/>
              </w:rPr>
              <w:t>County</w:t>
            </w:r>
          </w:p>
        </w:tc>
        <w:tc>
          <w:tcPr>
            <w:tcW w:w="12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89581B" w14:textId="77777777" w:rsidR="00DF6FF3" w:rsidRPr="002714B2" w:rsidRDefault="00DF6FF3" w:rsidP="00262350">
            <w:pPr>
              <w:spacing w:before="40" w:after="40" w:line="216" w:lineRule="auto"/>
              <w:jc w:val="center"/>
              <w:rPr>
                <w:rFonts w:ascii="Arial" w:hAnsi="Arial" w:cs="Arial"/>
                <w:b/>
                <w:sz w:val="18"/>
                <w:szCs w:val="18"/>
              </w:rPr>
            </w:pPr>
            <w:r w:rsidRPr="002714B2">
              <w:rPr>
                <w:rFonts w:ascii="Arial" w:hAnsi="Arial" w:cs="Arial"/>
                <w:b/>
                <w:sz w:val="18"/>
                <w:szCs w:val="18"/>
              </w:rPr>
              <w:t>Latitude</w:t>
            </w:r>
          </w:p>
        </w:tc>
        <w:tc>
          <w:tcPr>
            <w:tcW w:w="127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5C465" w14:textId="77777777" w:rsidR="00DF6FF3" w:rsidRPr="002714B2" w:rsidRDefault="00DF6FF3" w:rsidP="00262350">
            <w:pPr>
              <w:spacing w:before="40" w:after="40" w:line="216" w:lineRule="auto"/>
              <w:jc w:val="center"/>
              <w:rPr>
                <w:rFonts w:ascii="Arial" w:hAnsi="Arial" w:cs="Arial"/>
                <w:b/>
                <w:sz w:val="18"/>
                <w:szCs w:val="18"/>
              </w:rPr>
            </w:pPr>
            <w:r w:rsidRPr="002714B2">
              <w:rPr>
                <w:rFonts w:ascii="Arial" w:hAnsi="Arial" w:cs="Arial"/>
                <w:b/>
                <w:sz w:val="18"/>
                <w:szCs w:val="18"/>
              </w:rPr>
              <w:t>Longitude</w:t>
            </w:r>
          </w:p>
        </w:tc>
      </w:tr>
      <w:tr w:rsidR="00DF6FF3" w:rsidRPr="00787A27" w14:paraId="212AB7F5" w14:textId="77777777" w:rsidTr="00262350">
        <w:trPr>
          <w:trHeight w:val="432"/>
        </w:trPr>
        <w:tc>
          <w:tcPr>
            <w:tcW w:w="1413" w:type="dxa"/>
            <w:tcBorders>
              <w:top w:val="single" w:sz="4" w:space="0" w:color="auto"/>
            </w:tcBorders>
            <w:vAlign w:val="center"/>
          </w:tcPr>
          <w:p w14:paraId="373BBD0F"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WW-M6</w:t>
            </w:r>
          </w:p>
        </w:tc>
        <w:tc>
          <w:tcPr>
            <w:tcW w:w="2250" w:type="dxa"/>
            <w:tcBorders>
              <w:top w:val="single" w:sz="4" w:space="0" w:color="auto"/>
            </w:tcBorders>
            <w:vAlign w:val="center"/>
          </w:tcPr>
          <w:p w14:paraId="09D0AB84" w14:textId="77777777" w:rsidR="00DF6FF3" w:rsidRPr="002714B2" w:rsidRDefault="00DF6FF3" w:rsidP="00DF6FF3">
            <w:pPr>
              <w:spacing w:before="40" w:after="40" w:line="216" w:lineRule="auto"/>
              <w:rPr>
                <w:rFonts w:ascii="Arial" w:hAnsi="Arial" w:cs="Arial"/>
                <w:bCs/>
                <w:sz w:val="18"/>
                <w:szCs w:val="18"/>
              </w:rPr>
            </w:pPr>
            <w:r w:rsidRPr="002714B2">
              <w:rPr>
                <w:rFonts w:ascii="Arial" w:hAnsi="Arial" w:cs="Arial"/>
                <w:bCs/>
                <w:sz w:val="18"/>
                <w:szCs w:val="18"/>
              </w:rPr>
              <w:t>Mill-Cucamonga Creek below Wetlands</w:t>
            </w:r>
          </w:p>
        </w:tc>
        <w:tc>
          <w:tcPr>
            <w:tcW w:w="1702" w:type="dxa"/>
            <w:tcBorders>
              <w:top w:val="single" w:sz="4" w:space="0" w:color="auto"/>
            </w:tcBorders>
            <w:vAlign w:val="center"/>
          </w:tcPr>
          <w:p w14:paraId="255089DF"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Compliance</w:t>
            </w:r>
          </w:p>
        </w:tc>
        <w:tc>
          <w:tcPr>
            <w:tcW w:w="1268" w:type="dxa"/>
            <w:tcBorders>
              <w:top w:val="single" w:sz="4" w:space="0" w:color="auto"/>
            </w:tcBorders>
            <w:vAlign w:val="center"/>
          </w:tcPr>
          <w:p w14:paraId="1DC5FC37"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San Bernardino</w:t>
            </w:r>
          </w:p>
        </w:tc>
        <w:tc>
          <w:tcPr>
            <w:tcW w:w="1224" w:type="dxa"/>
            <w:tcBorders>
              <w:top w:val="single" w:sz="4" w:space="0" w:color="auto"/>
            </w:tcBorders>
            <w:vAlign w:val="center"/>
          </w:tcPr>
          <w:p w14:paraId="4F699967"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33.9268</w:t>
            </w:r>
          </w:p>
        </w:tc>
        <w:tc>
          <w:tcPr>
            <w:tcW w:w="1279" w:type="dxa"/>
            <w:tcBorders>
              <w:top w:val="single" w:sz="4" w:space="0" w:color="auto"/>
            </w:tcBorders>
            <w:vAlign w:val="center"/>
          </w:tcPr>
          <w:p w14:paraId="212EF2F0"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-117.6250</w:t>
            </w:r>
          </w:p>
        </w:tc>
      </w:tr>
      <w:tr w:rsidR="00DF6FF3" w:rsidRPr="00787A27" w14:paraId="62724C55" w14:textId="77777777" w:rsidTr="00DF6FF3">
        <w:trPr>
          <w:trHeight w:val="432"/>
        </w:trPr>
        <w:tc>
          <w:tcPr>
            <w:tcW w:w="1413" w:type="dxa"/>
            <w:vAlign w:val="center"/>
          </w:tcPr>
          <w:p w14:paraId="7EDFF283"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WW-C7</w:t>
            </w:r>
          </w:p>
        </w:tc>
        <w:tc>
          <w:tcPr>
            <w:tcW w:w="2250" w:type="dxa"/>
            <w:vAlign w:val="center"/>
          </w:tcPr>
          <w:p w14:paraId="70679ADA" w14:textId="77777777" w:rsidR="00DF6FF3" w:rsidRPr="002714B2" w:rsidRDefault="00DF6FF3" w:rsidP="00DF6FF3">
            <w:pPr>
              <w:spacing w:before="40" w:after="40" w:line="216" w:lineRule="auto"/>
              <w:rPr>
                <w:rFonts w:ascii="Arial" w:hAnsi="Arial" w:cs="Arial"/>
                <w:bCs/>
                <w:sz w:val="18"/>
                <w:szCs w:val="18"/>
              </w:rPr>
            </w:pPr>
            <w:r w:rsidRPr="002714B2">
              <w:rPr>
                <w:rFonts w:ascii="Arial" w:hAnsi="Arial" w:cs="Arial"/>
                <w:bCs/>
                <w:sz w:val="18"/>
                <w:szCs w:val="18"/>
              </w:rPr>
              <w:t>Chino Creek at Central Avenue</w:t>
            </w:r>
          </w:p>
        </w:tc>
        <w:tc>
          <w:tcPr>
            <w:tcW w:w="1702" w:type="dxa"/>
            <w:vAlign w:val="center"/>
          </w:tcPr>
          <w:p w14:paraId="51AC826C"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Compliance</w:t>
            </w:r>
          </w:p>
        </w:tc>
        <w:tc>
          <w:tcPr>
            <w:tcW w:w="1268" w:type="dxa"/>
            <w:vAlign w:val="center"/>
          </w:tcPr>
          <w:p w14:paraId="6214525B"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San Bernardino</w:t>
            </w:r>
          </w:p>
        </w:tc>
        <w:tc>
          <w:tcPr>
            <w:tcW w:w="1224" w:type="dxa"/>
            <w:vAlign w:val="center"/>
          </w:tcPr>
          <w:p w14:paraId="40A86731"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33.9737</w:t>
            </w:r>
          </w:p>
        </w:tc>
        <w:tc>
          <w:tcPr>
            <w:tcW w:w="1279" w:type="dxa"/>
            <w:vAlign w:val="center"/>
          </w:tcPr>
          <w:p w14:paraId="178B9F7D"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-117.6889</w:t>
            </w:r>
          </w:p>
        </w:tc>
      </w:tr>
      <w:tr w:rsidR="00DF6FF3" w:rsidRPr="00787A27" w14:paraId="77D0C3E1" w14:textId="77777777" w:rsidTr="00DF6FF3">
        <w:trPr>
          <w:trHeight w:val="432"/>
        </w:trPr>
        <w:tc>
          <w:tcPr>
            <w:tcW w:w="1413" w:type="dxa"/>
            <w:vAlign w:val="center"/>
          </w:tcPr>
          <w:p w14:paraId="55E7557C"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WW-C3</w:t>
            </w:r>
          </w:p>
        </w:tc>
        <w:tc>
          <w:tcPr>
            <w:tcW w:w="2250" w:type="dxa"/>
            <w:vAlign w:val="center"/>
          </w:tcPr>
          <w:p w14:paraId="26C75283" w14:textId="77777777" w:rsidR="00DF6FF3" w:rsidRPr="002714B2" w:rsidRDefault="00DF6FF3" w:rsidP="00DF6FF3">
            <w:pPr>
              <w:spacing w:before="40" w:after="40" w:line="216" w:lineRule="auto"/>
              <w:rPr>
                <w:rFonts w:ascii="Arial" w:hAnsi="Arial" w:cs="Arial"/>
                <w:bCs/>
                <w:sz w:val="18"/>
                <w:szCs w:val="18"/>
              </w:rPr>
            </w:pPr>
            <w:r w:rsidRPr="002714B2">
              <w:rPr>
                <w:rFonts w:ascii="Arial" w:hAnsi="Arial" w:cs="Arial"/>
                <w:bCs/>
                <w:sz w:val="18"/>
                <w:szCs w:val="18"/>
              </w:rPr>
              <w:t>Prado Park Lake</w:t>
            </w:r>
          </w:p>
        </w:tc>
        <w:tc>
          <w:tcPr>
            <w:tcW w:w="1702" w:type="dxa"/>
            <w:vAlign w:val="center"/>
          </w:tcPr>
          <w:p w14:paraId="47B5249C"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Compliance</w:t>
            </w:r>
          </w:p>
        </w:tc>
        <w:tc>
          <w:tcPr>
            <w:tcW w:w="1268" w:type="dxa"/>
            <w:vAlign w:val="center"/>
          </w:tcPr>
          <w:p w14:paraId="0B4A5748" w14:textId="77777777" w:rsidR="00DF6FF3" w:rsidRPr="002714B2" w:rsidRDefault="00DF6FF3" w:rsidP="00A41B16">
            <w:pPr>
              <w:spacing w:before="40" w:after="40" w:line="216" w:lineRule="auto"/>
              <w:jc w:val="center"/>
              <w:rPr>
                <w:rFonts w:ascii="Arial" w:hAnsi="Arial" w:cs="Arial"/>
                <w:bCs/>
                <w:sz w:val="18"/>
                <w:szCs w:val="18"/>
              </w:rPr>
            </w:pPr>
            <w:r w:rsidRPr="002714B2">
              <w:rPr>
                <w:rFonts w:ascii="Arial" w:hAnsi="Arial" w:cs="Arial"/>
                <w:bCs/>
                <w:sz w:val="18"/>
                <w:szCs w:val="18"/>
              </w:rPr>
              <w:t>San Bernardino</w:t>
            </w:r>
          </w:p>
        </w:tc>
        <w:tc>
          <w:tcPr>
            <w:tcW w:w="1224" w:type="dxa"/>
            <w:vAlign w:val="center"/>
          </w:tcPr>
          <w:p w14:paraId="3E031A22"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33.9400</w:t>
            </w:r>
          </w:p>
        </w:tc>
        <w:tc>
          <w:tcPr>
            <w:tcW w:w="1279" w:type="dxa"/>
            <w:vAlign w:val="center"/>
          </w:tcPr>
          <w:p w14:paraId="180E4DF1"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-117.6473</w:t>
            </w:r>
          </w:p>
        </w:tc>
      </w:tr>
      <w:tr w:rsidR="00DF6FF3" w:rsidRPr="00787A27" w14:paraId="33E38549" w14:textId="77777777" w:rsidTr="00DF6FF3">
        <w:trPr>
          <w:trHeight w:val="432"/>
        </w:trPr>
        <w:tc>
          <w:tcPr>
            <w:tcW w:w="1413" w:type="dxa"/>
            <w:vAlign w:val="center"/>
          </w:tcPr>
          <w:p w14:paraId="1EF78AD2"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WW-S1</w:t>
            </w:r>
          </w:p>
        </w:tc>
        <w:tc>
          <w:tcPr>
            <w:tcW w:w="2250" w:type="dxa"/>
            <w:vAlign w:val="center"/>
          </w:tcPr>
          <w:p w14:paraId="19956C57" w14:textId="77777777" w:rsidR="00DF6FF3" w:rsidRPr="002714B2" w:rsidRDefault="00DF6FF3" w:rsidP="00DF6FF3">
            <w:pPr>
              <w:spacing w:before="40" w:after="40" w:line="216" w:lineRule="auto"/>
              <w:rPr>
                <w:rFonts w:ascii="Arial" w:hAnsi="Arial" w:cs="Arial"/>
                <w:bCs/>
                <w:sz w:val="18"/>
                <w:szCs w:val="18"/>
              </w:rPr>
            </w:pPr>
            <w:r w:rsidRPr="002714B2">
              <w:rPr>
                <w:rFonts w:ascii="Arial" w:hAnsi="Arial" w:cs="Arial"/>
                <w:bCs/>
                <w:sz w:val="18"/>
                <w:szCs w:val="18"/>
              </w:rPr>
              <w:t>Santa Ana River Reach 3 at MWD Crossing</w:t>
            </w:r>
          </w:p>
        </w:tc>
        <w:tc>
          <w:tcPr>
            <w:tcW w:w="1702" w:type="dxa"/>
            <w:vAlign w:val="center"/>
          </w:tcPr>
          <w:p w14:paraId="1469F51D"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Compliance</w:t>
            </w:r>
          </w:p>
        </w:tc>
        <w:tc>
          <w:tcPr>
            <w:tcW w:w="1268" w:type="dxa"/>
            <w:vAlign w:val="center"/>
          </w:tcPr>
          <w:p w14:paraId="3FED1328"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Riverside</w:t>
            </w:r>
          </w:p>
        </w:tc>
        <w:tc>
          <w:tcPr>
            <w:tcW w:w="1224" w:type="dxa"/>
            <w:vAlign w:val="center"/>
          </w:tcPr>
          <w:p w14:paraId="0504B329"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33.9681</w:t>
            </w:r>
          </w:p>
        </w:tc>
        <w:tc>
          <w:tcPr>
            <w:tcW w:w="1279" w:type="dxa"/>
            <w:vAlign w:val="center"/>
          </w:tcPr>
          <w:p w14:paraId="2059E644"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-117.4479</w:t>
            </w:r>
          </w:p>
        </w:tc>
      </w:tr>
      <w:tr w:rsidR="00DF6FF3" w:rsidRPr="00787A27" w14:paraId="08BE4CC7" w14:textId="77777777" w:rsidTr="00DF6FF3">
        <w:trPr>
          <w:trHeight w:val="432"/>
        </w:trPr>
        <w:tc>
          <w:tcPr>
            <w:tcW w:w="1413" w:type="dxa"/>
            <w:vAlign w:val="center"/>
          </w:tcPr>
          <w:p w14:paraId="3A7D1F68"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WW-S4</w:t>
            </w:r>
          </w:p>
        </w:tc>
        <w:tc>
          <w:tcPr>
            <w:tcW w:w="2250" w:type="dxa"/>
            <w:vAlign w:val="center"/>
          </w:tcPr>
          <w:p w14:paraId="6D2AA31C" w14:textId="77777777" w:rsidR="00DF6FF3" w:rsidRPr="002714B2" w:rsidRDefault="00DF6FF3" w:rsidP="00DF6FF3">
            <w:pPr>
              <w:spacing w:before="40" w:after="40" w:line="216" w:lineRule="auto"/>
              <w:rPr>
                <w:rFonts w:ascii="Arial" w:hAnsi="Arial" w:cs="Arial"/>
                <w:bCs/>
                <w:sz w:val="18"/>
                <w:szCs w:val="18"/>
              </w:rPr>
            </w:pPr>
            <w:r w:rsidRPr="002714B2">
              <w:rPr>
                <w:rFonts w:ascii="Arial" w:hAnsi="Arial" w:cs="Arial"/>
                <w:bCs/>
                <w:sz w:val="18"/>
                <w:szCs w:val="18"/>
              </w:rPr>
              <w:t>Santa Ana River Reach 3 at Pedley Avenue</w:t>
            </w:r>
          </w:p>
        </w:tc>
        <w:tc>
          <w:tcPr>
            <w:tcW w:w="1702" w:type="dxa"/>
            <w:vAlign w:val="center"/>
          </w:tcPr>
          <w:p w14:paraId="17C04A35"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Compliance</w:t>
            </w:r>
          </w:p>
        </w:tc>
        <w:tc>
          <w:tcPr>
            <w:tcW w:w="1268" w:type="dxa"/>
            <w:vAlign w:val="center"/>
          </w:tcPr>
          <w:p w14:paraId="46EB8F6C"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Riverside</w:t>
            </w:r>
          </w:p>
        </w:tc>
        <w:tc>
          <w:tcPr>
            <w:tcW w:w="1224" w:type="dxa"/>
            <w:vAlign w:val="center"/>
          </w:tcPr>
          <w:p w14:paraId="55E9F69A"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33.9552</w:t>
            </w:r>
          </w:p>
        </w:tc>
        <w:tc>
          <w:tcPr>
            <w:tcW w:w="1279" w:type="dxa"/>
            <w:vAlign w:val="center"/>
          </w:tcPr>
          <w:p w14:paraId="0BA66005"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-117.5327</w:t>
            </w:r>
          </w:p>
        </w:tc>
      </w:tr>
      <w:tr w:rsidR="00DF6FF3" w:rsidRPr="00787A27" w14:paraId="736D633F" w14:textId="77777777" w:rsidTr="00DF6FF3">
        <w:trPr>
          <w:trHeight w:val="432"/>
        </w:trPr>
        <w:tc>
          <w:tcPr>
            <w:tcW w:w="1413" w:type="dxa"/>
            <w:vAlign w:val="center"/>
          </w:tcPr>
          <w:p w14:paraId="0794212C"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WW-MISSION</w:t>
            </w:r>
          </w:p>
        </w:tc>
        <w:tc>
          <w:tcPr>
            <w:tcW w:w="2250" w:type="dxa"/>
            <w:vAlign w:val="center"/>
          </w:tcPr>
          <w:p w14:paraId="58C95546" w14:textId="77777777" w:rsidR="00DF6FF3" w:rsidRPr="002714B2" w:rsidRDefault="00DF6FF3" w:rsidP="00DF6FF3">
            <w:pPr>
              <w:spacing w:before="40" w:after="40" w:line="216" w:lineRule="auto"/>
              <w:rPr>
                <w:rFonts w:ascii="Arial" w:hAnsi="Arial" w:cs="Arial"/>
                <w:bCs/>
                <w:sz w:val="18"/>
                <w:szCs w:val="18"/>
              </w:rPr>
            </w:pPr>
            <w:r w:rsidRPr="002714B2">
              <w:rPr>
                <w:rFonts w:ascii="Arial" w:hAnsi="Arial" w:cs="Arial"/>
                <w:bCs/>
                <w:sz w:val="18"/>
                <w:szCs w:val="18"/>
              </w:rPr>
              <w:t>Santa Ana River Reach 3 at Mission Avenue</w:t>
            </w:r>
          </w:p>
        </w:tc>
        <w:tc>
          <w:tcPr>
            <w:tcW w:w="1702" w:type="dxa"/>
            <w:vAlign w:val="center"/>
          </w:tcPr>
          <w:p w14:paraId="3ED9326D"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Non-MS4 Boundary Inflow</w:t>
            </w:r>
          </w:p>
        </w:tc>
        <w:tc>
          <w:tcPr>
            <w:tcW w:w="1268" w:type="dxa"/>
            <w:vAlign w:val="center"/>
          </w:tcPr>
          <w:p w14:paraId="2D704AD4"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Riverside</w:t>
            </w:r>
          </w:p>
        </w:tc>
        <w:tc>
          <w:tcPr>
            <w:tcW w:w="1224" w:type="dxa"/>
            <w:vAlign w:val="center"/>
          </w:tcPr>
          <w:p w14:paraId="47F36894"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33.9906</w:t>
            </w:r>
          </w:p>
        </w:tc>
        <w:tc>
          <w:tcPr>
            <w:tcW w:w="1279" w:type="dxa"/>
            <w:vAlign w:val="center"/>
          </w:tcPr>
          <w:p w14:paraId="5FFFCD21" w14:textId="77777777" w:rsidR="00DF6FF3" w:rsidRPr="002714B2" w:rsidRDefault="00DF6FF3" w:rsidP="00DF6FF3">
            <w:pPr>
              <w:spacing w:before="40" w:after="40" w:line="216" w:lineRule="auto"/>
              <w:jc w:val="center"/>
              <w:rPr>
                <w:rFonts w:ascii="Arial" w:hAnsi="Arial" w:cs="Arial"/>
                <w:bCs/>
                <w:sz w:val="18"/>
                <w:szCs w:val="18"/>
              </w:rPr>
            </w:pPr>
            <w:r w:rsidRPr="002714B2">
              <w:rPr>
                <w:rFonts w:ascii="Arial" w:hAnsi="Arial" w:cs="Arial"/>
                <w:bCs/>
                <w:sz w:val="18"/>
                <w:szCs w:val="18"/>
              </w:rPr>
              <w:t>-117.3951</w:t>
            </w:r>
          </w:p>
        </w:tc>
      </w:tr>
    </w:tbl>
    <w:p w14:paraId="043CC997" w14:textId="11693E7B" w:rsidR="00DF6FF3" w:rsidRPr="000A740B" w:rsidRDefault="00DF6FF3" w:rsidP="00056D57">
      <w:pPr>
        <w:pStyle w:val="Heading3"/>
        <w:spacing w:before="240"/>
      </w:pPr>
      <w:bookmarkStart w:id="31" w:name="_Toc217410145"/>
      <w:r w:rsidRPr="000A740B">
        <w:t>Water Quality Sampling Program</w:t>
      </w:r>
      <w:bookmarkEnd w:id="31"/>
    </w:p>
    <w:p w14:paraId="5E413DAC" w14:textId="50366861" w:rsidR="00DF6FF3" w:rsidRDefault="00DF6FF3" w:rsidP="00DF6FF3">
      <w:pPr>
        <w:pStyle w:val="BodyText"/>
      </w:pPr>
      <w:r w:rsidRPr="00DF6FF3">
        <w:t xml:space="preserve">The </w:t>
      </w:r>
      <w:r w:rsidR="00512D11">
        <w:t>RMBP</w:t>
      </w:r>
      <w:r w:rsidRPr="00DF6FF3">
        <w:t xml:space="preserve"> Monitoring Plan and QAPP (SAWPA</w:t>
      </w:r>
      <w:r w:rsidR="00512D11">
        <w:t xml:space="preserve"> </w:t>
      </w:r>
      <w:r w:rsidRPr="00DF6FF3">
        <w:t>202</w:t>
      </w:r>
      <w:r w:rsidR="00512D11">
        <w:t>2a,</w:t>
      </w:r>
      <w:r w:rsidR="00CA5B05">
        <w:t xml:space="preserve"> </w:t>
      </w:r>
      <w:r w:rsidR="00512D11">
        <w:t>b</w:t>
      </w:r>
      <w:r w:rsidRPr="00DF6FF3">
        <w:t xml:space="preserve">) provide detailed information regarding the collection and analysis of field data and water quality samples. The Monitoring Plan establishes </w:t>
      </w:r>
      <w:r w:rsidR="00326A8C">
        <w:t xml:space="preserve">the yearly ongoing monitoring frequency </w:t>
      </w:r>
      <w:r w:rsidRPr="00DF6FF3">
        <w:t>for dry weather events</w:t>
      </w:r>
      <w:r w:rsidRPr="00512D11">
        <w:t>.</w:t>
      </w:r>
      <w:r w:rsidR="00512D11" w:rsidRPr="00512D11">
        <w:t xml:space="preserve"> D</w:t>
      </w:r>
      <w:r w:rsidRPr="00512D11">
        <w:t xml:space="preserve">ry weather </w:t>
      </w:r>
      <w:r w:rsidR="00512D11" w:rsidRPr="00512D11">
        <w:t xml:space="preserve">condition </w:t>
      </w:r>
      <w:r w:rsidRPr="00512D11">
        <w:t xml:space="preserve">samples </w:t>
      </w:r>
      <w:r w:rsidR="00326A8C">
        <w:t>are</w:t>
      </w:r>
      <w:r w:rsidRPr="00512D11">
        <w:t xml:space="preserve"> collected </w:t>
      </w:r>
      <w:r w:rsidR="00512D11" w:rsidRPr="00512D11">
        <w:t xml:space="preserve">during two periods: (a) weekly </w:t>
      </w:r>
      <w:r w:rsidRPr="00512D11">
        <w:t>over 20 consecutive weeks</w:t>
      </w:r>
      <w:r w:rsidR="00512D11" w:rsidRPr="00512D11">
        <w:t>,</w:t>
      </w:r>
      <w:r w:rsidRPr="00512D11">
        <w:t xml:space="preserve"> generally from May</w:t>
      </w:r>
      <w:r w:rsidR="00512D11" w:rsidRPr="00512D11">
        <w:t xml:space="preserve"> </w:t>
      </w:r>
      <w:r w:rsidRPr="00512D11">
        <w:t xml:space="preserve">to September </w:t>
      </w:r>
      <w:r w:rsidR="00512D11" w:rsidRPr="00512D11">
        <w:t xml:space="preserve">during the TMDL-defined </w:t>
      </w:r>
      <w:r w:rsidRPr="00512D11">
        <w:t xml:space="preserve">dry </w:t>
      </w:r>
      <w:r w:rsidR="00512D11" w:rsidRPr="00512D11">
        <w:t>season (April 1 - October 31); and (b) weekly</w:t>
      </w:r>
      <w:r w:rsidRPr="00512D11">
        <w:t xml:space="preserve"> over 5 consecutive weeks generally from late October through early December </w:t>
      </w:r>
      <w:r w:rsidR="00512D11" w:rsidRPr="00512D11">
        <w:t>during the TMDL-defined</w:t>
      </w:r>
      <w:r w:rsidRPr="00512D11">
        <w:t xml:space="preserve"> wet season</w:t>
      </w:r>
      <w:r w:rsidR="00512D11" w:rsidRPr="00512D11">
        <w:t xml:space="preserve"> (November 1 – March 31)</w:t>
      </w:r>
      <w:r w:rsidRPr="00512D11">
        <w:t xml:space="preserve">. In addition, one </w:t>
      </w:r>
      <w:r w:rsidR="004053C4">
        <w:t xml:space="preserve">multi-sample </w:t>
      </w:r>
      <w:r w:rsidRPr="00512D11">
        <w:t xml:space="preserve">wet weather event is </w:t>
      </w:r>
      <w:r w:rsidR="004053C4">
        <w:t>monitored</w:t>
      </w:r>
      <w:r w:rsidRPr="00512D11">
        <w:t xml:space="preserve"> each year</w:t>
      </w:r>
      <w:r w:rsidR="004053C4">
        <w:t>.</w:t>
      </w:r>
    </w:p>
    <w:p w14:paraId="69D983CA" w14:textId="5FFE06B3" w:rsidR="00512D11" w:rsidRPr="00512D11" w:rsidRDefault="009E2881" w:rsidP="00DF6FF3">
      <w:pPr>
        <w:pStyle w:val="BodyText"/>
      </w:pPr>
      <w:r>
        <w:rPr>
          <w:noProof/>
        </w:rPr>
        <w:lastRenderedPageBreak/>
        <w:drawing>
          <wp:anchor distT="0" distB="0" distL="114300" distR="114300" simplePos="0" relativeHeight="251682816" behindDoc="0" locked="0" layoutInCell="1" allowOverlap="1" wp14:anchorId="74D8A91F" wp14:editId="4FE5DD0E">
            <wp:simplePos x="0" y="0"/>
            <wp:positionH relativeFrom="column">
              <wp:posOffset>3975</wp:posOffset>
            </wp:positionH>
            <wp:positionV relativeFrom="line">
              <wp:posOffset>345440</wp:posOffset>
            </wp:positionV>
            <wp:extent cx="5532120" cy="3200400"/>
            <wp:effectExtent l="0" t="0" r="0" b="0"/>
            <wp:wrapTopAndBottom/>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rotWithShape="1">
                    <a:blip r:embed="rId20" cstate="print">
                      <a:extLst>
                        <a:ext uri="{28A0092B-C50C-407E-A947-70E740481C1C}">
                          <a14:useLocalDpi xmlns:a14="http://schemas.microsoft.com/office/drawing/2010/main" val="0"/>
                        </a:ext>
                      </a:extLst>
                    </a:blip>
                    <a:srcRect l="8570" t="14739" r="7255" b="22281"/>
                    <a:stretch>
                      <a:fillRect/>
                    </a:stretch>
                  </pic:blipFill>
                  <pic:spPr bwMode="auto">
                    <a:xfrm>
                      <a:off x="0" y="0"/>
                      <a:ext cx="5532120"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7673AD" w14:textId="1E25ABCD" w:rsidR="00FE614C" w:rsidRDefault="00FE614C" w:rsidP="00FE614C">
      <w:pPr>
        <w:pStyle w:val="Caption"/>
        <w:spacing w:after="240"/>
      </w:pPr>
      <w:bookmarkStart w:id="32" w:name="_Toc217394554"/>
      <w:bookmarkStart w:id="33" w:name="_Toc217394749"/>
      <w:r>
        <w:t xml:space="preserve">Figure </w:t>
      </w:r>
      <w:r w:rsidR="0023167A">
        <w:fldChar w:fldCharType="begin"/>
      </w:r>
      <w:r w:rsidR="0023167A">
        <w:instrText xml:space="preserve"> STYLEREF 1 \s </w:instrText>
      </w:r>
      <w:r w:rsidR="0023167A">
        <w:fldChar w:fldCharType="separate"/>
      </w:r>
      <w:r w:rsidR="0023167A">
        <w:rPr>
          <w:noProof/>
        </w:rPr>
        <w:t>2</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w:t>
      </w:r>
      <w:r w:rsidR="0023167A">
        <w:fldChar w:fldCharType="end"/>
      </w:r>
      <w:r>
        <w:t xml:space="preserve">. </w:t>
      </w:r>
      <w:r w:rsidRPr="0048191F">
        <w:t xml:space="preserve">Location of </w:t>
      </w:r>
      <w:r>
        <w:t xml:space="preserve">TMDL Compliance </w:t>
      </w:r>
      <w:r w:rsidRPr="0048191F">
        <w:t>Monitoring Sites</w:t>
      </w:r>
      <w:r>
        <w:t>, Tier 1 Sites and POTWs</w:t>
      </w:r>
      <w:r w:rsidRPr="0048191F">
        <w:t xml:space="preserve"> in the MSAR Watershed</w:t>
      </w:r>
      <w:bookmarkEnd w:id="32"/>
      <w:bookmarkEnd w:id="33"/>
    </w:p>
    <w:p w14:paraId="4FFE5CCE" w14:textId="1B887C15" w:rsidR="00D73F70" w:rsidRPr="000B34B6" w:rsidRDefault="004053C4" w:rsidP="006243BD">
      <w:pPr>
        <w:pStyle w:val="BodyText"/>
      </w:pPr>
      <w:r>
        <w:t>During each sample event, the sample team gathers field measurements</w:t>
      </w:r>
      <w:r w:rsidR="00D73F70" w:rsidRPr="009D07FD">
        <w:t xml:space="preserve"> (</w:t>
      </w:r>
      <w:r w:rsidR="00A015F5">
        <w:t>f</w:t>
      </w:r>
      <w:r w:rsidR="00D73F70" w:rsidRPr="009D07FD">
        <w:t xml:space="preserve">low, temperature, </w:t>
      </w:r>
      <w:r w:rsidR="00A015F5">
        <w:t xml:space="preserve">electrical </w:t>
      </w:r>
      <w:r w:rsidR="00D73F70" w:rsidRPr="009D07FD">
        <w:t xml:space="preserve">conductivity, pH, dissolved oxygen, and turbidity) and </w:t>
      </w:r>
      <w:r>
        <w:t xml:space="preserve">collects </w:t>
      </w:r>
      <w:r w:rsidR="00D73F70" w:rsidRPr="009D07FD">
        <w:t>water samples for laboratory</w:t>
      </w:r>
      <w:r w:rsidR="00D73F70" w:rsidRPr="000B34B6">
        <w:t xml:space="preserve"> analysis </w:t>
      </w:r>
      <w:r>
        <w:t>of</w:t>
      </w:r>
      <w:r w:rsidR="00D73F70" w:rsidRPr="000B34B6">
        <w:t xml:space="preserve"> </w:t>
      </w:r>
      <w:r w:rsidR="00D73F70" w:rsidRPr="000B34B6">
        <w:rPr>
          <w:i/>
        </w:rPr>
        <w:t>E. coli</w:t>
      </w:r>
      <w:r w:rsidR="00D73F70" w:rsidRPr="000B34B6">
        <w:t xml:space="preserve"> and total suspended solids (</w:t>
      </w:r>
      <w:r w:rsidR="00D73F70" w:rsidRPr="007D3720">
        <w:t xml:space="preserve">TSS). </w:t>
      </w:r>
      <w:r w:rsidR="00D73F70" w:rsidRPr="007D3720">
        <w:rPr>
          <w:b/>
          <w:bCs/>
        </w:rPr>
        <w:t>Table 2-2</w:t>
      </w:r>
      <w:r w:rsidR="00D73F70" w:rsidRPr="007D3720">
        <w:t xml:space="preserve"> </w:t>
      </w:r>
      <w:r w:rsidR="00D73F70" w:rsidRPr="000B34B6">
        <w:t>summar</w:t>
      </w:r>
      <w:r w:rsidR="005C33B8">
        <w:t>izes</w:t>
      </w:r>
      <w:r w:rsidR="00D73F70" w:rsidRPr="000B34B6">
        <w:t xml:space="preserve"> data collection efforts for the dry and wet seasons for the </w:t>
      </w:r>
      <w:r>
        <w:t>past three</w:t>
      </w:r>
      <w:r w:rsidR="005C33B8">
        <w:t>-</w:t>
      </w:r>
      <w:r>
        <w:t>year period (</w:t>
      </w:r>
      <w:r w:rsidR="00D73F70" w:rsidRPr="000B34B6">
        <w:t>202</w:t>
      </w:r>
      <w:r w:rsidR="00EF6E8D">
        <w:t>3</w:t>
      </w:r>
      <w:r w:rsidR="00D73F70" w:rsidRPr="000B34B6">
        <w:t>-202</w:t>
      </w:r>
      <w:r w:rsidR="00EF6E8D">
        <w:t>5</w:t>
      </w:r>
      <w:r>
        <w:t>); all planned samples were collected</w:t>
      </w:r>
      <w:r w:rsidR="00D73F70">
        <w:t xml:space="preserve">. </w:t>
      </w:r>
      <w:r>
        <w:t>The dry weather</w:t>
      </w:r>
      <w:r w:rsidR="00D73F70">
        <w:t xml:space="preserve"> data </w:t>
      </w:r>
      <w:r>
        <w:t>are</w:t>
      </w:r>
      <w:r w:rsidR="00D73F70">
        <w:t xml:space="preserve"> used to assess compliance with the </w:t>
      </w:r>
      <w:r w:rsidR="00AE3EC7">
        <w:t xml:space="preserve">dry </w:t>
      </w:r>
      <w:r w:rsidR="00326A8C">
        <w:t xml:space="preserve">season </w:t>
      </w:r>
      <w:r w:rsidR="00D73F70">
        <w:t>TMDL</w:t>
      </w:r>
      <w:r w:rsidR="00AE3EC7">
        <w:t xml:space="preserve"> targets</w:t>
      </w:r>
      <w:r w:rsidR="00D73F70">
        <w:t>, assess the role of in-stream sources</w:t>
      </w:r>
      <w:r w:rsidR="000D1431">
        <w:t>,</w:t>
      </w:r>
      <w:r w:rsidR="00D73F70">
        <w:t xml:space="preserve"> and </w:t>
      </w:r>
      <w:r>
        <w:t xml:space="preserve">provide the basis for comparing the </w:t>
      </w:r>
      <w:r w:rsidR="00D73F70">
        <w:t xml:space="preserve">downstream </w:t>
      </w:r>
      <w:r w:rsidR="00D73F70" w:rsidRPr="00F4626A">
        <w:rPr>
          <w:i/>
          <w:iCs/>
        </w:rPr>
        <w:t>E. coli</w:t>
      </w:r>
      <w:r w:rsidR="00D73F70">
        <w:t xml:space="preserve"> load to measurements from upstream sources to support </w:t>
      </w:r>
      <w:r w:rsidR="007D3720">
        <w:t xml:space="preserve">this report’s </w:t>
      </w:r>
      <w:r w:rsidR="00D73F70">
        <w:t xml:space="preserve">source contribution analysis (Section 4).  </w:t>
      </w:r>
    </w:p>
    <w:tbl>
      <w:tblPr>
        <w:tblW w:w="0" w:type="auto"/>
        <w:tblLayout w:type="fixed"/>
        <w:tblLook w:val="04A0" w:firstRow="1" w:lastRow="0" w:firstColumn="1" w:lastColumn="0" w:noHBand="0" w:noVBand="1"/>
      </w:tblPr>
      <w:tblGrid>
        <w:gridCol w:w="2610"/>
        <w:gridCol w:w="1950"/>
        <w:gridCol w:w="1950"/>
        <w:gridCol w:w="1950"/>
      </w:tblGrid>
      <w:tr w:rsidR="00D73F70" w:rsidRPr="00787A27" w14:paraId="349EAB26" w14:textId="77777777" w:rsidTr="00A41B16">
        <w:trPr>
          <w:trHeight w:val="273"/>
        </w:trPr>
        <w:tc>
          <w:tcPr>
            <w:tcW w:w="8460" w:type="dxa"/>
            <w:gridSpan w:val="4"/>
            <w:tcBorders>
              <w:top w:val="nil"/>
              <w:left w:val="nil"/>
              <w:bottom w:val="single" w:sz="4" w:space="0" w:color="auto"/>
              <w:right w:val="nil"/>
            </w:tcBorders>
          </w:tcPr>
          <w:p w14:paraId="6C3B28F2" w14:textId="2284A0FA" w:rsidR="00D73F70" w:rsidRPr="00787A27" w:rsidRDefault="00262350" w:rsidP="00262350">
            <w:pPr>
              <w:pStyle w:val="Caption"/>
              <w:keepNext/>
            </w:pPr>
            <w:bookmarkStart w:id="34" w:name="_Toc217391754"/>
            <w:r>
              <w:t xml:space="preserve">Table </w:t>
            </w:r>
            <w:r w:rsidR="00FE614C">
              <w:fldChar w:fldCharType="begin"/>
            </w:r>
            <w:r w:rsidR="00FE614C">
              <w:instrText xml:space="preserve"> STYLEREF 1 \s </w:instrText>
            </w:r>
            <w:r w:rsidR="00FE614C">
              <w:fldChar w:fldCharType="separate"/>
            </w:r>
            <w:r w:rsidR="00FE614C">
              <w:rPr>
                <w:noProof/>
              </w:rPr>
              <w:t>2</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2</w:t>
            </w:r>
            <w:r w:rsidR="00FE614C">
              <w:fldChar w:fldCharType="end"/>
            </w:r>
            <w:r w:rsidR="00A41B16">
              <w:t>.</w:t>
            </w:r>
            <w:r>
              <w:t xml:space="preserve"> </w:t>
            </w:r>
            <w:r w:rsidRPr="00787A27">
              <w:t>Summary of Water Sample Collection Activity during 202</w:t>
            </w:r>
            <w:r>
              <w:t>3</w:t>
            </w:r>
            <w:r w:rsidRPr="00787A27">
              <w:t>-</w:t>
            </w:r>
            <w:r>
              <w:t>20</w:t>
            </w:r>
            <w:r w:rsidRPr="00787A27">
              <w:t>2</w:t>
            </w:r>
            <w:r>
              <w:t>5</w:t>
            </w:r>
            <w:r w:rsidRPr="00787A27">
              <w:t xml:space="preserve"> Period</w:t>
            </w:r>
            <w:bookmarkEnd w:id="34"/>
          </w:p>
        </w:tc>
      </w:tr>
      <w:tr w:rsidR="00D73F70" w:rsidRPr="00787A27" w14:paraId="2386CD51" w14:textId="77777777" w:rsidTr="00A41B16">
        <w:trPr>
          <w:trHeight w:val="569"/>
        </w:trPr>
        <w:tc>
          <w:tcPr>
            <w:tcW w:w="261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618A58C" w14:textId="3EE97D1F" w:rsidR="00D73F70" w:rsidRPr="00787A27" w:rsidRDefault="00D73F70" w:rsidP="004053C4">
            <w:pPr>
              <w:pStyle w:val="LFTTableHeader1"/>
              <w:spacing w:before="0" w:after="0" w:line="240" w:lineRule="auto"/>
              <w:rPr>
                <w:rFonts w:ascii="Arial" w:hAnsi="Arial" w:cs="Arial"/>
                <w:color w:val="auto"/>
                <w:sz w:val="19"/>
                <w:szCs w:val="19"/>
                <w:lang w:bidi="ar-SA"/>
              </w:rPr>
            </w:pPr>
            <w:r w:rsidRPr="00787A27">
              <w:rPr>
                <w:rFonts w:ascii="Arial" w:hAnsi="Arial" w:cs="Arial"/>
                <w:color w:val="auto"/>
                <w:sz w:val="19"/>
                <w:szCs w:val="19"/>
                <w:lang w:bidi="ar-SA"/>
              </w:rPr>
              <w:t>Type</w:t>
            </w:r>
          </w:p>
        </w:tc>
        <w:tc>
          <w:tcPr>
            <w:tcW w:w="1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A93D668" w14:textId="1D96870E" w:rsidR="00D73F70" w:rsidRPr="00787A27" w:rsidRDefault="00D73F70" w:rsidP="004053C4">
            <w:pPr>
              <w:pStyle w:val="LFTTableHeader1"/>
              <w:spacing w:before="0" w:after="0" w:line="240" w:lineRule="auto"/>
              <w:rPr>
                <w:rFonts w:ascii="Arial" w:hAnsi="Arial" w:cs="Arial"/>
                <w:color w:val="auto"/>
                <w:sz w:val="19"/>
                <w:szCs w:val="19"/>
                <w:lang w:bidi="ar-SA"/>
              </w:rPr>
            </w:pPr>
            <w:r w:rsidRPr="00787A27">
              <w:rPr>
                <w:rFonts w:ascii="Arial" w:hAnsi="Arial" w:cs="Arial"/>
                <w:color w:val="auto"/>
                <w:sz w:val="19"/>
                <w:szCs w:val="19"/>
                <w:lang w:bidi="ar-SA"/>
              </w:rPr>
              <w:t>Planned Sample Days (202</w:t>
            </w:r>
            <w:r w:rsidR="00EF6E8D">
              <w:rPr>
                <w:rFonts w:ascii="Arial" w:hAnsi="Arial" w:cs="Arial"/>
                <w:color w:val="auto"/>
                <w:sz w:val="19"/>
                <w:szCs w:val="19"/>
                <w:lang w:bidi="ar-SA"/>
              </w:rPr>
              <w:t>3</w:t>
            </w:r>
            <w:r w:rsidRPr="00787A27">
              <w:rPr>
                <w:rFonts w:ascii="Arial" w:hAnsi="Arial" w:cs="Arial"/>
                <w:color w:val="auto"/>
                <w:sz w:val="19"/>
                <w:szCs w:val="19"/>
                <w:lang w:bidi="ar-SA"/>
              </w:rPr>
              <w:t>-202</w:t>
            </w:r>
            <w:r w:rsidR="00EF6E8D">
              <w:rPr>
                <w:rFonts w:ascii="Arial" w:hAnsi="Arial" w:cs="Arial"/>
                <w:color w:val="auto"/>
                <w:sz w:val="19"/>
                <w:szCs w:val="19"/>
                <w:lang w:bidi="ar-SA"/>
              </w:rPr>
              <w:t>5</w:t>
            </w:r>
            <w:r w:rsidRPr="00787A27">
              <w:rPr>
                <w:rFonts w:ascii="Arial" w:hAnsi="Arial" w:cs="Arial"/>
                <w:color w:val="auto"/>
                <w:sz w:val="19"/>
                <w:szCs w:val="19"/>
                <w:lang w:bidi="ar-SA"/>
              </w:rPr>
              <w:t>)</w:t>
            </w:r>
          </w:p>
        </w:tc>
        <w:tc>
          <w:tcPr>
            <w:tcW w:w="1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49538DC" w14:textId="77777777" w:rsidR="00D73F70" w:rsidRPr="00787A27" w:rsidRDefault="00D73F70" w:rsidP="004053C4">
            <w:pPr>
              <w:pStyle w:val="LFTTableHeader1"/>
              <w:spacing w:before="0" w:after="0" w:line="240" w:lineRule="auto"/>
              <w:rPr>
                <w:rFonts w:ascii="Arial" w:hAnsi="Arial" w:cs="Arial"/>
                <w:color w:val="auto"/>
                <w:sz w:val="19"/>
                <w:szCs w:val="19"/>
                <w:lang w:bidi="ar-SA"/>
              </w:rPr>
            </w:pPr>
            <w:r w:rsidRPr="00787A27">
              <w:rPr>
                <w:rFonts w:ascii="Arial" w:hAnsi="Arial" w:cs="Arial"/>
                <w:color w:val="auto"/>
                <w:sz w:val="19"/>
                <w:szCs w:val="19"/>
                <w:lang w:bidi="ar-SA"/>
              </w:rPr>
              <w:t>Sites</w:t>
            </w:r>
          </w:p>
        </w:tc>
        <w:tc>
          <w:tcPr>
            <w:tcW w:w="1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32B08" w14:textId="125285B3" w:rsidR="00D73F70" w:rsidRPr="00787A27" w:rsidRDefault="00D73F70" w:rsidP="004053C4">
            <w:pPr>
              <w:pStyle w:val="LFTTableHeader1"/>
              <w:spacing w:before="0" w:after="0" w:line="240" w:lineRule="auto"/>
              <w:rPr>
                <w:rFonts w:ascii="Arial" w:hAnsi="Arial" w:cs="Arial"/>
                <w:color w:val="auto"/>
                <w:sz w:val="19"/>
                <w:szCs w:val="19"/>
                <w:lang w:bidi="ar-SA"/>
              </w:rPr>
            </w:pPr>
            <w:r w:rsidRPr="00787A27">
              <w:rPr>
                <w:rFonts w:ascii="Arial" w:hAnsi="Arial" w:cs="Arial"/>
                <w:color w:val="auto"/>
                <w:sz w:val="19"/>
                <w:szCs w:val="19"/>
                <w:lang w:bidi="ar-SA"/>
              </w:rPr>
              <w:t>Collected Samples (202</w:t>
            </w:r>
            <w:r w:rsidR="00805069">
              <w:rPr>
                <w:rFonts w:ascii="Arial" w:hAnsi="Arial" w:cs="Arial"/>
                <w:color w:val="auto"/>
                <w:sz w:val="19"/>
                <w:szCs w:val="19"/>
                <w:lang w:bidi="ar-SA"/>
              </w:rPr>
              <w:t>3</w:t>
            </w:r>
            <w:r w:rsidRPr="00787A27">
              <w:rPr>
                <w:rFonts w:ascii="Arial" w:hAnsi="Arial" w:cs="Arial"/>
                <w:color w:val="auto"/>
                <w:sz w:val="19"/>
                <w:szCs w:val="19"/>
                <w:lang w:bidi="ar-SA"/>
              </w:rPr>
              <w:t xml:space="preserve"> – 202</w:t>
            </w:r>
            <w:r w:rsidR="00805069">
              <w:rPr>
                <w:rFonts w:ascii="Arial" w:hAnsi="Arial" w:cs="Arial"/>
                <w:color w:val="auto"/>
                <w:sz w:val="19"/>
                <w:szCs w:val="19"/>
                <w:lang w:bidi="ar-SA"/>
              </w:rPr>
              <w:t>5</w:t>
            </w:r>
            <w:r w:rsidRPr="00787A27">
              <w:rPr>
                <w:rFonts w:ascii="Arial" w:hAnsi="Arial" w:cs="Arial"/>
                <w:color w:val="auto"/>
                <w:sz w:val="19"/>
                <w:szCs w:val="19"/>
                <w:lang w:bidi="ar-SA"/>
              </w:rPr>
              <w:t>)</w:t>
            </w:r>
          </w:p>
        </w:tc>
      </w:tr>
      <w:tr w:rsidR="00D73F70" w:rsidRPr="00787A27" w14:paraId="1B9131D3" w14:textId="77777777" w:rsidTr="00A41B16">
        <w:trPr>
          <w:trHeight w:val="432"/>
        </w:trPr>
        <w:tc>
          <w:tcPr>
            <w:tcW w:w="2610" w:type="dxa"/>
            <w:tcBorders>
              <w:top w:val="single" w:sz="4" w:space="0" w:color="auto"/>
              <w:left w:val="single" w:sz="4" w:space="0" w:color="auto"/>
              <w:bottom w:val="single" w:sz="4" w:space="0" w:color="auto"/>
              <w:right w:val="single" w:sz="4" w:space="0" w:color="auto"/>
            </w:tcBorders>
            <w:vAlign w:val="center"/>
            <w:hideMark/>
          </w:tcPr>
          <w:p w14:paraId="057F5633" w14:textId="77777777"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Dry weather, warm season</w:t>
            </w:r>
          </w:p>
        </w:tc>
        <w:tc>
          <w:tcPr>
            <w:tcW w:w="1950" w:type="dxa"/>
            <w:tcBorders>
              <w:top w:val="single" w:sz="4" w:space="0" w:color="auto"/>
              <w:left w:val="single" w:sz="4" w:space="0" w:color="auto"/>
              <w:bottom w:val="single" w:sz="4" w:space="0" w:color="auto"/>
              <w:right w:val="single" w:sz="4" w:space="0" w:color="auto"/>
            </w:tcBorders>
            <w:vAlign w:val="center"/>
            <w:hideMark/>
          </w:tcPr>
          <w:p w14:paraId="011A97BB" w14:textId="77777777"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60</w:t>
            </w:r>
          </w:p>
        </w:tc>
        <w:tc>
          <w:tcPr>
            <w:tcW w:w="1950" w:type="dxa"/>
            <w:tcBorders>
              <w:top w:val="single" w:sz="4" w:space="0" w:color="auto"/>
              <w:left w:val="single" w:sz="4" w:space="0" w:color="auto"/>
              <w:bottom w:val="single" w:sz="4" w:space="0" w:color="auto"/>
              <w:right w:val="single" w:sz="4" w:space="0" w:color="auto"/>
            </w:tcBorders>
            <w:vAlign w:val="center"/>
          </w:tcPr>
          <w:p w14:paraId="743B930F" w14:textId="77777777" w:rsidR="00D73F70" w:rsidRPr="00787A27" w:rsidRDefault="00D73F70" w:rsidP="004053C4">
            <w:pPr>
              <w:pStyle w:val="LFTTableText"/>
              <w:spacing w:before="0" w:after="0" w:line="240" w:lineRule="auto"/>
              <w:jc w:val="center"/>
              <w:rPr>
                <w:rFonts w:ascii="Arial" w:hAnsi="Arial" w:cs="Arial"/>
                <w:szCs w:val="19"/>
                <w:highlight w:val="yellow"/>
                <w:lang w:bidi="ar-SA"/>
              </w:rPr>
            </w:pPr>
            <w:r w:rsidRPr="00787A27">
              <w:rPr>
                <w:rFonts w:ascii="Arial" w:hAnsi="Arial" w:cs="Arial"/>
                <w:szCs w:val="19"/>
                <w:lang w:bidi="ar-SA"/>
              </w:rPr>
              <w:t>6</w:t>
            </w:r>
          </w:p>
        </w:tc>
        <w:tc>
          <w:tcPr>
            <w:tcW w:w="1950" w:type="dxa"/>
            <w:tcBorders>
              <w:top w:val="single" w:sz="4" w:space="0" w:color="auto"/>
              <w:left w:val="single" w:sz="4" w:space="0" w:color="auto"/>
              <w:bottom w:val="single" w:sz="4" w:space="0" w:color="auto"/>
              <w:right w:val="single" w:sz="4" w:space="0" w:color="auto"/>
            </w:tcBorders>
            <w:vAlign w:val="center"/>
          </w:tcPr>
          <w:p w14:paraId="2C859426" w14:textId="77777777"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360</w:t>
            </w:r>
          </w:p>
        </w:tc>
      </w:tr>
      <w:tr w:rsidR="00D73F70" w:rsidRPr="00787A27" w14:paraId="118F97BD" w14:textId="77777777" w:rsidTr="006243BD">
        <w:trPr>
          <w:trHeight w:val="432"/>
        </w:trPr>
        <w:tc>
          <w:tcPr>
            <w:tcW w:w="2610" w:type="dxa"/>
            <w:tcBorders>
              <w:top w:val="single" w:sz="4" w:space="0" w:color="auto"/>
              <w:left w:val="single" w:sz="4" w:space="0" w:color="auto"/>
              <w:bottom w:val="single" w:sz="4" w:space="0" w:color="auto"/>
              <w:right w:val="single" w:sz="4" w:space="0" w:color="auto"/>
            </w:tcBorders>
            <w:vAlign w:val="center"/>
            <w:hideMark/>
          </w:tcPr>
          <w:p w14:paraId="2C313216" w14:textId="77777777"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Dry weather, cool season</w:t>
            </w:r>
          </w:p>
        </w:tc>
        <w:tc>
          <w:tcPr>
            <w:tcW w:w="1950" w:type="dxa"/>
            <w:tcBorders>
              <w:top w:val="single" w:sz="4" w:space="0" w:color="auto"/>
              <w:left w:val="single" w:sz="4" w:space="0" w:color="auto"/>
              <w:bottom w:val="single" w:sz="4" w:space="0" w:color="auto"/>
              <w:right w:val="single" w:sz="4" w:space="0" w:color="auto"/>
            </w:tcBorders>
            <w:vAlign w:val="center"/>
            <w:hideMark/>
          </w:tcPr>
          <w:p w14:paraId="765B45F0" w14:textId="77777777"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15</w:t>
            </w:r>
          </w:p>
        </w:tc>
        <w:tc>
          <w:tcPr>
            <w:tcW w:w="1950" w:type="dxa"/>
            <w:tcBorders>
              <w:top w:val="single" w:sz="4" w:space="0" w:color="auto"/>
              <w:left w:val="single" w:sz="4" w:space="0" w:color="auto"/>
              <w:bottom w:val="single" w:sz="4" w:space="0" w:color="auto"/>
              <w:right w:val="single" w:sz="4" w:space="0" w:color="auto"/>
            </w:tcBorders>
            <w:vAlign w:val="center"/>
          </w:tcPr>
          <w:p w14:paraId="26970120" w14:textId="340A6B98" w:rsidR="00D73F70" w:rsidRPr="00787A27" w:rsidRDefault="00805069" w:rsidP="004053C4">
            <w:pPr>
              <w:pStyle w:val="LFTTableText"/>
              <w:spacing w:before="0" w:after="0" w:line="240" w:lineRule="auto"/>
              <w:jc w:val="center"/>
              <w:rPr>
                <w:rFonts w:ascii="Arial" w:hAnsi="Arial" w:cs="Arial"/>
                <w:szCs w:val="19"/>
                <w:highlight w:val="yellow"/>
                <w:lang w:bidi="ar-SA"/>
              </w:rPr>
            </w:pPr>
            <w:r>
              <w:rPr>
                <w:rFonts w:ascii="Arial" w:hAnsi="Arial" w:cs="Arial"/>
                <w:szCs w:val="19"/>
                <w:lang w:bidi="ar-SA"/>
              </w:rPr>
              <w:t>6</w:t>
            </w:r>
          </w:p>
        </w:tc>
        <w:tc>
          <w:tcPr>
            <w:tcW w:w="1950" w:type="dxa"/>
            <w:tcBorders>
              <w:top w:val="single" w:sz="4" w:space="0" w:color="auto"/>
              <w:left w:val="single" w:sz="4" w:space="0" w:color="auto"/>
              <w:bottom w:val="single" w:sz="4" w:space="0" w:color="auto"/>
              <w:right w:val="single" w:sz="4" w:space="0" w:color="auto"/>
            </w:tcBorders>
            <w:vAlign w:val="center"/>
          </w:tcPr>
          <w:p w14:paraId="0A12E2B3" w14:textId="2657FBEE" w:rsidR="00D73F70" w:rsidRPr="00787A27" w:rsidRDefault="00805069" w:rsidP="004053C4">
            <w:pPr>
              <w:pStyle w:val="LFTTableText"/>
              <w:spacing w:before="0" w:after="0" w:line="240" w:lineRule="auto"/>
              <w:jc w:val="center"/>
              <w:rPr>
                <w:rFonts w:ascii="Arial" w:hAnsi="Arial" w:cs="Arial"/>
                <w:szCs w:val="19"/>
                <w:lang w:bidi="ar-SA"/>
              </w:rPr>
            </w:pPr>
            <w:r>
              <w:rPr>
                <w:rFonts w:ascii="Arial" w:hAnsi="Arial" w:cs="Arial"/>
                <w:szCs w:val="19"/>
                <w:lang w:bidi="ar-SA"/>
              </w:rPr>
              <w:t>90</w:t>
            </w:r>
          </w:p>
        </w:tc>
      </w:tr>
      <w:tr w:rsidR="00D73F70" w:rsidRPr="00787A27" w14:paraId="5B23B460" w14:textId="77777777" w:rsidTr="006243BD">
        <w:trPr>
          <w:trHeight w:val="432"/>
        </w:trPr>
        <w:tc>
          <w:tcPr>
            <w:tcW w:w="2610" w:type="dxa"/>
            <w:tcBorders>
              <w:top w:val="single" w:sz="4" w:space="0" w:color="auto"/>
              <w:left w:val="single" w:sz="4" w:space="0" w:color="auto"/>
              <w:bottom w:val="single" w:sz="4" w:space="0" w:color="auto"/>
              <w:right w:val="single" w:sz="4" w:space="0" w:color="auto"/>
            </w:tcBorders>
            <w:vAlign w:val="center"/>
            <w:hideMark/>
          </w:tcPr>
          <w:p w14:paraId="4CBCF5AA" w14:textId="5E4B85A2"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 xml:space="preserve">Wet </w:t>
            </w:r>
            <w:r w:rsidR="00805069">
              <w:rPr>
                <w:rFonts w:ascii="Arial" w:hAnsi="Arial" w:cs="Arial"/>
                <w:szCs w:val="19"/>
                <w:lang w:bidi="ar-SA"/>
              </w:rPr>
              <w:t>event</w:t>
            </w:r>
            <w:r w:rsidR="00642F33">
              <w:rPr>
                <w:rFonts w:ascii="Arial" w:hAnsi="Arial" w:cs="Arial"/>
                <w:szCs w:val="19"/>
                <w:lang w:bidi="ar-SA"/>
              </w:rPr>
              <w:t xml:space="preserve"> </w:t>
            </w:r>
            <w:r w:rsidR="00642F33">
              <w:rPr>
                <w:rFonts w:ascii="Arial" w:hAnsi="Arial" w:cs="Arial"/>
                <w:szCs w:val="19"/>
                <w:vertAlign w:val="superscript"/>
                <w:lang w:bidi="ar-SA"/>
              </w:rPr>
              <w:t>1</w:t>
            </w:r>
          </w:p>
        </w:tc>
        <w:tc>
          <w:tcPr>
            <w:tcW w:w="1950" w:type="dxa"/>
            <w:tcBorders>
              <w:top w:val="single" w:sz="4" w:space="0" w:color="auto"/>
              <w:left w:val="single" w:sz="4" w:space="0" w:color="auto"/>
              <w:bottom w:val="single" w:sz="4" w:space="0" w:color="auto"/>
              <w:right w:val="single" w:sz="4" w:space="0" w:color="auto"/>
            </w:tcBorders>
            <w:vAlign w:val="center"/>
            <w:hideMark/>
          </w:tcPr>
          <w:p w14:paraId="082969F5" w14:textId="77777777"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12</w:t>
            </w:r>
          </w:p>
        </w:tc>
        <w:tc>
          <w:tcPr>
            <w:tcW w:w="1950" w:type="dxa"/>
            <w:tcBorders>
              <w:top w:val="single" w:sz="4" w:space="0" w:color="auto"/>
              <w:left w:val="single" w:sz="4" w:space="0" w:color="auto"/>
              <w:bottom w:val="single" w:sz="4" w:space="0" w:color="auto"/>
              <w:right w:val="single" w:sz="4" w:space="0" w:color="auto"/>
            </w:tcBorders>
            <w:vAlign w:val="center"/>
          </w:tcPr>
          <w:p w14:paraId="37D27E66" w14:textId="77777777" w:rsidR="00D73F70" w:rsidRPr="00787A27" w:rsidRDefault="00D73F70" w:rsidP="004053C4">
            <w:pPr>
              <w:pStyle w:val="LFTTableText"/>
              <w:spacing w:before="0" w:after="0" w:line="240" w:lineRule="auto"/>
              <w:jc w:val="center"/>
              <w:rPr>
                <w:rFonts w:ascii="Arial" w:hAnsi="Arial" w:cs="Arial"/>
                <w:szCs w:val="19"/>
                <w:highlight w:val="yellow"/>
                <w:lang w:bidi="ar-SA"/>
              </w:rPr>
            </w:pPr>
            <w:r w:rsidRPr="00787A27">
              <w:rPr>
                <w:rFonts w:ascii="Arial" w:hAnsi="Arial" w:cs="Arial"/>
                <w:szCs w:val="19"/>
                <w:lang w:bidi="ar-SA"/>
              </w:rPr>
              <w:t>5</w:t>
            </w:r>
          </w:p>
        </w:tc>
        <w:tc>
          <w:tcPr>
            <w:tcW w:w="1950" w:type="dxa"/>
            <w:tcBorders>
              <w:top w:val="single" w:sz="4" w:space="0" w:color="auto"/>
              <w:left w:val="single" w:sz="4" w:space="0" w:color="auto"/>
              <w:bottom w:val="single" w:sz="4" w:space="0" w:color="auto"/>
              <w:right w:val="single" w:sz="4" w:space="0" w:color="auto"/>
            </w:tcBorders>
            <w:vAlign w:val="center"/>
          </w:tcPr>
          <w:p w14:paraId="2147D0D8" w14:textId="09745620" w:rsidR="00D73F70" w:rsidRPr="00787A27" w:rsidRDefault="00D73F70" w:rsidP="004053C4">
            <w:pPr>
              <w:pStyle w:val="LFTTableText"/>
              <w:spacing w:before="0" w:after="0" w:line="240" w:lineRule="auto"/>
              <w:jc w:val="center"/>
              <w:rPr>
                <w:rFonts w:ascii="Arial" w:hAnsi="Arial" w:cs="Arial"/>
                <w:szCs w:val="19"/>
                <w:lang w:bidi="ar-SA"/>
              </w:rPr>
            </w:pPr>
            <w:r w:rsidRPr="00787A27">
              <w:rPr>
                <w:rFonts w:ascii="Arial" w:hAnsi="Arial" w:cs="Arial"/>
                <w:szCs w:val="19"/>
                <w:lang w:bidi="ar-SA"/>
              </w:rPr>
              <w:t>60</w:t>
            </w:r>
          </w:p>
        </w:tc>
      </w:tr>
      <w:tr w:rsidR="00D73F70" w:rsidRPr="00787A27" w14:paraId="722F8734" w14:textId="77777777" w:rsidTr="006243BD">
        <w:trPr>
          <w:trHeight w:val="740"/>
        </w:trPr>
        <w:tc>
          <w:tcPr>
            <w:tcW w:w="8460" w:type="dxa"/>
            <w:gridSpan w:val="4"/>
            <w:tcBorders>
              <w:top w:val="single" w:sz="4" w:space="0" w:color="auto"/>
            </w:tcBorders>
          </w:tcPr>
          <w:p w14:paraId="38961EFC" w14:textId="5AB4B1A4" w:rsidR="00D73F70" w:rsidRPr="00787A27" w:rsidRDefault="00787A27" w:rsidP="00642F33">
            <w:pPr>
              <w:pStyle w:val="LFTTableText"/>
              <w:spacing w:line="240" w:lineRule="auto"/>
              <w:ind w:left="160" w:hanging="160"/>
              <w:rPr>
                <w:rFonts w:ascii="Arial" w:hAnsi="Arial" w:cs="Arial"/>
                <w:bCs w:val="0"/>
                <w:color w:val="000000" w:themeColor="text1"/>
                <w:szCs w:val="19"/>
                <w:lang w:bidi="ar-SA"/>
              </w:rPr>
            </w:pPr>
            <w:r w:rsidRPr="00787A27">
              <w:rPr>
                <w:rFonts w:ascii="Arial" w:hAnsi="Arial" w:cs="Arial"/>
                <w:bCs w:val="0"/>
                <w:color w:val="000000" w:themeColor="text1"/>
                <w:szCs w:val="19"/>
                <w:vertAlign w:val="superscript"/>
                <w:lang w:bidi="ar-SA"/>
              </w:rPr>
              <w:t>1</w:t>
            </w:r>
            <w:r w:rsidR="004053C4">
              <w:rPr>
                <w:rFonts w:ascii="Arial" w:hAnsi="Arial" w:cs="Arial"/>
                <w:bCs w:val="0"/>
                <w:color w:val="000000" w:themeColor="text1"/>
                <w:szCs w:val="19"/>
                <w:lang w:bidi="ar-SA"/>
              </w:rPr>
              <w:t xml:space="preserve"> </w:t>
            </w:r>
            <w:r w:rsidR="00D73F70" w:rsidRPr="00787A27">
              <w:rPr>
                <w:rFonts w:ascii="Arial" w:hAnsi="Arial" w:cs="Arial"/>
                <w:bCs w:val="0"/>
                <w:color w:val="000000" w:themeColor="text1"/>
                <w:szCs w:val="19"/>
                <w:lang w:bidi="ar-SA"/>
              </w:rPr>
              <w:t xml:space="preserve">Includes wet </w:t>
            </w:r>
            <w:r w:rsidR="00326A8C">
              <w:rPr>
                <w:rFonts w:ascii="Arial" w:hAnsi="Arial" w:cs="Arial"/>
                <w:bCs w:val="0"/>
                <w:color w:val="000000" w:themeColor="text1"/>
                <w:szCs w:val="19"/>
                <w:lang w:bidi="ar-SA"/>
              </w:rPr>
              <w:t xml:space="preserve">weather </w:t>
            </w:r>
            <w:r w:rsidR="00D73F70" w:rsidRPr="00787A27">
              <w:rPr>
                <w:rFonts w:ascii="Arial" w:hAnsi="Arial" w:cs="Arial"/>
                <w:bCs w:val="0"/>
                <w:color w:val="000000" w:themeColor="text1"/>
                <w:szCs w:val="19"/>
                <w:lang w:bidi="ar-SA"/>
              </w:rPr>
              <w:t>event</w:t>
            </w:r>
            <w:r w:rsidR="00805069">
              <w:rPr>
                <w:rFonts w:ascii="Arial" w:hAnsi="Arial" w:cs="Arial"/>
                <w:bCs w:val="0"/>
                <w:color w:val="000000" w:themeColor="text1"/>
                <w:szCs w:val="19"/>
                <w:lang w:bidi="ar-SA"/>
              </w:rPr>
              <w:t>s</w:t>
            </w:r>
            <w:r w:rsidR="00D73F70" w:rsidRPr="00787A27">
              <w:rPr>
                <w:rFonts w:ascii="Arial" w:hAnsi="Arial" w:cs="Arial"/>
                <w:bCs w:val="0"/>
                <w:color w:val="000000" w:themeColor="text1"/>
                <w:szCs w:val="19"/>
                <w:lang w:bidi="ar-SA"/>
              </w:rPr>
              <w:t xml:space="preserve"> </w:t>
            </w:r>
            <w:r w:rsidR="002424B4">
              <w:rPr>
                <w:rFonts w:ascii="Arial" w:hAnsi="Arial" w:cs="Arial"/>
                <w:bCs w:val="0"/>
                <w:color w:val="000000" w:themeColor="text1"/>
                <w:szCs w:val="19"/>
                <w:lang w:bidi="ar-SA"/>
              </w:rPr>
              <w:t>beginning Nov 8, 2022</w:t>
            </w:r>
            <w:r w:rsidR="002B2364">
              <w:rPr>
                <w:rFonts w:ascii="Arial" w:hAnsi="Arial" w:cs="Arial"/>
                <w:bCs w:val="0"/>
                <w:color w:val="000000" w:themeColor="text1"/>
                <w:szCs w:val="19"/>
                <w:lang w:bidi="ar-SA"/>
              </w:rPr>
              <w:t xml:space="preserve"> [2022-23 wet season]</w:t>
            </w:r>
            <w:r w:rsidR="002424B4">
              <w:rPr>
                <w:rFonts w:ascii="Arial" w:hAnsi="Arial" w:cs="Arial"/>
                <w:bCs w:val="0"/>
                <w:color w:val="000000" w:themeColor="text1"/>
                <w:szCs w:val="19"/>
                <w:lang w:bidi="ar-SA"/>
              </w:rPr>
              <w:t xml:space="preserve">, </w:t>
            </w:r>
            <w:r w:rsidR="00655F08">
              <w:rPr>
                <w:rFonts w:ascii="Arial" w:hAnsi="Arial" w:cs="Arial"/>
                <w:bCs w:val="0"/>
                <w:color w:val="000000" w:themeColor="text1"/>
                <w:szCs w:val="19"/>
                <w:lang w:bidi="ar-SA"/>
              </w:rPr>
              <w:t>Feb 20, 2024, and March 11, 2025</w:t>
            </w:r>
            <w:r w:rsidR="00642F33">
              <w:rPr>
                <w:rFonts w:ascii="Arial" w:hAnsi="Arial" w:cs="Arial"/>
                <w:bCs w:val="0"/>
                <w:color w:val="000000" w:themeColor="text1"/>
                <w:szCs w:val="19"/>
                <w:lang w:bidi="ar-SA"/>
              </w:rPr>
              <w:t xml:space="preserve">. </w:t>
            </w:r>
            <w:r w:rsidR="002B2364">
              <w:rPr>
                <w:rFonts w:ascii="Arial" w:hAnsi="Arial" w:cs="Arial"/>
                <w:bCs w:val="0"/>
                <w:color w:val="000000" w:themeColor="text1"/>
                <w:szCs w:val="19"/>
                <w:lang w:bidi="ar-SA"/>
              </w:rPr>
              <w:t>Counts i</w:t>
            </w:r>
            <w:r w:rsidR="00D73F70" w:rsidRPr="00787A27">
              <w:rPr>
                <w:rFonts w:ascii="Arial" w:hAnsi="Arial" w:cs="Arial"/>
                <w:bCs w:val="0"/>
                <w:color w:val="000000" w:themeColor="text1"/>
                <w:szCs w:val="19"/>
                <w:lang w:bidi="ar-SA"/>
              </w:rPr>
              <w:t xml:space="preserve">nclude samples </w:t>
            </w:r>
            <w:r w:rsidR="002B2364">
              <w:rPr>
                <w:rFonts w:ascii="Arial" w:hAnsi="Arial" w:cs="Arial"/>
                <w:bCs w:val="0"/>
                <w:color w:val="000000" w:themeColor="text1"/>
                <w:szCs w:val="19"/>
                <w:lang w:bidi="ar-SA"/>
              </w:rPr>
              <w:t xml:space="preserve">determined to be </w:t>
            </w:r>
            <w:r w:rsidR="00D73F70" w:rsidRPr="00787A27">
              <w:rPr>
                <w:rFonts w:ascii="Arial" w:hAnsi="Arial" w:cs="Arial"/>
                <w:bCs w:val="0"/>
                <w:color w:val="000000" w:themeColor="text1"/>
                <w:szCs w:val="19"/>
                <w:lang w:bidi="ar-SA"/>
              </w:rPr>
              <w:t>collected “post-storm” as part of the targeted weather event</w:t>
            </w:r>
            <w:r w:rsidR="004053C4">
              <w:rPr>
                <w:rFonts w:ascii="Arial" w:hAnsi="Arial" w:cs="Arial"/>
                <w:bCs w:val="0"/>
                <w:color w:val="000000" w:themeColor="text1"/>
                <w:szCs w:val="19"/>
                <w:lang w:bidi="ar-SA"/>
              </w:rPr>
              <w:t xml:space="preserve"> (see text)</w:t>
            </w:r>
            <w:r w:rsidR="00642F33">
              <w:rPr>
                <w:rFonts w:ascii="Arial" w:hAnsi="Arial" w:cs="Arial"/>
                <w:bCs w:val="0"/>
                <w:color w:val="000000" w:themeColor="text1"/>
                <w:szCs w:val="19"/>
                <w:lang w:bidi="ar-SA"/>
              </w:rPr>
              <w:t>.</w:t>
            </w:r>
          </w:p>
        </w:tc>
      </w:tr>
    </w:tbl>
    <w:p w14:paraId="113AB179" w14:textId="47779F1E" w:rsidR="006243BD" w:rsidRDefault="006243BD" w:rsidP="006243BD">
      <w:pPr>
        <w:pStyle w:val="BodyText"/>
      </w:pPr>
    </w:p>
    <w:p w14:paraId="07520EB0" w14:textId="3979BDA7" w:rsidR="0004509E" w:rsidRDefault="002B747E" w:rsidP="006243BD">
      <w:pPr>
        <w:pStyle w:val="BodyText"/>
      </w:pPr>
      <w:r w:rsidRPr="0093230C">
        <w:lastRenderedPageBreak/>
        <w:t xml:space="preserve">As noted above, a single wet weather event is sampled each year. Each event involves the collection of four grab samples: (a) the first sample is collected during active wet weather; and (b) three follow-up samples are collected at approximately </w:t>
      </w:r>
      <w:r w:rsidR="00831485">
        <w:t xml:space="preserve">24, </w:t>
      </w:r>
      <w:r w:rsidRPr="0093230C">
        <w:t xml:space="preserve">48, </w:t>
      </w:r>
      <w:r w:rsidR="00831485">
        <w:t xml:space="preserve">and </w:t>
      </w:r>
      <w:r w:rsidRPr="0093230C">
        <w:t>72 hours after collection of the first sample.</w:t>
      </w:r>
      <w:r>
        <w:rPr>
          <w:rStyle w:val="FootnoteReference"/>
        </w:rPr>
        <w:footnoteReference w:id="11"/>
      </w:r>
      <w:r>
        <w:t xml:space="preserve"> </w:t>
      </w:r>
      <w:r w:rsidRPr="0093230C">
        <w:t>Th</w:t>
      </w:r>
      <w:r>
        <w:t xml:space="preserve">e </w:t>
      </w:r>
      <w:r w:rsidRPr="0093230C">
        <w:t xml:space="preserve">scheduling </w:t>
      </w:r>
      <w:r>
        <w:t xml:space="preserve">of sample collection </w:t>
      </w:r>
      <w:r w:rsidRPr="0093230C">
        <w:t xml:space="preserve">at uniform </w:t>
      </w:r>
      <w:r>
        <w:t xml:space="preserve">time </w:t>
      </w:r>
      <w:r w:rsidRPr="0093230C">
        <w:t>intervals</w:t>
      </w:r>
      <w:r>
        <w:t xml:space="preserve"> after the initial sample is collected has the potential to result in the collection of some follow-up samples during wet weather, especially during longer duration storms </w:t>
      </w:r>
      <w:r w:rsidRPr="0093230C">
        <w:t>or when multiple rain events occur within the 96</w:t>
      </w:r>
      <w:r w:rsidR="00A3763F">
        <w:t>-</w:t>
      </w:r>
      <w:r w:rsidRPr="0093230C">
        <w:t>hour sampling event</w:t>
      </w:r>
      <w:r>
        <w:t xml:space="preserve">. </w:t>
      </w:r>
    </w:p>
    <w:p w14:paraId="53202075" w14:textId="538AE491" w:rsidR="002B747E" w:rsidRDefault="0004509E" w:rsidP="006243BD">
      <w:pPr>
        <w:pStyle w:val="BodyText"/>
      </w:pPr>
      <w:r>
        <w:t xml:space="preserve">To determine whether a sample was collected during wet weather or post-storm, flow data </w:t>
      </w:r>
      <w:r w:rsidR="00326A8C">
        <w:t xml:space="preserve">were </w:t>
      </w:r>
      <w:r>
        <w:t xml:space="preserve">evaluated. Specifically, </w:t>
      </w:r>
      <w:r w:rsidR="002B747E" w:rsidRPr="0093230C">
        <w:t>U</w:t>
      </w:r>
      <w:r w:rsidR="00786CDE">
        <w:t>nited State Geological Survey (U</w:t>
      </w:r>
      <w:r w:rsidR="002B747E" w:rsidRPr="0093230C">
        <w:t>SGS</w:t>
      </w:r>
      <w:r w:rsidR="00786CDE">
        <w:t>)</w:t>
      </w:r>
      <w:r w:rsidR="002B747E" w:rsidRPr="0093230C">
        <w:t xml:space="preserve"> gauge data at 15-minute intervals</w:t>
      </w:r>
      <w:r>
        <w:t xml:space="preserve"> were </w:t>
      </w:r>
      <w:r w:rsidR="002B747E" w:rsidRPr="0093230C">
        <w:t xml:space="preserve">used to estimate the time </w:t>
      </w:r>
      <w:r>
        <w:t xml:space="preserve">that passed from when </w:t>
      </w:r>
      <w:r w:rsidR="00D80097">
        <w:t xml:space="preserve">flow </w:t>
      </w:r>
      <w:r w:rsidR="00D80097" w:rsidRPr="0093230C">
        <w:t>return</w:t>
      </w:r>
      <w:r w:rsidR="00D80097">
        <w:t>ed</w:t>
      </w:r>
      <w:r w:rsidR="00D80097" w:rsidRPr="0093230C">
        <w:t xml:space="preserve"> to a pre-</w:t>
      </w:r>
      <w:r w:rsidR="00D80097">
        <w:t xml:space="preserve">wet weather </w:t>
      </w:r>
      <w:r w:rsidR="00D80097" w:rsidRPr="0093230C">
        <w:t>event flow condition</w:t>
      </w:r>
      <w:r w:rsidR="00D80097">
        <w:t xml:space="preserve"> to when</w:t>
      </w:r>
      <w:r w:rsidR="00D80097" w:rsidRPr="0093230C">
        <w:t xml:space="preserve"> </w:t>
      </w:r>
      <w:r w:rsidR="002B747E" w:rsidRPr="0093230C">
        <w:t xml:space="preserve">a </w:t>
      </w:r>
      <w:r w:rsidR="00D80097">
        <w:t xml:space="preserve">post-storm </w:t>
      </w:r>
      <w:r>
        <w:t xml:space="preserve">sample </w:t>
      </w:r>
      <w:r w:rsidR="00D80097">
        <w:t>was collected</w:t>
      </w:r>
      <w:r w:rsidR="002B747E" w:rsidRPr="0093230C">
        <w:t>.</w:t>
      </w:r>
      <w:r w:rsidR="002B747E">
        <w:t xml:space="preserve"> </w:t>
      </w:r>
      <w:r>
        <w:t>This</w:t>
      </w:r>
      <w:r w:rsidR="002B747E">
        <w:t xml:space="preserve"> hydrograph analysis using best professional judgement was conducted for all storm events </w:t>
      </w:r>
      <w:r>
        <w:t xml:space="preserve">sampled by the MSAR Task Force </w:t>
      </w:r>
      <w:r w:rsidR="002B747E">
        <w:t xml:space="preserve">since 2007 to determine which follow-up samples were </w:t>
      </w:r>
      <w:r w:rsidR="002B747E" w:rsidRPr="0093230C">
        <w:t>collected during active wet weather</w:t>
      </w:r>
      <w:r>
        <w:t xml:space="preserve"> or post-storm</w:t>
      </w:r>
      <w:r w:rsidR="00326A8C">
        <w:t xml:space="preserve"> (if </w:t>
      </w:r>
      <w:r>
        <w:t>flow had returned to pre-wet weather event conditions</w:t>
      </w:r>
      <w:r w:rsidR="00326A8C">
        <w:t>)</w:t>
      </w:r>
      <w:r>
        <w:t>.</w:t>
      </w:r>
      <w:r w:rsidR="002B747E">
        <w:t xml:space="preserve"> </w:t>
      </w:r>
      <w:r w:rsidR="008C4CC7">
        <w:t>Based on this analysis, t</w:t>
      </w:r>
      <w:r w:rsidR="002B747E">
        <w:t xml:space="preserve">he amount of time </w:t>
      </w:r>
      <w:r>
        <w:t xml:space="preserve">that passed from </w:t>
      </w:r>
      <w:r w:rsidR="00D80097">
        <w:t>when flow returned to pre-event conditions to the time of collection of a post-storm</w:t>
      </w:r>
      <w:r>
        <w:t xml:space="preserve"> sample </w:t>
      </w:r>
      <w:r w:rsidR="008C4CC7">
        <w:t>has been</w:t>
      </w:r>
      <w:r>
        <w:t xml:space="preserve"> estimated for all wet weather events sampled. </w:t>
      </w:r>
    </w:p>
    <w:p w14:paraId="16411877" w14:textId="7B537E96" w:rsidR="009B79EA" w:rsidRDefault="002B747E" w:rsidP="002B747E">
      <w:pPr>
        <w:pStyle w:val="BodyText"/>
      </w:pPr>
      <w:bookmarkStart w:id="35" w:name="_Hlk120963149"/>
      <w:r w:rsidRPr="0093230C">
        <w:rPr>
          <w:b/>
          <w:bCs/>
        </w:rPr>
        <w:t>Table 2-3</w:t>
      </w:r>
      <w:r w:rsidRPr="0093230C">
        <w:t xml:space="preserve"> </w:t>
      </w:r>
      <w:r>
        <w:t>provides a summary of the classification</w:t>
      </w:r>
      <w:r w:rsidR="008C4CC7">
        <w:t xml:space="preserve">s </w:t>
      </w:r>
      <w:r>
        <w:t xml:space="preserve">of </w:t>
      </w:r>
      <w:r w:rsidR="008C4CC7">
        <w:t xml:space="preserve">all </w:t>
      </w:r>
      <w:r>
        <w:t xml:space="preserve">wet </w:t>
      </w:r>
      <w:r w:rsidR="008C4CC7">
        <w:t xml:space="preserve">weather </w:t>
      </w:r>
      <w:r>
        <w:t>event</w:t>
      </w:r>
      <w:r w:rsidR="008C4CC7">
        <w:t xml:space="preserve"> </w:t>
      </w:r>
      <w:r>
        <w:t>samples</w:t>
      </w:r>
      <w:r w:rsidR="008C4CC7">
        <w:t xml:space="preserve"> (15 wet weather events from 2007-202</w:t>
      </w:r>
      <w:r w:rsidR="00753CBD">
        <w:t>5</w:t>
      </w:r>
      <w:r w:rsidR="008C4CC7">
        <w:t>)</w:t>
      </w:r>
      <w:r>
        <w:t xml:space="preserve"> </w:t>
      </w:r>
      <w:r w:rsidR="008C4CC7">
        <w:t xml:space="preserve">- </w:t>
      </w:r>
      <w:r>
        <w:t xml:space="preserve">either collected during active wet weather or </w:t>
      </w:r>
      <w:r w:rsidR="008C4CC7">
        <w:t xml:space="preserve">collected </w:t>
      </w:r>
      <w:r>
        <w:t>post-storm</w:t>
      </w:r>
      <w:r w:rsidR="009B79EA">
        <w:t xml:space="preserve"> – for monitoring locations on Chino Creek, Mill-Cucamonga Creek and Santa Ana River Reach 3</w:t>
      </w:r>
      <w:r w:rsidR="008C4CC7">
        <w:t xml:space="preserve">. For samples collected post-storm, Table 2-3 also </w:t>
      </w:r>
      <w:r w:rsidR="00D80097">
        <w:t xml:space="preserve">reports the </w:t>
      </w:r>
      <w:r w:rsidR="008C4CC7">
        <w:t>estimate</w:t>
      </w:r>
      <w:r w:rsidR="00D80097">
        <w:t>d</w:t>
      </w:r>
      <w:r w:rsidR="008C4CC7">
        <w:t xml:space="preserve"> </w:t>
      </w:r>
      <w:r>
        <w:t xml:space="preserve">time </w:t>
      </w:r>
      <w:r w:rsidR="008C4CC7">
        <w:t>that had passed since flow had returned to pre-wet weather conditions. Specifically, t</w:t>
      </w:r>
      <w:r>
        <w:t xml:space="preserve">he values in the </w:t>
      </w:r>
      <w:r w:rsidR="008C4CC7">
        <w:t>“P</w:t>
      </w:r>
      <w:r>
        <w:t xml:space="preserve">ost-storm </w:t>
      </w:r>
      <w:r w:rsidR="008C4CC7">
        <w:t>S</w:t>
      </w:r>
      <w:r>
        <w:t>amples</w:t>
      </w:r>
      <w:r w:rsidR="008C4CC7">
        <w:t>”</w:t>
      </w:r>
      <w:r>
        <w:t xml:space="preserve"> </w:t>
      </w:r>
      <w:r w:rsidR="008C4CC7">
        <w:t xml:space="preserve">columns </w:t>
      </w:r>
      <w:r>
        <w:t xml:space="preserve">show the time in hours </w:t>
      </w:r>
      <w:r w:rsidR="008C4CC7">
        <w:t xml:space="preserve">for each sample collected </w:t>
      </w:r>
      <w:r>
        <w:t>since active wet weather ceased and flow retu</w:t>
      </w:r>
      <w:r w:rsidR="008C4CC7">
        <w:t>r</w:t>
      </w:r>
      <w:r>
        <w:t>ned to pre-event levels</w:t>
      </w:r>
      <w:r w:rsidR="008C4CC7">
        <w:t xml:space="preserve"> (</w:t>
      </w:r>
      <w:r>
        <w:t>sample</w:t>
      </w:r>
      <w:r w:rsidR="008C4CC7">
        <w:t xml:space="preserve"> collection times are listed </w:t>
      </w:r>
      <w:r>
        <w:t>in chronological order</w:t>
      </w:r>
      <w:r w:rsidR="008C4CC7">
        <w:t>)</w:t>
      </w:r>
      <w:r>
        <w:t xml:space="preserve">. For example, </w:t>
      </w:r>
      <w:r w:rsidR="008C4CC7">
        <w:t xml:space="preserve">in the first row a wet weather event was sampled on 12/7/2007. In Chino Creek, based on </w:t>
      </w:r>
      <w:proofErr w:type="gramStart"/>
      <w:r w:rsidR="008C4CC7">
        <w:t>the hydrologic</w:t>
      </w:r>
      <w:proofErr w:type="gramEnd"/>
      <w:r w:rsidR="008C4CC7">
        <w:t xml:space="preserve"> analysis, t</w:t>
      </w:r>
      <w:r>
        <w:t xml:space="preserve">wo </w:t>
      </w:r>
      <w:r w:rsidR="008C4CC7">
        <w:t xml:space="preserve">of four samples collected during the event </w:t>
      </w:r>
      <w:r>
        <w:t>were collected during active wet weather</w:t>
      </w:r>
      <w:r w:rsidR="008C4CC7">
        <w:t xml:space="preserve"> (</w:t>
      </w:r>
      <w:r>
        <w:t xml:space="preserve">12/7/2007 and </w:t>
      </w:r>
      <w:r w:rsidR="008C4CC7">
        <w:t xml:space="preserve">48 hours </w:t>
      </w:r>
      <w:proofErr w:type="gramStart"/>
      <w:r w:rsidR="008C4CC7">
        <w:t>later on</w:t>
      </w:r>
      <w:proofErr w:type="gramEnd"/>
      <w:r w:rsidR="008C4CC7">
        <w:t xml:space="preserve"> </w:t>
      </w:r>
      <w:r>
        <w:t>12/9/2007</w:t>
      </w:r>
      <w:r w:rsidR="008C4CC7">
        <w:t>)</w:t>
      </w:r>
      <w:r>
        <w:t xml:space="preserve">. </w:t>
      </w:r>
      <w:r w:rsidR="009B79EA">
        <w:t xml:space="preserve">Flow conditions </w:t>
      </w:r>
      <w:r>
        <w:t>in Chino Creek returned to pre-</w:t>
      </w:r>
      <w:r w:rsidR="009B79EA">
        <w:t xml:space="preserve">wet </w:t>
      </w:r>
      <w:proofErr w:type="gramStart"/>
      <w:r w:rsidR="009B79EA">
        <w:t xml:space="preserve">weather </w:t>
      </w:r>
      <w:r>
        <w:t>event</w:t>
      </w:r>
      <w:proofErr w:type="gramEnd"/>
      <w:r>
        <w:t xml:space="preserve"> levels one hour before the third </w:t>
      </w:r>
      <w:r w:rsidR="009B79EA">
        <w:t xml:space="preserve">wet weather </w:t>
      </w:r>
      <w:r>
        <w:t>event sample was collected</w:t>
      </w:r>
      <w:r w:rsidR="009B79EA">
        <w:t xml:space="preserve">. </w:t>
      </w:r>
      <w:r>
        <w:t xml:space="preserve">A fourth event sample was collected 24 hours after the return to pre-event runoff. </w:t>
      </w:r>
    </w:p>
    <w:p w14:paraId="49E5EFD2" w14:textId="5EAFDAA0" w:rsidR="00E67C98" w:rsidRDefault="009B79EA" w:rsidP="009E2881">
      <w:pPr>
        <w:pStyle w:val="BodyText"/>
      </w:pPr>
      <w:r>
        <w:t xml:space="preserve">The hydrologic analysis found that in </w:t>
      </w:r>
      <w:r w:rsidR="002B747E">
        <w:t xml:space="preserve">some cases, </w:t>
      </w:r>
      <w:r>
        <w:t xml:space="preserve">additional wet weather runoff occurred between the time the third and fourth samples were collected. In these cases, </w:t>
      </w:r>
      <w:r w:rsidR="002B747E">
        <w:t xml:space="preserve">the hours shown for the fourth sample </w:t>
      </w:r>
      <w:r>
        <w:t>are</w:t>
      </w:r>
      <w:r w:rsidR="002B747E">
        <w:t xml:space="preserve"> less than the </w:t>
      </w:r>
      <w:r>
        <w:t xml:space="preserve">hours shown for the </w:t>
      </w:r>
      <w:r w:rsidR="002B747E">
        <w:t>third</w:t>
      </w:r>
      <w:r>
        <w:t xml:space="preserve"> sample (e.g., see the Chino Creek and Mill-Cucamonga Creek Results for the 11/20/2010 wet weather event)</w:t>
      </w:r>
      <w:r w:rsidR="002B747E">
        <w:t xml:space="preserve">. </w:t>
      </w:r>
      <w:r>
        <w:t xml:space="preserve">The analysis also found that </w:t>
      </w:r>
      <w:r w:rsidR="0057013E">
        <w:t>duration of wet weather events can vary somewhat</w:t>
      </w:r>
      <w:r w:rsidR="00435CFF">
        <w:t xml:space="preserve"> (e.g., note that for the wet weather sample event that began on 2/1/2019, flow at all sites did not return to pre-wet weather conditions during the entire wet weather sample event)</w:t>
      </w:r>
      <w:r w:rsidR="0057013E">
        <w:t xml:space="preserve">. This type of information </w:t>
      </w:r>
      <w:r w:rsidR="002E11EB">
        <w:lastRenderedPageBreak/>
        <w:t>is</w:t>
      </w:r>
      <w:r w:rsidR="005C368A">
        <w:t xml:space="preserve"> </w:t>
      </w:r>
      <w:r w:rsidR="0057013E">
        <w:t xml:space="preserve">of critical importance when evaluating compliance with wet weather </w:t>
      </w:r>
      <w:proofErr w:type="gramStart"/>
      <w:r w:rsidR="0057013E">
        <w:t>condition</w:t>
      </w:r>
      <w:proofErr w:type="gramEnd"/>
      <w:r w:rsidR="0057013E">
        <w:t xml:space="preserve"> TMDL WLAs and LAs.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011"/>
        <w:gridCol w:w="1533"/>
        <w:gridCol w:w="957"/>
        <w:gridCol w:w="1658"/>
        <w:gridCol w:w="957"/>
        <w:gridCol w:w="1747"/>
      </w:tblGrid>
      <w:tr w:rsidR="00E67C98" w:rsidRPr="00750963" w14:paraId="00FC11B6" w14:textId="77777777" w:rsidTr="00262350">
        <w:trPr>
          <w:trHeight w:val="540"/>
        </w:trPr>
        <w:tc>
          <w:tcPr>
            <w:tcW w:w="9000" w:type="dxa"/>
            <w:gridSpan w:val="7"/>
            <w:tcBorders>
              <w:top w:val="nil"/>
              <w:left w:val="nil"/>
              <w:bottom w:val="single" w:sz="4" w:space="0" w:color="auto"/>
              <w:right w:val="nil"/>
            </w:tcBorders>
            <w:noWrap/>
            <w:vAlign w:val="center"/>
          </w:tcPr>
          <w:p w14:paraId="281677BB" w14:textId="0E1C0ED2" w:rsidR="00E67C98" w:rsidRPr="00750963" w:rsidRDefault="00262350" w:rsidP="00A94C91">
            <w:pPr>
              <w:pStyle w:val="TableTitle"/>
            </w:pPr>
            <w:bookmarkStart w:id="36" w:name="_Toc217391755"/>
            <w:r>
              <w:t xml:space="preserve">Table </w:t>
            </w:r>
            <w:r w:rsidR="00FE614C">
              <w:fldChar w:fldCharType="begin"/>
            </w:r>
            <w:r w:rsidR="00FE614C">
              <w:instrText xml:space="preserve"> STYLEREF 1 \s </w:instrText>
            </w:r>
            <w:r w:rsidR="00FE614C">
              <w:fldChar w:fldCharType="separate"/>
            </w:r>
            <w:r w:rsidR="00FE614C">
              <w:rPr>
                <w:noProof/>
              </w:rPr>
              <w:t>2</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3</w:t>
            </w:r>
            <w:r w:rsidR="00FE614C">
              <w:fldChar w:fldCharType="end"/>
            </w:r>
            <w:r w:rsidR="00A41B16">
              <w:t>.</w:t>
            </w:r>
            <w:r w:rsidRPr="00262350">
              <w:t xml:space="preserve"> </w:t>
            </w:r>
            <w:r w:rsidRPr="00750963">
              <w:t>Wet Event Samples Classified as Either Active Wet Weather o</w:t>
            </w:r>
            <w:r>
              <w:t>r</w:t>
            </w:r>
            <w:r w:rsidRPr="00750963">
              <w:t xml:space="preserve"> Post-Storm </w:t>
            </w:r>
            <w:r>
              <w:t>in the MSAR Watershed</w:t>
            </w:r>
            <w:bookmarkEnd w:id="36"/>
          </w:p>
        </w:tc>
      </w:tr>
      <w:tr w:rsidR="00262350" w:rsidRPr="00262350" w14:paraId="12BDCFE8" w14:textId="77777777" w:rsidTr="00262350">
        <w:trPr>
          <w:trHeight w:val="449"/>
        </w:trPr>
        <w:tc>
          <w:tcPr>
            <w:tcW w:w="113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1401F40"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Event (Date of Collection of First Sample)</w:t>
            </w:r>
          </w:p>
        </w:tc>
        <w:tc>
          <w:tcPr>
            <w:tcW w:w="254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3FBB390"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Chino Creek</w:t>
            </w:r>
          </w:p>
        </w:tc>
        <w:tc>
          <w:tcPr>
            <w:tcW w:w="261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A249466"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Mill-Cucamonga Creek</w:t>
            </w:r>
          </w:p>
        </w:tc>
        <w:tc>
          <w:tcPr>
            <w:tcW w:w="270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5DD4EA"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Santa Ana River</w:t>
            </w:r>
            <w:r w:rsidRPr="002714B2">
              <w:rPr>
                <w:rFonts w:ascii="Arial" w:hAnsi="Arial" w:cs="Arial"/>
                <w:b/>
                <w:bCs/>
                <w:sz w:val="18"/>
                <w:szCs w:val="18"/>
                <w:vertAlign w:val="superscript"/>
              </w:rPr>
              <w:t>1</w:t>
            </w:r>
          </w:p>
        </w:tc>
      </w:tr>
      <w:tr w:rsidR="00262350" w:rsidRPr="00262350" w14:paraId="7B975864" w14:textId="77777777" w:rsidTr="00262350">
        <w:trPr>
          <w:trHeight w:val="1124"/>
        </w:trPr>
        <w:tc>
          <w:tcPr>
            <w:tcW w:w="1137"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DDA1EB" w14:textId="77777777" w:rsidR="00E67C98" w:rsidRPr="002714B2" w:rsidRDefault="00E67C98" w:rsidP="00491001">
            <w:pPr>
              <w:spacing w:line="240" w:lineRule="auto"/>
              <w:jc w:val="center"/>
              <w:rPr>
                <w:rFonts w:ascii="Arial" w:hAnsi="Arial" w:cs="Arial"/>
                <w:b/>
                <w:bCs/>
                <w:sz w:val="18"/>
                <w:szCs w:val="18"/>
              </w:rPr>
            </w:pPr>
          </w:p>
        </w:tc>
        <w:tc>
          <w:tcPr>
            <w:tcW w:w="101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997569"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Wet Samples</w:t>
            </w:r>
          </w:p>
        </w:tc>
        <w:tc>
          <w:tcPr>
            <w:tcW w:w="15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D3A0A18"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Post-storm Samples (Hours since active wet weather)</w:t>
            </w:r>
          </w:p>
        </w:tc>
        <w:tc>
          <w:tcPr>
            <w:tcW w:w="95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6A22976"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Wet Samples</w:t>
            </w:r>
          </w:p>
        </w:tc>
        <w:tc>
          <w:tcPr>
            <w:tcW w:w="165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61D7F8A"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Post-storm Samples (Hours since active wet weather)</w:t>
            </w:r>
          </w:p>
        </w:tc>
        <w:tc>
          <w:tcPr>
            <w:tcW w:w="95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4B2ABA5"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Wet Samples</w:t>
            </w:r>
          </w:p>
        </w:tc>
        <w:tc>
          <w:tcPr>
            <w:tcW w:w="174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56FC2F8" w14:textId="77777777" w:rsidR="00E67C98" w:rsidRPr="002714B2" w:rsidRDefault="00E67C98" w:rsidP="00491001">
            <w:pPr>
              <w:spacing w:line="240" w:lineRule="auto"/>
              <w:jc w:val="center"/>
              <w:rPr>
                <w:rFonts w:ascii="Arial" w:hAnsi="Arial" w:cs="Arial"/>
                <w:b/>
                <w:bCs/>
                <w:sz w:val="18"/>
                <w:szCs w:val="18"/>
              </w:rPr>
            </w:pPr>
            <w:r w:rsidRPr="002714B2">
              <w:rPr>
                <w:rFonts w:ascii="Arial" w:hAnsi="Arial" w:cs="Arial"/>
                <w:b/>
                <w:bCs/>
                <w:sz w:val="18"/>
                <w:szCs w:val="18"/>
              </w:rPr>
              <w:t>Post-storm Samples (Hours since active wet weather)</w:t>
            </w:r>
          </w:p>
        </w:tc>
      </w:tr>
      <w:tr w:rsidR="00E67C98" w:rsidRPr="00750963" w14:paraId="4956EA15" w14:textId="77777777" w:rsidTr="00D82992">
        <w:trPr>
          <w:trHeight w:val="389"/>
        </w:trPr>
        <w:tc>
          <w:tcPr>
            <w:tcW w:w="1137" w:type="dxa"/>
            <w:tcBorders>
              <w:top w:val="single" w:sz="4" w:space="0" w:color="auto"/>
            </w:tcBorders>
            <w:noWrap/>
            <w:vAlign w:val="center"/>
            <w:hideMark/>
          </w:tcPr>
          <w:p w14:paraId="7826EC49"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12/7/2007</w:t>
            </w:r>
          </w:p>
        </w:tc>
        <w:tc>
          <w:tcPr>
            <w:tcW w:w="1011" w:type="dxa"/>
            <w:tcBorders>
              <w:top w:val="single" w:sz="4" w:space="0" w:color="auto"/>
            </w:tcBorders>
            <w:noWrap/>
            <w:vAlign w:val="center"/>
            <w:hideMark/>
          </w:tcPr>
          <w:p w14:paraId="0843A56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533" w:type="dxa"/>
            <w:tcBorders>
              <w:top w:val="single" w:sz="4" w:space="0" w:color="auto"/>
            </w:tcBorders>
            <w:noWrap/>
            <w:vAlign w:val="center"/>
            <w:hideMark/>
          </w:tcPr>
          <w:p w14:paraId="262C53A1"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1,24</w:t>
            </w:r>
          </w:p>
        </w:tc>
        <w:tc>
          <w:tcPr>
            <w:tcW w:w="957" w:type="dxa"/>
            <w:tcBorders>
              <w:top w:val="single" w:sz="4" w:space="0" w:color="auto"/>
            </w:tcBorders>
            <w:noWrap/>
            <w:vAlign w:val="center"/>
            <w:hideMark/>
          </w:tcPr>
          <w:p w14:paraId="0D9115B8"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658" w:type="dxa"/>
            <w:tcBorders>
              <w:top w:val="single" w:sz="4" w:space="0" w:color="auto"/>
            </w:tcBorders>
            <w:noWrap/>
            <w:vAlign w:val="center"/>
            <w:hideMark/>
          </w:tcPr>
          <w:p w14:paraId="11FAD93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36,60,84</w:t>
            </w:r>
          </w:p>
        </w:tc>
        <w:tc>
          <w:tcPr>
            <w:tcW w:w="957" w:type="dxa"/>
            <w:tcBorders>
              <w:top w:val="single" w:sz="4" w:space="0" w:color="auto"/>
            </w:tcBorders>
            <w:noWrap/>
            <w:vAlign w:val="center"/>
            <w:hideMark/>
          </w:tcPr>
          <w:p w14:paraId="5F6C9EC6"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747" w:type="dxa"/>
            <w:tcBorders>
              <w:top w:val="single" w:sz="4" w:space="0" w:color="auto"/>
            </w:tcBorders>
            <w:noWrap/>
            <w:vAlign w:val="center"/>
            <w:hideMark/>
          </w:tcPr>
          <w:p w14:paraId="6513F2CF"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13, 37</w:t>
            </w:r>
          </w:p>
        </w:tc>
      </w:tr>
      <w:tr w:rsidR="00E67C98" w:rsidRPr="00750963" w14:paraId="4807EA72" w14:textId="77777777" w:rsidTr="00D82992">
        <w:trPr>
          <w:trHeight w:val="389"/>
        </w:trPr>
        <w:tc>
          <w:tcPr>
            <w:tcW w:w="1137" w:type="dxa"/>
            <w:noWrap/>
            <w:vAlign w:val="center"/>
            <w:hideMark/>
          </w:tcPr>
          <w:p w14:paraId="265EFD46"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12/15/2008</w:t>
            </w:r>
          </w:p>
        </w:tc>
        <w:tc>
          <w:tcPr>
            <w:tcW w:w="1011" w:type="dxa"/>
            <w:noWrap/>
            <w:vAlign w:val="center"/>
            <w:hideMark/>
          </w:tcPr>
          <w:p w14:paraId="2527318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533" w:type="dxa"/>
            <w:noWrap/>
            <w:vAlign w:val="center"/>
            <w:hideMark/>
          </w:tcPr>
          <w:p w14:paraId="6BA3223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3,27</w:t>
            </w:r>
          </w:p>
        </w:tc>
        <w:tc>
          <w:tcPr>
            <w:tcW w:w="957" w:type="dxa"/>
            <w:noWrap/>
            <w:vAlign w:val="center"/>
            <w:hideMark/>
          </w:tcPr>
          <w:p w14:paraId="6C647796"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658" w:type="dxa"/>
            <w:noWrap/>
            <w:vAlign w:val="center"/>
            <w:hideMark/>
          </w:tcPr>
          <w:p w14:paraId="654CAD0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20,19</w:t>
            </w:r>
          </w:p>
        </w:tc>
        <w:tc>
          <w:tcPr>
            <w:tcW w:w="957" w:type="dxa"/>
            <w:noWrap/>
            <w:vAlign w:val="center"/>
            <w:hideMark/>
          </w:tcPr>
          <w:p w14:paraId="4995CE6A"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w:t>
            </w:r>
          </w:p>
        </w:tc>
        <w:tc>
          <w:tcPr>
            <w:tcW w:w="1747" w:type="dxa"/>
            <w:noWrap/>
            <w:vAlign w:val="center"/>
            <w:hideMark/>
          </w:tcPr>
          <w:p w14:paraId="131C843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w:t>
            </w:r>
          </w:p>
        </w:tc>
      </w:tr>
      <w:tr w:rsidR="00E67C98" w:rsidRPr="00750963" w14:paraId="26A9EF30" w14:textId="77777777" w:rsidTr="00D82992">
        <w:trPr>
          <w:trHeight w:val="389"/>
        </w:trPr>
        <w:tc>
          <w:tcPr>
            <w:tcW w:w="1137" w:type="dxa"/>
            <w:noWrap/>
            <w:vAlign w:val="center"/>
            <w:hideMark/>
          </w:tcPr>
          <w:p w14:paraId="72B9FC6A"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10/14/2009</w:t>
            </w:r>
          </w:p>
        </w:tc>
        <w:tc>
          <w:tcPr>
            <w:tcW w:w="1011" w:type="dxa"/>
            <w:noWrap/>
            <w:vAlign w:val="center"/>
            <w:hideMark/>
          </w:tcPr>
          <w:p w14:paraId="6415690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246A97B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46,69,93</w:t>
            </w:r>
          </w:p>
        </w:tc>
        <w:tc>
          <w:tcPr>
            <w:tcW w:w="957" w:type="dxa"/>
            <w:noWrap/>
            <w:vAlign w:val="center"/>
            <w:hideMark/>
          </w:tcPr>
          <w:p w14:paraId="284A47F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658" w:type="dxa"/>
            <w:noWrap/>
            <w:vAlign w:val="center"/>
            <w:hideMark/>
          </w:tcPr>
          <w:p w14:paraId="44B72FA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8,12</w:t>
            </w:r>
          </w:p>
        </w:tc>
        <w:tc>
          <w:tcPr>
            <w:tcW w:w="957" w:type="dxa"/>
            <w:noWrap/>
            <w:vAlign w:val="center"/>
            <w:hideMark/>
          </w:tcPr>
          <w:p w14:paraId="42AB4B71"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747" w:type="dxa"/>
            <w:noWrap/>
            <w:vAlign w:val="center"/>
            <w:hideMark/>
          </w:tcPr>
          <w:p w14:paraId="407A15FA"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20,43,67</w:t>
            </w:r>
          </w:p>
        </w:tc>
      </w:tr>
      <w:tr w:rsidR="00E67C98" w:rsidRPr="00750963" w14:paraId="7999B861" w14:textId="77777777" w:rsidTr="00D82992">
        <w:trPr>
          <w:trHeight w:val="389"/>
        </w:trPr>
        <w:tc>
          <w:tcPr>
            <w:tcW w:w="1137" w:type="dxa"/>
            <w:noWrap/>
            <w:vAlign w:val="center"/>
            <w:hideMark/>
          </w:tcPr>
          <w:p w14:paraId="6049D655"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11/20/2010</w:t>
            </w:r>
          </w:p>
        </w:tc>
        <w:tc>
          <w:tcPr>
            <w:tcW w:w="1011" w:type="dxa"/>
            <w:noWrap/>
            <w:vAlign w:val="center"/>
            <w:hideMark/>
          </w:tcPr>
          <w:p w14:paraId="0BB0692D"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09BFA53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23,48,10</w:t>
            </w:r>
          </w:p>
        </w:tc>
        <w:tc>
          <w:tcPr>
            <w:tcW w:w="957" w:type="dxa"/>
            <w:noWrap/>
            <w:vAlign w:val="center"/>
            <w:hideMark/>
          </w:tcPr>
          <w:p w14:paraId="1831D57F"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658" w:type="dxa"/>
            <w:noWrap/>
            <w:vAlign w:val="center"/>
            <w:hideMark/>
          </w:tcPr>
          <w:p w14:paraId="4AD82A8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8,33,8</w:t>
            </w:r>
          </w:p>
        </w:tc>
        <w:tc>
          <w:tcPr>
            <w:tcW w:w="957" w:type="dxa"/>
            <w:noWrap/>
            <w:vAlign w:val="center"/>
            <w:hideMark/>
          </w:tcPr>
          <w:p w14:paraId="61E52CA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747" w:type="dxa"/>
            <w:noWrap/>
            <w:vAlign w:val="center"/>
            <w:hideMark/>
          </w:tcPr>
          <w:p w14:paraId="2FEEDCCF"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7,31</w:t>
            </w:r>
          </w:p>
        </w:tc>
      </w:tr>
      <w:tr w:rsidR="00E67C98" w:rsidRPr="00750963" w14:paraId="43937269" w14:textId="77777777" w:rsidTr="00D82992">
        <w:trPr>
          <w:trHeight w:val="389"/>
        </w:trPr>
        <w:tc>
          <w:tcPr>
            <w:tcW w:w="1137" w:type="dxa"/>
            <w:noWrap/>
            <w:vAlign w:val="center"/>
            <w:hideMark/>
          </w:tcPr>
          <w:p w14:paraId="19435082"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12/12/2011</w:t>
            </w:r>
          </w:p>
        </w:tc>
        <w:tc>
          <w:tcPr>
            <w:tcW w:w="1011" w:type="dxa"/>
            <w:noWrap/>
            <w:vAlign w:val="center"/>
            <w:hideMark/>
          </w:tcPr>
          <w:p w14:paraId="46745B06"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78D4E02D"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43,67,18</w:t>
            </w:r>
          </w:p>
        </w:tc>
        <w:tc>
          <w:tcPr>
            <w:tcW w:w="957" w:type="dxa"/>
            <w:noWrap/>
            <w:vAlign w:val="center"/>
            <w:hideMark/>
          </w:tcPr>
          <w:p w14:paraId="19A906E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658" w:type="dxa"/>
            <w:noWrap/>
            <w:vAlign w:val="center"/>
            <w:hideMark/>
          </w:tcPr>
          <w:p w14:paraId="047981D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32,56,12</w:t>
            </w:r>
          </w:p>
        </w:tc>
        <w:tc>
          <w:tcPr>
            <w:tcW w:w="957" w:type="dxa"/>
            <w:noWrap/>
            <w:vAlign w:val="center"/>
            <w:hideMark/>
          </w:tcPr>
          <w:p w14:paraId="4476CD01"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747" w:type="dxa"/>
            <w:noWrap/>
            <w:vAlign w:val="center"/>
            <w:hideMark/>
          </w:tcPr>
          <w:p w14:paraId="1CA3662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24,47,72</w:t>
            </w:r>
          </w:p>
        </w:tc>
      </w:tr>
      <w:tr w:rsidR="00E67C98" w:rsidRPr="00750963" w14:paraId="560E8250" w14:textId="77777777" w:rsidTr="00D82992">
        <w:trPr>
          <w:trHeight w:val="389"/>
        </w:trPr>
        <w:tc>
          <w:tcPr>
            <w:tcW w:w="1137" w:type="dxa"/>
            <w:noWrap/>
            <w:vAlign w:val="center"/>
            <w:hideMark/>
          </w:tcPr>
          <w:p w14:paraId="0A990A7A"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12/13/2012</w:t>
            </w:r>
          </w:p>
        </w:tc>
        <w:tc>
          <w:tcPr>
            <w:tcW w:w="1011" w:type="dxa"/>
            <w:noWrap/>
            <w:vAlign w:val="center"/>
            <w:hideMark/>
          </w:tcPr>
          <w:p w14:paraId="2C33A61D"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54787E6D"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4,28,53</w:t>
            </w:r>
          </w:p>
        </w:tc>
        <w:tc>
          <w:tcPr>
            <w:tcW w:w="957" w:type="dxa"/>
            <w:noWrap/>
            <w:vAlign w:val="center"/>
            <w:hideMark/>
          </w:tcPr>
          <w:p w14:paraId="2D96F7E9"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658" w:type="dxa"/>
            <w:noWrap/>
            <w:vAlign w:val="center"/>
            <w:hideMark/>
          </w:tcPr>
          <w:p w14:paraId="13B17718"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5,29,53</w:t>
            </w:r>
          </w:p>
        </w:tc>
        <w:tc>
          <w:tcPr>
            <w:tcW w:w="957" w:type="dxa"/>
            <w:noWrap/>
            <w:vAlign w:val="center"/>
            <w:hideMark/>
          </w:tcPr>
          <w:p w14:paraId="1A329835"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747" w:type="dxa"/>
            <w:noWrap/>
            <w:vAlign w:val="center"/>
            <w:hideMark/>
          </w:tcPr>
          <w:p w14:paraId="2205DD7B"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14,38,62</w:t>
            </w:r>
          </w:p>
        </w:tc>
      </w:tr>
      <w:tr w:rsidR="00E67C98" w:rsidRPr="00750963" w14:paraId="0DBD605E" w14:textId="77777777" w:rsidTr="00D82992">
        <w:trPr>
          <w:trHeight w:val="389"/>
        </w:trPr>
        <w:tc>
          <w:tcPr>
            <w:tcW w:w="1137" w:type="dxa"/>
            <w:noWrap/>
            <w:vAlign w:val="center"/>
            <w:hideMark/>
          </w:tcPr>
          <w:p w14:paraId="05AA0D9C"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2/28/2014</w:t>
            </w:r>
          </w:p>
        </w:tc>
        <w:tc>
          <w:tcPr>
            <w:tcW w:w="1011" w:type="dxa"/>
            <w:noWrap/>
            <w:vAlign w:val="center"/>
            <w:hideMark/>
          </w:tcPr>
          <w:p w14:paraId="67D8C54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02152A0F"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10,20,40</w:t>
            </w:r>
          </w:p>
        </w:tc>
        <w:tc>
          <w:tcPr>
            <w:tcW w:w="957" w:type="dxa"/>
            <w:noWrap/>
            <w:vAlign w:val="center"/>
            <w:hideMark/>
          </w:tcPr>
          <w:p w14:paraId="00FB3F3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658" w:type="dxa"/>
            <w:noWrap/>
            <w:vAlign w:val="center"/>
            <w:hideMark/>
          </w:tcPr>
          <w:p w14:paraId="41B4080E"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1,25,49</w:t>
            </w:r>
          </w:p>
        </w:tc>
        <w:tc>
          <w:tcPr>
            <w:tcW w:w="957" w:type="dxa"/>
            <w:noWrap/>
            <w:vAlign w:val="center"/>
            <w:hideMark/>
          </w:tcPr>
          <w:p w14:paraId="32A5D5FA"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747" w:type="dxa"/>
            <w:noWrap/>
            <w:vAlign w:val="center"/>
            <w:hideMark/>
          </w:tcPr>
          <w:p w14:paraId="1F0E96D6"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6,30,54</w:t>
            </w:r>
          </w:p>
        </w:tc>
      </w:tr>
      <w:tr w:rsidR="00E67C98" w:rsidRPr="00750963" w14:paraId="5682A324" w14:textId="77777777" w:rsidTr="00D82992">
        <w:trPr>
          <w:trHeight w:val="389"/>
        </w:trPr>
        <w:tc>
          <w:tcPr>
            <w:tcW w:w="1137" w:type="dxa"/>
            <w:noWrap/>
            <w:vAlign w:val="center"/>
            <w:hideMark/>
          </w:tcPr>
          <w:p w14:paraId="3526BAB5"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12/2/2014</w:t>
            </w:r>
          </w:p>
        </w:tc>
        <w:tc>
          <w:tcPr>
            <w:tcW w:w="1011" w:type="dxa"/>
            <w:noWrap/>
            <w:vAlign w:val="center"/>
            <w:hideMark/>
          </w:tcPr>
          <w:p w14:paraId="29D5935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01812A9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2,11,35</w:t>
            </w:r>
          </w:p>
        </w:tc>
        <w:tc>
          <w:tcPr>
            <w:tcW w:w="957" w:type="dxa"/>
            <w:noWrap/>
            <w:vAlign w:val="center"/>
            <w:hideMark/>
          </w:tcPr>
          <w:p w14:paraId="534AF9F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658" w:type="dxa"/>
            <w:noWrap/>
            <w:vAlign w:val="center"/>
            <w:hideMark/>
          </w:tcPr>
          <w:p w14:paraId="7E63FA7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17,41</w:t>
            </w:r>
          </w:p>
        </w:tc>
        <w:tc>
          <w:tcPr>
            <w:tcW w:w="957" w:type="dxa"/>
            <w:noWrap/>
            <w:vAlign w:val="center"/>
            <w:hideMark/>
          </w:tcPr>
          <w:p w14:paraId="5C8C204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w:t>
            </w:r>
          </w:p>
        </w:tc>
        <w:tc>
          <w:tcPr>
            <w:tcW w:w="1747" w:type="dxa"/>
            <w:noWrap/>
            <w:vAlign w:val="center"/>
            <w:hideMark/>
          </w:tcPr>
          <w:p w14:paraId="06BE8861"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9</w:t>
            </w:r>
          </w:p>
        </w:tc>
      </w:tr>
      <w:tr w:rsidR="00E67C98" w:rsidRPr="00750963" w14:paraId="7E2EE9C2" w14:textId="77777777" w:rsidTr="00D82992">
        <w:trPr>
          <w:trHeight w:val="389"/>
        </w:trPr>
        <w:tc>
          <w:tcPr>
            <w:tcW w:w="1137" w:type="dxa"/>
            <w:noWrap/>
            <w:vAlign w:val="center"/>
            <w:hideMark/>
          </w:tcPr>
          <w:p w14:paraId="6CB974DE"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3/6/2016</w:t>
            </w:r>
          </w:p>
        </w:tc>
        <w:tc>
          <w:tcPr>
            <w:tcW w:w="1011" w:type="dxa"/>
            <w:noWrap/>
            <w:vAlign w:val="center"/>
            <w:hideMark/>
          </w:tcPr>
          <w:p w14:paraId="21C54BDB"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28FBD6EB"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5,29,54</w:t>
            </w:r>
          </w:p>
        </w:tc>
        <w:tc>
          <w:tcPr>
            <w:tcW w:w="957" w:type="dxa"/>
            <w:noWrap/>
            <w:vAlign w:val="center"/>
            <w:hideMark/>
          </w:tcPr>
          <w:p w14:paraId="6070BE59"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658" w:type="dxa"/>
            <w:noWrap/>
            <w:vAlign w:val="center"/>
            <w:hideMark/>
          </w:tcPr>
          <w:p w14:paraId="6043596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8,17,41</w:t>
            </w:r>
          </w:p>
        </w:tc>
        <w:tc>
          <w:tcPr>
            <w:tcW w:w="957" w:type="dxa"/>
            <w:noWrap/>
            <w:vAlign w:val="center"/>
            <w:hideMark/>
          </w:tcPr>
          <w:p w14:paraId="12C90AE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747" w:type="dxa"/>
            <w:noWrap/>
            <w:vAlign w:val="center"/>
            <w:hideMark/>
          </w:tcPr>
          <w:p w14:paraId="45B2FA08"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19,44</w:t>
            </w:r>
          </w:p>
        </w:tc>
      </w:tr>
      <w:tr w:rsidR="00E67C98" w:rsidRPr="00750963" w14:paraId="5F49B6FB" w14:textId="77777777" w:rsidTr="00D82992">
        <w:trPr>
          <w:trHeight w:val="389"/>
        </w:trPr>
        <w:tc>
          <w:tcPr>
            <w:tcW w:w="1137" w:type="dxa"/>
            <w:noWrap/>
            <w:vAlign w:val="center"/>
            <w:hideMark/>
          </w:tcPr>
          <w:p w14:paraId="68CAA40C"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12/15/2016</w:t>
            </w:r>
          </w:p>
        </w:tc>
        <w:tc>
          <w:tcPr>
            <w:tcW w:w="1011" w:type="dxa"/>
            <w:noWrap/>
            <w:vAlign w:val="center"/>
            <w:hideMark/>
          </w:tcPr>
          <w:p w14:paraId="410441D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5B5EBB0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5,29,53</w:t>
            </w:r>
          </w:p>
        </w:tc>
        <w:tc>
          <w:tcPr>
            <w:tcW w:w="957" w:type="dxa"/>
            <w:noWrap/>
            <w:vAlign w:val="center"/>
            <w:hideMark/>
          </w:tcPr>
          <w:p w14:paraId="5C3916C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658" w:type="dxa"/>
            <w:noWrap/>
            <w:vAlign w:val="center"/>
            <w:hideMark/>
          </w:tcPr>
          <w:p w14:paraId="152B2B48"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15,39</w:t>
            </w:r>
          </w:p>
        </w:tc>
        <w:tc>
          <w:tcPr>
            <w:tcW w:w="957" w:type="dxa"/>
            <w:noWrap/>
            <w:vAlign w:val="center"/>
            <w:hideMark/>
          </w:tcPr>
          <w:p w14:paraId="342826F9"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w:t>
            </w:r>
          </w:p>
        </w:tc>
        <w:tc>
          <w:tcPr>
            <w:tcW w:w="1747" w:type="dxa"/>
            <w:noWrap/>
            <w:vAlign w:val="center"/>
            <w:hideMark/>
          </w:tcPr>
          <w:p w14:paraId="036BF2AE"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24</w:t>
            </w:r>
          </w:p>
        </w:tc>
      </w:tr>
      <w:tr w:rsidR="00E67C98" w:rsidRPr="00750963" w14:paraId="3CBEB927" w14:textId="77777777" w:rsidTr="00D82992">
        <w:trPr>
          <w:trHeight w:val="389"/>
        </w:trPr>
        <w:tc>
          <w:tcPr>
            <w:tcW w:w="1137" w:type="dxa"/>
            <w:noWrap/>
            <w:vAlign w:val="center"/>
            <w:hideMark/>
          </w:tcPr>
          <w:p w14:paraId="29FD96BF"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2/27/2018</w:t>
            </w:r>
          </w:p>
        </w:tc>
        <w:tc>
          <w:tcPr>
            <w:tcW w:w="1011" w:type="dxa"/>
            <w:noWrap/>
            <w:vAlign w:val="center"/>
            <w:hideMark/>
          </w:tcPr>
          <w:p w14:paraId="008CF5E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noWrap/>
            <w:vAlign w:val="center"/>
            <w:hideMark/>
          </w:tcPr>
          <w:p w14:paraId="3AC1801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24,47,5</w:t>
            </w:r>
          </w:p>
        </w:tc>
        <w:tc>
          <w:tcPr>
            <w:tcW w:w="957" w:type="dxa"/>
            <w:noWrap/>
            <w:vAlign w:val="center"/>
            <w:hideMark/>
          </w:tcPr>
          <w:p w14:paraId="2C5B096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w:t>
            </w:r>
          </w:p>
        </w:tc>
        <w:tc>
          <w:tcPr>
            <w:tcW w:w="1658" w:type="dxa"/>
            <w:noWrap/>
            <w:vAlign w:val="center"/>
            <w:hideMark/>
          </w:tcPr>
          <w:p w14:paraId="3B83C78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NA</w:t>
            </w:r>
          </w:p>
        </w:tc>
        <w:tc>
          <w:tcPr>
            <w:tcW w:w="957" w:type="dxa"/>
            <w:noWrap/>
            <w:vAlign w:val="center"/>
            <w:hideMark/>
          </w:tcPr>
          <w:p w14:paraId="498B229F"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747" w:type="dxa"/>
            <w:noWrap/>
            <w:vAlign w:val="center"/>
            <w:hideMark/>
          </w:tcPr>
          <w:p w14:paraId="79BC02A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42,66</w:t>
            </w:r>
          </w:p>
        </w:tc>
      </w:tr>
      <w:tr w:rsidR="00E67C98" w:rsidRPr="00750963" w14:paraId="66B1494E" w14:textId="77777777" w:rsidTr="00D82992">
        <w:trPr>
          <w:trHeight w:val="389"/>
        </w:trPr>
        <w:tc>
          <w:tcPr>
            <w:tcW w:w="1137" w:type="dxa"/>
            <w:noWrap/>
            <w:vAlign w:val="center"/>
            <w:hideMark/>
          </w:tcPr>
          <w:p w14:paraId="7BD1EA00"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2/1/2019</w:t>
            </w:r>
          </w:p>
        </w:tc>
        <w:tc>
          <w:tcPr>
            <w:tcW w:w="1011" w:type="dxa"/>
            <w:noWrap/>
            <w:vAlign w:val="center"/>
            <w:hideMark/>
          </w:tcPr>
          <w:p w14:paraId="3F0B043A"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w:t>
            </w:r>
          </w:p>
        </w:tc>
        <w:tc>
          <w:tcPr>
            <w:tcW w:w="1533" w:type="dxa"/>
            <w:noWrap/>
            <w:vAlign w:val="center"/>
            <w:hideMark/>
          </w:tcPr>
          <w:p w14:paraId="24ADF339"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NA</w:t>
            </w:r>
          </w:p>
        </w:tc>
        <w:tc>
          <w:tcPr>
            <w:tcW w:w="957" w:type="dxa"/>
            <w:noWrap/>
            <w:vAlign w:val="center"/>
            <w:hideMark/>
          </w:tcPr>
          <w:p w14:paraId="4058967E"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w:t>
            </w:r>
          </w:p>
        </w:tc>
        <w:tc>
          <w:tcPr>
            <w:tcW w:w="1658" w:type="dxa"/>
            <w:noWrap/>
            <w:vAlign w:val="center"/>
            <w:hideMark/>
          </w:tcPr>
          <w:p w14:paraId="21922FE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NA</w:t>
            </w:r>
          </w:p>
        </w:tc>
        <w:tc>
          <w:tcPr>
            <w:tcW w:w="957" w:type="dxa"/>
            <w:noWrap/>
            <w:vAlign w:val="center"/>
            <w:hideMark/>
          </w:tcPr>
          <w:p w14:paraId="00435E86"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w:t>
            </w:r>
          </w:p>
        </w:tc>
        <w:tc>
          <w:tcPr>
            <w:tcW w:w="1747" w:type="dxa"/>
            <w:noWrap/>
            <w:vAlign w:val="center"/>
            <w:hideMark/>
          </w:tcPr>
          <w:p w14:paraId="338DEC5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NA</w:t>
            </w:r>
          </w:p>
        </w:tc>
      </w:tr>
      <w:tr w:rsidR="00E67C98" w:rsidRPr="00750963" w14:paraId="6FEA623F" w14:textId="77777777" w:rsidTr="00D82992">
        <w:trPr>
          <w:trHeight w:val="389"/>
        </w:trPr>
        <w:tc>
          <w:tcPr>
            <w:tcW w:w="1137" w:type="dxa"/>
            <w:noWrap/>
            <w:vAlign w:val="center"/>
            <w:hideMark/>
          </w:tcPr>
          <w:p w14:paraId="3A56334B"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3/10/2020</w:t>
            </w:r>
          </w:p>
        </w:tc>
        <w:tc>
          <w:tcPr>
            <w:tcW w:w="1011" w:type="dxa"/>
            <w:noWrap/>
            <w:vAlign w:val="center"/>
            <w:hideMark/>
          </w:tcPr>
          <w:p w14:paraId="17FA84B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w:t>
            </w:r>
          </w:p>
        </w:tc>
        <w:tc>
          <w:tcPr>
            <w:tcW w:w="1533" w:type="dxa"/>
            <w:noWrap/>
            <w:vAlign w:val="center"/>
            <w:hideMark/>
          </w:tcPr>
          <w:p w14:paraId="00C10F8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14</w:t>
            </w:r>
          </w:p>
        </w:tc>
        <w:tc>
          <w:tcPr>
            <w:tcW w:w="957" w:type="dxa"/>
            <w:noWrap/>
            <w:vAlign w:val="center"/>
            <w:hideMark/>
          </w:tcPr>
          <w:p w14:paraId="097CB13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w:t>
            </w:r>
          </w:p>
        </w:tc>
        <w:tc>
          <w:tcPr>
            <w:tcW w:w="1658" w:type="dxa"/>
            <w:noWrap/>
            <w:vAlign w:val="center"/>
            <w:hideMark/>
          </w:tcPr>
          <w:p w14:paraId="0FA74D4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48</w:t>
            </w:r>
          </w:p>
        </w:tc>
        <w:tc>
          <w:tcPr>
            <w:tcW w:w="957" w:type="dxa"/>
            <w:noWrap/>
            <w:vAlign w:val="center"/>
            <w:hideMark/>
          </w:tcPr>
          <w:p w14:paraId="204D121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w:t>
            </w:r>
          </w:p>
        </w:tc>
        <w:tc>
          <w:tcPr>
            <w:tcW w:w="1747" w:type="dxa"/>
            <w:noWrap/>
            <w:vAlign w:val="center"/>
            <w:hideMark/>
          </w:tcPr>
          <w:p w14:paraId="47BB1A3D"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10</w:t>
            </w:r>
          </w:p>
        </w:tc>
      </w:tr>
      <w:tr w:rsidR="00E67C98" w:rsidRPr="00750963" w14:paraId="32DCA610" w14:textId="77777777" w:rsidTr="00D82992">
        <w:trPr>
          <w:trHeight w:val="389"/>
        </w:trPr>
        <w:tc>
          <w:tcPr>
            <w:tcW w:w="1137" w:type="dxa"/>
            <w:noWrap/>
            <w:vAlign w:val="center"/>
            <w:hideMark/>
          </w:tcPr>
          <w:p w14:paraId="0DC8095E"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1/25/2021</w:t>
            </w:r>
          </w:p>
        </w:tc>
        <w:tc>
          <w:tcPr>
            <w:tcW w:w="1011" w:type="dxa"/>
            <w:noWrap/>
            <w:vAlign w:val="center"/>
            <w:hideMark/>
          </w:tcPr>
          <w:p w14:paraId="4E1C260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3</w:t>
            </w:r>
          </w:p>
        </w:tc>
        <w:tc>
          <w:tcPr>
            <w:tcW w:w="1533" w:type="dxa"/>
            <w:noWrap/>
            <w:vAlign w:val="center"/>
            <w:hideMark/>
          </w:tcPr>
          <w:p w14:paraId="28EAB97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7</w:t>
            </w:r>
          </w:p>
        </w:tc>
        <w:tc>
          <w:tcPr>
            <w:tcW w:w="957" w:type="dxa"/>
            <w:noWrap/>
            <w:vAlign w:val="center"/>
            <w:hideMark/>
          </w:tcPr>
          <w:p w14:paraId="4FD9366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658" w:type="dxa"/>
            <w:noWrap/>
            <w:vAlign w:val="center"/>
            <w:hideMark/>
          </w:tcPr>
          <w:p w14:paraId="5B0843FD"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9,33</w:t>
            </w:r>
          </w:p>
        </w:tc>
        <w:tc>
          <w:tcPr>
            <w:tcW w:w="957" w:type="dxa"/>
            <w:noWrap/>
            <w:vAlign w:val="center"/>
            <w:hideMark/>
          </w:tcPr>
          <w:p w14:paraId="67251A73"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747" w:type="dxa"/>
            <w:noWrap/>
            <w:vAlign w:val="center"/>
            <w:hideMark/>
          </w:tcPr>
          <w:p w14:paraId="157489F1"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10,6</w:t>
            </w:r>
          </w:p>
        </w:tc>
      </w:tr>
      <w:tr w:rsidR="00E67C98" w:rsidRPr="00750963" w14:paraId="68721F8F" w14:textId="77777777" w:rsidTr="00D82992">
        <w:trPr>
          <w:trHeight w:val="389"/>
        </w:trPr>
        <w:tc>
          <w:tcPr>
            <w:tcW w:w="1137" w:type="dxa"/>
            <w:tcBorders>
              <w:bottom w:val="single" w:sz="4" w:space="0" w:color="auto"/>
            </w:tcBorders>
            <w:noWrap/>
            <w:vAlign w:val="center"/>
            <w:hideMark/>
          </w:tcPr>
          <w:p w14:paraId="55DB808A"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themeColor="text1"/>
                <w:sz w:val="18"/>
                <w:szCs w:val="18"/>
              </w:rPr>
              <w:t>3/29/2022</w:t>
            </w:r>
          </w:p>
        </w:tc>
        <w:tc>
          <w:tcPr>
            <w:tcW w:w="1011" w:type="dxa"/>
            <w:tcBorders>
              <w:bottom w:val="single" w:sz="4" w:space="0" w:color="auto"/>
            </w:tcBorders>
            <w:noWrap/>
            <w:vAlign w:val="center"/>
            <w:hideMark/>
          </w:tcPr>
          <w:p w14:paraId="60DF07F8"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533" w:type="dxa"/>
            <w:tcBorders>
              <w:bottom w:val="single" w:sz="4" w:space="0" w:color="auto"/>
            </w:tcBorders>
            <w:noWrap/>
            <w:vAlign w:val="center"/>
            <w:hideMark/>
          </w:tcPr>
          <w:p w14:paraId="6741AD2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13,37,60</w:t>
            </w:r>
          </w:p>
        </w:tc>
        <w:tc>
          <w:tcPr>
            <w:tcW w:w="957" w:type="dxa"/>
            <w:tcBorders>
              <w:bottom w:val="single" w:sz="4" w:space="0" w:color="auto"/>
            </w:tcBorders>
            <w:noWrap/>
            <w:vAlign w:val="center"/>
            <w:hideMark/>
          </w:tcPr>
          <w:p w14:paraId="5D9BA46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1</w:t>
            </w:r>
          </w:p>
        </w:tc>
        <w:tc>
          <w:tcPr>
            <w:tcW w:w="1658" w:type="dxa"/>
            <w:tcBorders>
              <w:bottom w:val="single" w:sz="4" w:space="0" w:color="auto"/>
            </w:tcBorders>
            <w:noWrap/>
            <w:vAlign w:val="center"/>
            <w:hideMark/>
          </w:tcPr>
          <w:p w14:paraId="36FDEB7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21,44,68</w:t>
            </w:r>
          </w:p>
        </w:tc>
        <w:tc>
          <w:tcPr>
            <w:tcW w:w="957" w:type="dxa"/>
            <w:tcBorders>
              <w:bottom w:val="single" w:sz="4" w:space="0" w:color="auto"/>
            </w:tcBorders>
            <w:noWrap/>
            <w:vAlign w:val="center"/>
            <w:hideMark/>
          </w:tcPr>
          <w:p w14:paraId="463EFFF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w:t>
            </w:r>
          </w:p>
        </w:tc>
        <w:tc>
          <w:tcPr>
            <w:tcW w:w="1747" w:type="dxa"/>
            <w:tcBorders>
              <w:bottom w:val="single" w:sz="4" w:space="0" w:color="auto"/>
            </w:tcBorders>
            <w:noWrap/>
            <w:vAlign w:val="center"/>
            <w:hideMark/>
          </w:tcPr>
          <w:p w14:paraId="79EF3285"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themeColor="text1"/>
                <w:sz w:val="18"/>
                <w:szCs w:val="18"/>
              </w:rPr>
              <w:t>21,44</w:t>
            </w:r>
          </w:p>
        </w:tc>
      </w:tr>
      <w:tr w:rsidR="00E67C98" w:rsidRPr="00750963" w14:paraId="47864D5B" w14:textId="77777777" w:rsidTr="00D82992">
        <w:trPr>
          <w:trHeight w:val="389"/>
        </w:trPr>
        <w:tc>
          <w:tcPr>
            <w:tcW w:w="1137" w:type="dxa"/>
            <w:tcBorders>
              <w:bottom w:val="single" w:sz="4" w:space="0" w:color="auto"/>
            </w:tcBorders>
            <w:noWrap/>
            <w:vAlign w:val="center"/>
          </w:tcPr>
          <w:p w14:paraId="7D31ABE7"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sz w:val="18"/>
                <w:szCs w:val="18"/>
              </w:rPr>
              <w:t>11/8/2022</w:t>
            </w:r>
          </w:p>
        </w:tc>
        <w:tc>
          <w:tcPr>
            <w:tcW w:w="1011" w:type="dxa"/>
            <w:tcBorders>
              <w:bottom w:val="single" w:sz="4" w:space="0" w:color="auto"/>
            </w:tcBorders>
            <w:noWrap/>
            <w:vAlign w:val="center"/>
          </w:tcPr>
          <w:p w14:paraId="759CBFE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1</w:t>
            </w:r>
          </w:p>
        </w:tc>
        <w:tc>
          <w:tcPr>
            <w:tcW w:w="1533" w:type="dxa"/>
            <w:tcBorders>
              <w:bottom w:val="single" w:sz="4" w:space="0" w:color="auto"/>
            </w:tcBorders>
            <w:noWrap/>
            <w:vAlign w:val="center"/>
          </w:tcPr>
          <w:p w14:paraId="197A7B27"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2,26,49</w:t>
            </w:r>
          </w:p>
        </w:tc>
        <w:tc>
          <w:tcPr>
            <w:tcW w:w="957" w:type="dxa"/>
            <w:tcBorders>
              <w:bottom w:val="single" w:sz="4" w:space="0" w:color="auto"/>
            </w:tcBorders>
            <w:noWrap/>
            <w:vAlign w:val="center"/>
          </w:tcPr>
          <w:p w14:paraId="0AD33B3F"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sz w:val="18"/>
                <w:szCs w:val="18"/>
              </w:rPr>
              <w:t>1</w:t>
            </w:r>
          </w:p>
        </w:tc>
        <w:tc>
          <w:tcPr>
            <w:tcW w:w="1658" w:type="dxa"/>
            <w:tcBorders>
              <w:bottom w:val="single" w:sz="4" w:space="0" w:color="auto"/>
            </w:tcBorders>
            <w:noWrap/>
            <w:vAlign w:val="center"/>
          </w:tcPr>
          <w:p w14:paraId="64949C9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sz w:val="18"/>
                <w:szCs w:val="18"/>
              </w:rPr>
              <w:t>3,26,49</w:t>
            </w:r>
          </w:p>
        </w:tc>
        <w:tc>
          <w:tcPr>
            <w:tcW w:w="957" w:type="dxa"/>
            <w:tcBorders>
              <w:bottom w:val="single" w:sz="4" w:space="0" w:color="auto"/>
            </w:tcBorders>
            <w:noWrap/>
            <w:vAlign w:val="center"/>
          </w:tcPr>
          <w:p w14:paraId="3447B88D"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3</w:t>
            </w:r>
          </w:p>
        </w:tc>
        <w:tc>
          <w:tcPr>
            <w:tcW w:w="1747" w:type="dxa"/>
            <w:tcBorders>
              <w:bottom w:val="single" w:sz="4" w:space="0" w:color="auto"/>
            </w:tcBorders>
            <w:noWrap/>
            <w:vAlign w:val="center"/>
          </w:tcPr>
          <w:p w14:paraId="3E7FCA72"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24</w:t>
            </w:r>
          </w:p>
        </w:tc>
      </w:tr>
      <w:tr w:rsidR="00E67C98" w:rsidRPr="00750963" w14:paraId="69CD08D0" w14:textId="77777777" w:rsidTr="00D82992">
        <w:trPr>
          <w:trHeight w:val="389"/>
        </w:trPr>
        <w:tc>
          <w:tcPr>
            <w:tcW w:w="1137" w:type="dxa"/>
            <w:tcBorders>
              <w:bottom w:val="single" w:sz="4" w:space="0" w:color="auto"/>
            </w:tcBorders>
            <w:noWrap/>
            <w:vAlign w:val="center"/>
          </w:tcPr>
          <w:p w14:paraId="06528304" w14:textId="77777777" w:rsidR="00E67C98" w:rsidRPr="002714B2" w:rsidRDefault="00E67C98" w:rsidP="00491001">
            <w:pPr>
              <w:spacing w:line="240" w:lineRule="auto"/>
              <w:rPr>
                <w:rFonts w:ascii="Arial" w:hAnsi="Arial" w:cs="Arial"/>
                <w:color w:val="000000" w:themeColor="text1"/>
                <w:sz w:val="18"/>
                <w:szCs w:val="18"/>
              </w:rPr>
            </w:pPr>
            <w:r w:rsidRPr="002714B2">
              <w:rPr>
                <w:rFonts w:ascii="Arial" w:hAnsi="Arial" w:cs="Arial"/>
                <w:color w:val="000000"/>
                <w:sz w:val="18"/>
                <w:szCs w:val="18"/>
              </w:rPr>
              <w:t>2/20/2024</w:t>
            </w:r>
          </w:p>
        </w:tc>
        <w:tc>
          <w:tcPr>
            <w:tcW w:w="1011" w:type="dxa"/>
            <w:tcBorders>
              <w:bottom w:val="single" w:sz="4" w:space="0" w:color="auto"/>
            </w:tcBorders>
            <w:noWrap/>
            <w:vAlign w:val="center"/>
          </w:tcPr>
          <w:p w14:paraId="2678D399"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2</w:t>
            </w:r>
          </w:p>
        </w:tc>
        <w:tc>
          <w:tcPr>
            <w:tcW w:w="1533" w:type="dxa"/>
            <w:tcBorders>
              <w:bottom w:val="single" w:sz="4" w:space="0" w:color="auto"/>
            </w:tcBorders>
            <w:noWrap/>
            <w:vAlign w:val="center"/>
          </w:tcPr>
          <w:p w14:paraId="045A4F5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13,38</w:t>
            </w:r>
          </w:p>
        </w:tc>
        <w:tc>
          <w:tcPr>
            <w:tcW w:w="957" w:type="dxa"/>
            <w:tcBorders>
              <w:bottom w:val="single" w:sz="4" w:space="0" w:color="auto"/>
            </w:tcBorders>
            <w:noWrap/>
            <w:vAlign w:val="center"/>
          </w:tcPr>
          <w:p w14:paraId="17A20C94"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sz w:val="18"/>
                <w:szCs w:val="18"/>
              </w:rPr>
              <w:t>2</w:t>
            </w:r>
          </w:p>
        </w:tc>
        <w:tc>
          <w:tcPr>
            <w:tcW w:w="1658" w:type="dxa"/>
            <w:tcBorders>
              <w:bottom w:val="single" w:sz="4" w:space="0" w:color="auto"/>
            </w:tcBorders>
            <w:noWrap/>
            <w:vAlign w:val="center"/>
          </w:tcPr>
          <w:p w14:paraId="3EC9530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sz w:val="18"/>
                <w:szCs w:val="18"/>
              </w:rPr>
              <w:t>27,51</w:t>
            </w:r>
          </w:p>
        </w:tc>
        <w:tc>
          <w:tcPr>
            <w:tcW w:w="957" w:type="dxa"/>
            <w:tcBorders>
              <w:bottom w:val="single" w:sz="4" w:space="0" w:color="auto"/>
            </w:tcBorders>
            <w:noWrap/>
            <w:vAlign w:val="center"/>
          </w:tcPr>
          <w:p w14:paraId="4C83BF90"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2</w:t>
            </w:r>
          </w:p>
        </w:tc>
        <w:tc>
          <w:tcPr>
            <w:tcW w:w="1747" w:type="dxa"/>
            <w:tcBorders>
              <w:bottom w:val="single" w:sz="4" w:space="0" w:color="auto"/>
            </w:tcBorders>
            <w:noWrap/>
            <w:vAlign w:val="center"/>
          </w:tcPr>
          <w:p w14:paraId="7558C6BC" w14:textId="77777777" w:rsidR="00E67C98" w:rsidRPr="002714B2" w:rsidRDefault="00E67C98" w:rsidP="00491001">
            <w:pPr>
              <w:spacing w:line="240" w:lineRule="auto"/>
              <w:jc w:val="center"/>
              <w:rPr>
                <w:rFonts w:ascii="Arial" w:hAnsi="Arial" w:cs="Arial"/>
                <w:color w:val="000000" w:themeColor="text1"/>
                <w:sz w:val="18"/>
                <w:szCs w:val="18"/>
              </w:rPr>
            </w:pPr>
            <w:r w:rsidRPr="002714B2">
              <w:rPr>
                <w:rFonts w:ascii="Arial" w:hAnsi="Arial" w:cs="Arial"/>
                <w:color w:val="000000"/>
                <w:sz w:val="18"/>
                <w:szCs w:val="18"/>
              </w:rPr>
              <w:t>11,34</w:t>
            </w:r>
          </w:p>
        </w:tc>
      </w:tr>
      <w:tr w:rsidR="00E67C98" w:rsidRPr="00750963" w14:paraId="064A7487" w14:textId="77777777" w:rsidTr="00D82992">
        <w:trPr>
          <w:trHeight w:val="389"/>
        </w:trPr>
        <w:tc>
          <w:tcPr>
            <w:tcW w:w="1137" w:type="dxa"/>
            <w:tcBorders>
              <w:bottom w:val="single" w:sz="4" w:space="0" w:color="auto"/>
            </w:tcBorders>
            <w:noWrap/>
            <w:vAlign w:val="center"/>
          </w:tcPr>
          <w:p w14:paraId="79D810C4" w14:textId="77777777" w:rsidR="00E67C98" w:rsidRPr="00FE1B13" w:rsidRDefault="00E67C98" w:rsidP="00491001">
            <w:pPr>
              <w:spacing w:line="240" w:lineRule="auto"/>
              <w:rPr>
                <w:rFonts w:ascii="Arial" w:hAnsi="Arial" w:cs="Arial"/>
                <w:color w:val="000000" w:themeColor="text1"/>
                <w:sz w:val="18"/>
                <w:szCs w:val="18"/>
              </w:rPr>
            </w:pPr>
            <w:r w:rsidRPr="00FE1B13">
              <w:rPr>
                <w:rFonts w:ascii="Arial" w:hAnsi="Arial" w:cs="Arial"/>
                <w:color w:val="000000"/>
                <w:sz w:val="18"/>
                <w:szCs w:val="18"/>
              </w:rPr>
              <w:t>3/11/2025</w:t>
            </w:r>
          </w:p>
        </w:tc>
        <w:tc>
          <w:tcPr>
            <w:tcW w:w="1011" w:type="dxa"/>
            <w:tcBorders>
              <w:bottom w:val="single" w:sz="4" w:space="0" w:color="auto"/>
            </w:tcBorders>
            <w:noWrap/>
            <w:vAlign w:val="center"/>
          </w:tcPr>
          <w:p w14:paraId="71081D0C" w14:textId="77777777" w:rsidR="00E67C98" w:rsidRPr="00FE1B13" w:rsidRDefault="00E67C98" w:rsidP="00491001">
            <w:pPr>
              <w:spacing w:line="240" w:lineRule="auto"/>
              <w:jc w:val="center"/>
              <w:rPr>
                <w:rFonts w:ascii="Arial" w:hAnsi="Arial" w:cs="Arial"/>
                <w:color w:val="000000" w:themeColor="text1"/>
                <w:sz w:val="18"/>
                <w:szCs w:val="18"/>
              </w:rPr>
            </w:pPr>
            <w:r w:rsidRPr="00FE1B13">
              <w:rPr>
                <w:rFonts w:ascii="Arial" w:hAnsi="Arial" w:cs="Arial"/>
                <w:color w:val="000000"/>
                <w:sz w:val="18"/>
                <w:szCs w:val="18"/>
              </w:rPr>
              <w:t>2</w:t>
            </w:r>
          </w:p>
        </w:tc>
        <w:tc>
          <w:tcPr>
            <w:tcW w:w="1533" w:type="dxa"/>
            <w:tcBorders>
              <w:bottom w:val="single" w:sz="4" w:space="0" w:color="auto"/>
            </w:tcBorders>
            <w:noWrap/>
            <w:vAlign w:val="center"/>
          </w:tcPr>
          <w:p w14:paraId="5F4F3A49" w14:textId="77777777" w:rsidR="00E67C98" w:rsidRPr="00FE1B13" w:rsidRDefault="00E67C98" w:rsidP="00491001">
            <w:pPr>
              <w:spacing w:line="240" w:lineRule="auto"/>
              <w:jc w:val="center"/>
              <w:rPr>
                <w:rFonts w:ascii="Arial" w:hAnsi="Arial" w:cs="Arial"/>
                <w:color w:val="000000" w:themeColor="text1"/>
                <w:sz w:val="18"/>
                <w:szCs w:val="18"/>
              </w:rPr>
            </w:pPr>
            <w:r w:rsidRPr="00FE1B13">
              <w:rPr>
                <w:rFonts w:ascii="Arial" w:hAnsi="Arial" w:cs="Arial"/>
                <w:color w:val="000000"/>
                <w:sz w:val="18"/>
                <w:szCs w:val="18"/>
              </w:rPr>
              <w:t xml:space="preserve">NA </w:t>
            </w:r>
            <w:r w:rsidRPr="00FE1B13">
              <w:rPr>
                <w:rFonts w:ascii="Arial" w:hAnsi="Arial" w:cs="Arial"/>
                <w:color w:val="000000"/>
                <w:sz w:val="18"/>
                <w:szCs w:val="18"/>
                <w:vertAlign w:val="superscript"/>
              </w:rPr>
              <w:t>2</w:t>
            </w:r>
          </w:p>
        </w:tc>
        <w:tc>
          <w:tcPr>
            <w:tcW w:w="957" w:type="dxa"/>
            <w:tcBorders>
              <w:bottom w:val="single" w:sz="4" w:space="0" w:color="auto"/>
            </w:tcBorders>
            <w:noWrap/>
            <w:vAlign w:val="center"/>
          </w:tcPr>
          <w:p w14:paraId="7D7BF621" w14:textId="77777777" w:rsidR="00E67C98" w:rsidRPr="00FE1B13" w:rsidRDefault="00E67C98" w:rsidP="00491001">
            <w:pPr>
              <w:spacing w:line="240" w:lineRule="auto"/>
              <w:jc w:val="center"/>
              <w:rPr>
                <w:rFonts w:ascii="Arial" w:hAnsi="Arial" w:cs="Arial"/>
                <w:color w:val="000000" w:themeColor="text1"/>
                <w:sz w:val="18"/>
                <w:szCs w:val="18"/>
              </w:rPr>
            </w:pPr>
            <w:r w:rsidRPr="00FE1B13">
              <w:rPr>
                <w:rFonts w:ascii="Arial" w:hAnsi="Arial" w:cs="Arial"/>
                <w:sz w:val="18"/>
                <w:szCs w:val="18"/>
              </w:rPr>
              <w:t>2</w:t>
            </w:r>
          </w:p>
        </w:tc>
        <w:tc>
          <w:tcPr>
            <w:tcW w:w="1658" w:type="dxa"/>
            <w:tcBorders>
              <w:bottom w:val="single" w:sz="4" w:space="0" w:color="auto"/>
            </w:tcBorders>
            <w:noWrap/>
            <w:vAlign w:val="center"/>
          </w:tcPr>
          <w:p w14:paraId="179E5A9C" w14:textId="77777777" w:rsidR="00E67C98" w:rsidRPr="00FE1B13" w:rsidRDefault="00E67C98" w:rsidP="00491001">
            <w:pPr>
              <w:spacing w:line="240" w:lineRule="auto"/>
              <w:jc w:val="center"/>
              <w:rPr>
                <w:rFonts w:ascii="Arial" w:hAnsi="Arial" w:cs="Arial"/>
                <w:color w:val="000000" w:themeColor="text1"/>
                <w:sz w:val="18"/>
                <w:szCs w:val="18"/>
              </w:rPr>
            </w:pPr>
            <w:r w:rsidRPr="00FE1B13">
              <w:rPr>
                <w:rFonts w:ascii="Arial" w:hAnsi="Arial" w:cs="Arial"/>
                <w:sz w:val="18"/>
                <w:szCs w:val="18"/>
              </w:rPr>
              <w:t xml:space="preserve">NA </w:t>
            </w:r>
            <w:r w:rsidRPr="00FE1B13">
              <w:rPr>
                <w:rFonts w:ascii="Arial" w:hAnsi="Arial" w:cs="Arial"/>
                <w:sz w:val="18"/>
                <w:szCs w:val="18"/>
                <w:vertAlign w:val="superscript"/>
              </w:rPr>
              <w:t>2</w:t>
            </w:r>
          </w:p>
        </w:tc>
        <w:tc>
          <w:tcPr>
            <w:tcW w:w="957" w:type="dxa"/>
            <w:tcBorders>
              <w:bottom w:val="single" w:sz="4" w:space="0" w:color="auto"/>
            </w:tcBorders>
            <w:noWrap/>
            <w:vAlign w:val="center"/>
          </w:tcPr>
          <w:p w14:paraId="3106C7A6" w14:textId="77777777" w:rsidR="00E67C98" w:rsidRPr="00FE1B13" w:rsidRDefault="00E67C98" w:rsidP="00491001">
            <w:pPr>
              <w:spacing w:line="240" w:lineRule="auto"/>
              <w:jc w:val="center"/>
              <w:rPr>
                <w:rFonts w:ascii="Arial" w:hAnsi="Arial" w:cs="Arial"/>
                <w:color w:val="000000" w:themeColor="text1"/>
                <w:sz w:val="18"/>
                <w:szCs w:val="18"/>
              </w:rPr>
            </w:pPr>
            <w:r w:rsidRPr="00FE1B13">
              <w:rPr>
                <w:rFonts w:ascii="Arial" w:hAnsi="Arial" w:cs="Arial"/>
                <w:color w:val="000000"/>
                <w:sz w:val="18"/>
                <w:szCs w:val="18"/>
              </w:rPr>
              <w:t>2</w:t>
            </w:r>
          </w:p>
        </w:tc>
        <w:tc>
          <w:tcPr>
            <w:tcW w:w="1747" w:type="dxa"/>
            <w:tcBorders>
              <w:bottom w:val="single" w:sz="4" w:space="0" w:color="auto"/>
            </w:tcBorders>
            <w:noWrap/>
            <w:vAlign w:val="center"/>
          </w:tcPr>
          <w:p w14:paraId="6C25EEE3" w14:textId="77777777" w:rsidR="00E67C98" w:rsidRPr="00FE1B13" w:rsidRDefault="00E67C98" w:rsidP="00491001">
            <w:pPr>
              <w:spacing w:line="240" w:lineRule="auto"/>
              <w:jc w:val="center"/>
              <w:rPr>
                <w:rFonts w:ascii="Arial" w:hAnsi="Arial" w:cs="Arial"/>
                <w:color w:val="000000" w:themeColor="text1"/>
                <w:sz w:val="18"/>
                <w:szCs w:val="18"/>
              </w:rPr>
            </w:pPr>
            <w:r w:rsidRPr="00FE1B13">
              <w:rPr>
                <w:rFonts w:ascii="Arial" w:hAnsi="Arial" w:cs="Arial"/>
                <w:color w:val="000000"/>
                <w:sz w:val="18"/>
                <w:szCs w:val="18"/>
              </w:rPr>
              <w:t xml:space="preserve">NA </w:t>
            </w:r>
            <w:r w:rsidRPr="00FE1B13">
              <w:rPr>
                <w:rFonts w:ascii="Arial" w:hAnsi="Arial" w:cs="Arial"/>
                <w:color w:val="000000"/>
                <w:sz w:val="18"/>
                <w:szCs w:val="18"/>
                <w:vertAlign w:val="superscript"/>
              </w:rPr>
              <w:t>2</w:t>
            </w:r>
          </w:p>
        </w:tc>
      </w:tr>
      <w:tr w:rsidR="00E67C98" w:rsidRPr="00D73F70" w14:paraId="243CF235" w14:textId="77777777" w:rsidTr="00491001">
        <w:trPr>
          <w:trHeight w:val="467"/>
        </w:trPr>
        <w:tc>
          <w:tcPr>
            <w:tcW w:w="9000" w:type="dxa"/>
            <w:gridSpan w:val="7"/>
            <w:tcBorders>
              <w:left w:val="nil"/>
              <w:bottom w:val="nil"/>
              <w:right w:val="nil"/>
            </w:tcBorders>
            <w:noWrap/>
            <w:vAlign w:val="center"/>
          </w:tcPr>
          <w:p w14:paraId="71650E78" w14:textId="77777777" w:rsidR="00E67C98" w:rsidRDefault="00E67C98" w:rsidP="00491001">
            <w:pPr>
              <w:spacing w:line="240" w:lineRule="auto"/>
              <w:rPr>
                <w:rFonts w:ascii="Arial" w:hAnsi="Arial" w:cs="Arial"/>
                <w:color w:val="000000" w:themeColor="text1"/>
                <w:sz w:val="18"/>
                <w:szCs w:val="18"/>
              </w:rPr>
            </w:pPr>
            <w:r w:rsidRPr="00750963">
              <w:rPr>
                <w:rFonts w:ascii="Arial" w:hAnsi="Arial" w:cs="Arial"/>
                <w:color w:val="000000" w:themeColor="text1"/>
                <w:sz w:val="18"/>
                <w:szCs w:val="18"/>
                <w:vertAlign w:val="superscript"/>
              </w:rPr>
              <w:t xml:space="preserve">1 </w:t>
            </w:r>
            <w:r w:rsidRPr="00750963">
              <w:rPr>
                <w:rFonts w:ascii="Arial" w:hAnsi="Arial" w:cs="Arial"/>
                <w:color w:val="000000" w:themeColor="text1"/>
                <w:sz w:val="18"/>
                <w:szCs w:val="18"/>
              </w:rPr>
              <w:t xml:space="preserve">Analysis based on USGS flow gauge data at MWD Crossing and assumed to represent conditions at both </w:t>
            </w:r>
            <w:r>
              <w:rPr>
                <w:rFonts w:ascii="Arial" w:hAnsi="Arial" w:cs="Arial"/>
                <w:color w:val="000000" w:themeColor="text1"/>
                <w:sz w:val="18"/>
                <w:szCs w:val="18"/>
              </w:rPr>
              <w:t xml:space="preserve">the </w:t>
            </w:r>
            <w:r w:rsidRPr="00750963">
              <w:rPr>
                <w:rFonts w:ascii="Arial" w:hAnsi="Arial" w:cs="Arial"/>
                <w:color w:val="000000" w:themeColor="text1"/>
                <w:sz w:val="18"/>
                <w:szCs w:val="18"/>
              </w:rPr>
              <w:t>WW-S1 and WW-S4 sites</w:t>
            </w:r>
          </w:p>
          <w:p w14:paraId="7DCA3EDD" w14:textId="77777777" w:rsidR="00E67C98" w:rsidRDefault="00E67C98" w:rsidP="00A41B16">
            <w:pPr>
              <w:spacing w:line="240" w:lineRule="auto"/>
              <w:rPr>
                <w:rFonts w:ascii="Arial" w:hAnsi="Arial" w:cs="Arial"/>
                <w:sz w:val="18"/>
                <w:szCs w:val="18"/>
              </w:rPr>
            </w:pPr>
            <w:r w:rsidRPr="00B04206">
              <w:rPr>
                <w:rFonts w:ascii="Arial" w:hAnsi="Arial" w:cs="Arial"/>
                <w:color w:val="000000" w:themeColor="text1"/>
                <w:sz w:val="18"/>
                <w:szCs w:val="18"/>
                <w:vertAlign w:val="superscript"/>
              </w:rPr>
              <w:t>2</w:t>
            </w:r>
            <w:r w:rsidRPr="00B04206">
              <w:rPr>
                <w:rFonts w:ascii="Arial" w:hAnsi="Arial" w:cs="Arial"/>
                <w:color w:val="000000" w:themeColor="text1"/>
                <w:sz w:val="18"/>
                <w:szCs w:val="18"/>
              </w:rPr>
              <w:t xml:space="preserve"> </w:t>
            </w:r>
            <w:r w:rsidRPr="00B04206">
              <w:rPr>
                <w:rFonts w:ascii="Arial" w:hAnsi="Arial" w:cs="Arial"/>
                <w:sz w:val="18"/>
                <w:szCs w:val="18"/>
              </w:rPr>
              <w:t xml:space="preserve">Weather forecasts met mobilization criteria to begin the wet event on </w:t>
            </w:r>
            <w:r>
              <w:rPr>
                <w:rFonts w:ascii="Arial" w:hAnsi="Arial" w:cs="Arial"/>
                <w:sz w:val="18"/>
                <w:szCs w:val="18"/>
              </w:rPr>
              <w:t>3/</w:t>
            </w:r>
            <w:r w:rsidRPr="00B04206">
              <w:rPr>
                <w:rFonts w:ascii="Arial" w:hAnsi="Arial" w:cs="Arial"/>
                <w:sz w:val="18"/>
                <w:szCs w:val="18"/>
              </w:rPr>
              <w:t>11</w:t>
            </w:r>
            <w:r>
              <w:rPr>
                <w:rFonts w:ascii="Arial" w:hAnsi="Arial" w:cs="Arial"/>
                <w:sz w:val="18"/>
                <w:szCs w:val="18"/>
              </w:rPr>
              <w:t>/25</w:t>
            </w:r>
            <w:r w:rsidRPr="00B04206">
              <w:rPr>
                <w:rFonts w:ascii="Arial" w:hAnsi="Arial" w:cs="Arial"/>
                <w:sz w:val="18"/>
                <w:szCs w:val="18"/>
              </w:rPr>
              <w:t xml:space="preserve">; however, rainfall did not occur until </w:t>
            </w:r>
            <w:r>
              <w:rPr>
                <w:rFonts w:ascii="Arial" w:hAnsi="Arial" w:cs="Arial"/>
                <w:sz w:val="18"/>
                <w:szCs w:val="18"/>
              </w:rPr>
              <w:t>3/</w:t>
            </w:r>
            <w:r w:rsidRPr="00B04206">
              <w:rPr>
                <w:rFonts w:ascii="Arial" w:hAnsi="Arial" w:cs="Arial"/>
                <w:sz w:val="18"/>
                <w:szCs w:val="18"/>
              </w:rPr>
              <w:t>13</w:t>
            </w:r>
            <w:r>
              <w:rPr>
                <w:rFonts w:ascii="Arial" w:hAnsi="Arial" w:cs="Arial"/>
                <w:sz w:val="18"/>
                <w:szCs w:val="18"/>
              </w:rPr>
              <w:t>/25</w:t>
            </w:r>
            <w:r w:rsidRPr="00B04206">
              <w:rPr>
                <w:rFonts w:ascii="Arial" w:hAnsi="Arial" w:cs="Arial"/>
                <w:sz w:val="18"/>
                <w:szCs w:val="18"/>
              </w:rPr>
              <w:t xml:space="preserve">. Samples collected on March </w:t>
            </w:r>
            <w:r>
              <w:rPr>
                <w:rFonts w:ascii="Arial" w:hAnsi="Arial" w:cs="Arial"/>
                <w:sz w:val="18"/>
                <w:szCs w:val="18"/>
              </w:rPr>
              <w:t>3/</w:t>
            </w:r>
            <w:r w:rsidRPr="00B04206">
              <w:rPr>
                <w:rFonts w:ascii="Arial" w:hAnsi="Arial" w:cs="Arial"/>
                <w:sz w:val="18"/>
                <w:szCs w:val="18"/>
              </w:rPr>
              <w:t>11</w:t>
            </w:r>
            <w:r>
              <w:rPr>
                <w:rFonts w:ascii="Arial" w:hAnsi="Arial" w:cs="Arial"/>
                <w:sz w:val="18"/>
                <w:szCs w:val="18"/>
              </w:rPr>
              <w:t>/25</w:t>
            </w:r>
            <w:r w:rsidRPr="00B04206">
              <w:rPr>
                <w:rFonts w:ascii="Arial" w:hAnsi="Arial" w:cs="Arial"/>
                <w:sz w:val="18"/>
                <w:szCs w:val="18"/>
              </w:rPr>
              <w:t xml:space="preserve"> and </w:t>
            </w:r>
            <w:r>
              <w:rPr>
                <w:rFonts w:ascii="Arial" w:hAnsi="Arial" w:cs="Arial"/>
                <w:sz w:val="18"/>
                <w:szCs w:val="18"/>
              </w:rPr>
              <w:t>3/</w:t>
            </w:r>
            <w:r w:rsidRPr="00B04206">
              <w:rPr>
                <w:rFonts w:ascii="Arial" w:hAnsi="Arial" w:cs="Arial"/>
                <w:sz w:val="18"/>
                <w:szCs w:val="18"/>
              </w:rPr>
              <w:t>12</w:t>
            </w:r>
            <w:r>
              <w:rPr>
                <w:rFonts w:ascii="Arial" w:hAnsi="Arial" w:cs="Arial"/>
                <w:sz w:val="18"/>
                <w:szCs w:val="18"/>
              </w:rPr>
              <w:t>/25</w:t>
            </w:r>
            <w:r w:rsidRPr="00B04206">
              <w:rPr>
                <w:rFonts w:ascii="Arial" w:hAnsi="Arial" w:cs="Arial"/>
                <w:sz w:val="18"/>
                <w:szCs w:val="18"/>
              </w:rPr>
              <w:t xml:space="preserve"> are classified as </w:t>
            </w:r>
            <w:r>
              <w:rPr>
                <w:rFonts w:ascii="Arial" w:hAnsi="Arial" w:cs="Arial"/>
                <w:sz w:val="18"/>
                <w:szCs w:val="18"/>
              </w:rPr>
              <w:t>dry rather than post-storm</w:t>
            </w:r>
            <w:r w:rsidRPr="00B04206">
              <w:rPr>
                <w:rFonts w:ascii="Arial" w:hAnsi="Arial" w:cs="Arial"/>
                <w:sz w:val="18"/>
                <w:szCs w:val="18"/>
              </w:rPr>
              <w:t>.</w:t>
            </w:r>
          </w:p>
          <w:p w14:paraId="4CE910F9" w14:textId="7E2CD354" w:rsidR="00A41B16" w:rsidRPr="00B04206" w:rsidRDefault="00A41B16" w:rsidP="009E2881">
            <w:pPr>
              <w:spacing w:after="240" w:line="240" w:lineRule="auto"/>
              <w:rPr>
                <w:rFonts w:ascii="Arial" w:hAnsi="Arial" w:cs="Arial"/>
                <w:color w:val="000000" w:themeColor="text1"/>
                <w:sz w:val="18"/>
                <w:szCs w:val="18"/>
              </w:rPr>
            </w:pPr>
            <w:r>
              <w:rPr>
                <w:rFonts w:ascii="Arial" w:hAnsi="Arial" w:cs="Arial"/>
                <w:color w:val="000000" w:themeColor="text1"/>
                <w:sz w:val="18"/>
                <w:szCs w:val="18"/>
              </w:rPr>
              <w:t>NA = not applicable</w:t>
            </w:r>
          </w:p>
        </w:tc>
      </w:tr>
    </w:tbl>
    <w:p w14:paraId="3BCFA094" w14:textId="77777777" w:rsidR="007D3720" w:rsidRDefault="007D3720" w:rsidP="009E2881">
      <w:pPr>
        <w:pStyle w:val="Heading2"/>
        <w:tabs>
          <w:tab w:val="clear" w:pos="2322"/>
        </w:tabs>
        <w:ind w:left="810"/>
      </w:pPr>
      <w:bookmarkStart w:id="37" w:name="_Toc217410146"/>
      <w:r>
        <w:lastRenderedPageBreak/>
        <w:t>Summary of Bacteriological Conditions</w:t>
      </w:r>
      <w:bookmarkEnd w:id="37"/>
    </w:p>
    <w:p w14:paraId="2750152D" w14:textId="77777777" w:rsidR="007D3720" w:rsidRPr="000A740B" w:rsidRDefault="007D3720" w:rsidP="007D3720">
      <w:pPr>
        <w:pStyle w:val="Heading3"/>
      </w:pPr>
      <w:bookmarkStart w:id="38" w:name="_Toc217410147"/>
      <w:r>
        <w:t>Dry Weather Bacteria</w:t>
      </w:r>
      <w:bookmarkEnd w:id="38"/>
    </w:p>
    <w:p w14:paraId="464916CB" w14:textId="702C5499" w:rsidR="007D3720" w:rsidRPr="002725AD" w:rsidRDefault="007D3720" w:rsidP="007D3720">
      <w:pPr>
        <w:pStyle w:val="BodyText"/>
        <w:rPr>
          <w:rFonts w:eastAsiaTheme="minorHAnsi"/>
        </w:rPr>
      </w:pPr>
      <w:r w:rsidRPr="006243BD">
        <w:rPr>
          <w:rFonts w:eastAsiaTheme="minorHAnsi"/>
        </w:rPr>
        <w:t>To illustrate long</w:t>
      </w:r>
      <w:r w:rsidR="00A87400">
        <w:rPr>
          <w:rFonts w:eastAsiaTheme="minorHAnsi"/>
        </w:rPr>
        <w:t>-</w:t>
      </w:r>
      <w:r w:rsidRPr="006243BD">
        <w:rPr>
          <w:rFonts w:eastAsiaTheme="minorHAnsi"/>
        </w:rPr>
        <w:t xml:space="preserve">term </w:t>
      </w:r>
      <w:r w:rsidRPr="007D3720">
        <w:rPr>
          <w:rFonts w:eastAsiaTheme="minorHAnsi"/>
        </w:rPr>
        <w:t xml:space="preserve">trends, </w:t>
      </w:r>
      <w:r w:rsidRPr="007D3720">
        <w:rPr>
          <w:rFonts w:eastAsiaTheme="minorHAnsi"/>
          <w:b/>
          <w:bCs/>
        </w:rPr>
        <w:t>Figure 2-2</w:t>
      </w:r>
      <w:r w:rsidRPr="007D3720">
        <w:rPr>
          <w:rFonts w:eastAsiaTheme="minorHAnsi"/>
        </w:rPr>
        <w:t xml:space="preserve"> </w:t>
      </w:r>
      <w:r w:rsidR="00A87400">
        <w:rPr>
          <w:rFonts w:eastAsiaTheme="minorHAnsi"/>
        </w:rPr>
        <w:t>depicts</w:t>
      </w:r>
      <w:r w:rsidR="00A87400" w:rsidRPr="007D3720">
        <w:rPr>
          <w:rFonts w:eastAsiaTheme="minorHAnsi"/>
        </w:rPr>
        <w:t xml:space="preserve"> </w:t>
      </w:r>
      <w:r w:rsidRPr="007D3720">
        <w:rPr>
          <w:rFonts w:eastAsiaTheme="minorHAnsi"/>
        </w:rPr>
        <w:t xml:space="preserve">the dry weather </w:t>
      </w:r>
      <w:r w:rsidRPr="007D3720">
        <w:rPr>
          <w:rFonts w:eastAsiaTheme="minorHAnsi"/>
          <w:i/>
          <w:iCs/>
        </w:rPr>
        <w:t>E. coli</w:t>
      </w:r>
      <w:r w:rsidRPr="007D3720">
        <w:rPr>
          <w:rFonts w:eastAsiaTheme="minorHAnsi"/>
        </w:rPr>
        <w:t xml:space="preserve"> geomean for warm and cool seasons, for each of the watershed-wide TMDL compliance monitoring sites, for each year of sampling, from 2007 through 202</w:t>
      </w:r>
      <w:r w:rsidR="00F313F7">
        <w:rPr>
          <w:rFonts w:eastAsiaTheme="minorHAnsi"/>
        </w:rPr>
        <w:t>5</w:t>
      </w:r>
      <w:r w:rsidRPr="007D3720">
        <w:rPr>
          <w:rFonts w:eastAsiaTheme="minorHAnsi"/>
        </w:rPr>
        <w:t xml:space="preserve">. </w:t>
      </w:r>
      <w:bookmarkStart w:id="39" w:name="_Hlk120964533"/>
      <w:r w:rsidRPr="007D3720">
        <w:rPr>
          <w:rFonts w:eastAsiaTheme="minorHAnsi"/>
          <w:b/>
          <w:bCs/>
        </w:rPr>
        <w:t>Appendix D</w:t>
      </w:r>
      <w:r w:rsidRPr="007D3720">
        <w:rPr>
          <w:rFonts w:eastAsiaTheme="minorHAnsi"/>
        </w:rPr>
        <w:t xml:space="preserve"> provides additional plots of single sample and rolling </w:t>
      </w:r>
      <w:r w:rsidRPr="009E2881">
        <w:rPr>
          <w:rFonts w:eastAsiaTheme="minorHAnsi"/>
        </w:rPr>
        <w:t>geometric mean results for the most recent period, 202</w:t>
      </w:r>
      <w:r w:rsidR="00F313F7" w:rsidRPr="009E2881">
        <w:rPr>
          <w:rFonts w:eastAsiaTheme="minorHAnsi"/>
        </w:rPr>
        <w:t>3</w:t>
      </w:r>
      <w:r w:rsidRPr="009E2881">
        <w:rPr>
          <w:rFonts w:eastAsiaTheme="minorHAnsi"/>
        </w:rPr>
        <w:t>-202</w:t>
      </w:r>
      <w:r w:rsidR="00F313F7" w:rsidRPr="009E2881">
        <w:rPr>
          <w:rFonts w:eastAsiaTheme="minorHAnsi"/>
        </w:rPr>
        <w:t>5</w:t>
      </w:r>
      <w:r w:rsidRPr="009E2881">
        <w:rPr>
          <w:rFonts w:eastAsiaTheme="minorHAnsi"/>
        </w:rPr>
        <w:t>.</w:t>
      </w:r>
      <w:bookmarkEnd w:id="39"/>
      <w:r w:rsidRPr="009E2881">
        <w:rPr>
          <w:rFonts w:eastAsiaTheme="minorHAnsi"/>
        </w:rPr>
        <w:t xml:space="preserve"> Key </w:t>
      </w:r>
      <w:r w:rsidRPr="002725AD">
        <w:rPr>
          <w:rFonts w:eastAsiaTheme="minorHAnsi"/>
        </w:rPr>
        <w:t>findings for each of the impaired waters include:</w:t>
      </w:r>
    </w:p>
    <w:p w14:paraId="440B2155" w14:textId="4EFC537C" w:rsidR="007D3720" w:rsidRPr="002725AD" w:rsidRDefault="007D3720" w:rsidP="007D3720">
      <w:pPr>
        <w:pStyle w:val="ListBullet"/>
        <w:rPr>
          <w:rFonts w:eastAsiaTheme="minorHAnsi"/>
        </w:rPr>
      </w:pPr>
      <w:r w:rsidRPr="002725AD">
        <w:rPr>
          <w:rFonts w:eastAsiaTheme="minorHAnsi"/>
          <w:i/>
          <w:iCs/>
          <w:lang w:bidi="en-US"/>
        </w:rPr>
        <w:t>Chino Creek</w:t>
      </w:r>
      <w:r w:rsidRPr="002725AD">
        <w:rPr>
          <w:rFonts w:eastAsiaTheme="minorHAnsi"/>
          <w:lang w:bidi="en-US"/>
        </w:rPr>
        <w:t xml:space="preserve"> – Week to week variability of 2-3 orders of magnitude suggests an intermittent bacterial indicator source</w:t>
      </w:r>
      <w:r w:rsidR="00C97120" w:rsidRPr="002725AD">
        <w:rPr>
          <w:rFonts w:eastAsiaTheme="minorHAnsi"/>
          <w:lang w:bidi="en-US"/>
        </w:rPr>
        <w:t>(s)</w:t>
      </w:r>
      <w:r w:rsidRPr="002725AD">
        <w:rPr>
          <w:rFonts w:eastAsiaTheme="minorHAnsi"/>
          <w:lang w:bidi="en-US"/>
        </w:rPr>
        <w:t xml:space="preserve"> of concern. </w:t>
      </w:r>
      <w:r w:rsidR="00AF503C" w:rsidRPr="002725AD">
        <w:rPr>
          <w:rFonts w:eastAsiaTheme="minorHAnsi"/>
          <w:lang w:bidi="en-US"/>
        </w:rPr>
        <w:t>In addition</w:t>
      </w:r>
      <w:r w:rsidRPr="002725AD">
        <w:rPr>
          <w:rFonts w:eastAsiaTheme="minorHAnsi"/>
          <w:lang w:bidi="en-US"/>
        </w:rPr>
        <w:t xml:space="preserve">, there may be </w:t>
      </w:r>
      <w:r w:rsidR="009E2881" w:rsidRPr="002725AD">
        <w:rPr>
          <w:rFonts w:eastAsiaTheme="minorHAnsi"/>
          <w:lang w:bidi="en-US"/>
        </w:rPr>
        <w:t>intermittent environmental conditions</w:t>
      </w:r>
      <w:r w:rsidRPr="002725AD">
        <w:rPr>
          <w:rFonts w:eastAsiaTheme="minorHAnsi"/>
          <w:lang w:bidi="en-US"/>
        </w:rPr>
        <w:t xml:space="preserve"> that cause significant variability </w:t>
      </w:r>
      <w:r w:rsidR="009E2881" w:rsidRPr="002725AD">
        <w:rPr>
          <w:rFonts w:eastAsiaTheme="minorHAnsi"/>
          <w:lang w:bidi="en-US"/>
        </w:rPr>
        <w:t xml:space="preserve">in </w:t>
      </w:r>
      <w:r w:rsidRPr="002725AD">
        <w:rPr>
          <w:rFonts w:eastAsiaTheme="minorHAnsi"/>
          <w:lang w:bidi="en-US"/>
        </w:rPr>
        <w:t>rates of in-stream decay. To better understand these patterns, SBCFCD conducted 12 synoptic Tier 1 source evaluations at all MS4 outfalls to Chino Creek in 202</w:t>
      </w:r>
      <w:r w:rsidR="009E2881" w:rsidRPr="002725AD">
        <w:rPr>
          <w:rFonts w:eastAsiaTheme="minorHAnsi"/>
          <w:lang w:bidi="en-US"/>
        </w:rPr>
        <w:t>3</w:t>
      </w:r>
      <w:r w:rsidRPr="002725AD">
        <w:rPr>
          <w:rFonts w:eastAsiaTheme="minorHAnsi"/>
          <w:lang w:bidi="en-US"/>
        </w:rPr>
        <w:t>-202</w:t>
      </w:r>
      <w:r w:rsidR="009E2881" w:rsidRPr="002725AD">
        <w:rPr>
          <w:rFonts w:eastAsiaTheme="minorHAnsi"/>
          <w:lang w:bidi="en-US"/>
        </w:rPr>
        <w:t>4</w:t>
      </w:r>
      <w:r w:rsidRPr="002725AD">
        <w:rPr>
          <w:rFonts w:eastAsiaTheme="minorHAnsi"/>
          <w:lang w:bidi="en-US"/>
        </w:rPr>
        <w:t xml:space="preserve"> (see Section 4.3.3).</w:t>
      </w:r>
      <w:r w:rsidR="009E2881" w:rsidRPr="002725AD">
        <w:rPr>
          <w:rFonts w:eastAsiaTheme="minorHAnsi"/>
          <w:lang w:bidi="en-US"/>
        </w:rPr>
        <w:t xml:space="preserve"> </w:t>
      </w:r>
    </w:p>
    <w:p w14:paraId="01531BA9" w14:textId="46B7F534" w:rsidR="007E4893" w:rsidRPr="002725AD" w:rsidRDefault="007E4893" w:rsidP="007E4893">
      <w:pPr>
        <w:pStyle w:val="ListBullet"/>
        <w:rPr>
          <w:rFonts w:eastAsiaTheme="minorHAnsi"/>
        </w:rPr>
      </w:pPr>
      <w:r w:rsidRPr="002725AD">
        <w:rPr>
          <w:rFonts w:eastAsiaTheme="minorHAnsi"/>
          <w:i/>
          <w:iCs/>
        </w:rPr>
        <w:t>Mill-Cucamonga Creek</w:t>
      </w:r>
      <w:r w:rsidRPr="002725AD">
        <w:rPr>
          <w:rFonts w:eastAsiaTheme="minorHAnsi"/>
        </w:rPr>
        <w:t xml:space="preserve"> - Warm season </w:t>
      </w:r>
      <w:r w:rsidRPr="002725AD">
        <w:rPr>
          <w:rFonts w:eastAsiaTheme="minorHAnsi"/>
          <w:i/>
          <w:iCs/>
        </w:rPr>
        <w:t>E. coli</w:t>
      </w:r>
      <w:r w:rsidRPr="002725AD">
        <w:rPr>
          <w:rFonts w:eastAsiaTheme="minorHAnsi"/>
        </w:rPr>
        <w:t xml:space="preserve"> concentrations decreased in the mid-2010s and have remained at low levels since then. This pattern may potentially be attributed to benefits obtained from construction of Mill Creek Wetlands (MCW) completed in 2015 (see Section 3.2.1.2.3).</w:t>
      </w:r>
    </w:p>
    <w:p w14:paraId="6C58C05D" w14:textId="77777777" w:rsidR="007E4893" w:rsidRPr="002725AD" w:rsidRDefault="007E4893" w:rsidP="007E4893">
      <w:pPr>
        <w:pStyle w:val="ListBullet"/>
        <w:rPr>
          <w:rFonts w:eastAsiaTheme="minorHAnsi"/>
        </w:rPr>
      </w:pPr>
      <w:r w:rsidRPr="002725AD">
        <w:rPr>
          <w:rFonts w:eastAsiaTheme="minorHAnsi"/>
          <w:i/>
          <w:iCs/>
        </w:rPr>
        <w:t>Santa Ana River Reach 3 (MWD Crossing and Pedley Avenue)</w:t>
      </w:r>
      <w:r w:rsidRPr="002725AD">
        <w:rPr>
          <w:rFonts w:eastAsiaTheme="minorHAnsi"/>
        </w:rPr>
        <w:t xml:space="preserve"> – </w:t>
      </w:r>
      <w:r w:rsidRPr="002725AD">
        <w:t xml:space="preserve">Rising </w:t>
      </w:r>
      <w:r w:rsidRPr="002725AD">
        <w:rPr>
          <w:i/>
          <w:iCs/>
        </w:rPr>
        <w:t>E. coli</w:t>
      </w:r>
      <w:r w:rsidRPr="002725AD">
        <w:t xml:space="preserve"> loads within Reach 4 are likely causing a rise in </w:t>
      </w:r>
      <w:r w:rsidRPr="002725AD">
        <w:rPr>
          <w:i/>
          <w:iCs/>
        </w:rPr>
        <w:t>E. coli</w:t>
      </w:r>
      <w:r w:rsidRPr="002725AD">
        <w:t xml:space="preserve"> concentrations at the downstream TMDL compliance monitoring locations in Reach 3 (see Section 4.3.1). Quantification of this load has been possible through the inclusion of the watershed-wide monitoring site at Mission Avenue (WW-MISSION). </w:t>
      </w:r>
    </w:p>
    <w:p w14:paraId="15F9172E" w14:textId="7D084BE3" w:rsidR="007E4893" w:rsidRPr="002725AD" w:rsidRDefault="007E4893" w:rsidP="00774B41">
      <w:pPr>
        <w:pStyle w:val="ListBullet"/>
        <w:spacing w:after="240"/>
        <w:rPr>
          <w:rFonts w:eastAsiaTheme="minorHAnsi"/>
        </w:rPr>
      </w:pPr>
      <w:r w:rsidRPr="002725AD">
        <w:rPr>
          <w:i/>
          <w:iCs/>
        </w:rPr>
        <w:t>Prado Park Lake</w:t>
      </w:r>
      <w:r w:rsidRPr="002725AD">
        <w:t xml:space="preserve"> – Since completion of the Prado Park Lake pipeline reconstruction project</w:t>
      </w:r>
      <w:r w:rsidRPr="002725AD">
        <w:rPr>
          <w:rStyle w:val="FootnoteReference"/>
        </w:rPr>
        <w:footnoteReference w:id="12"/>
      </w:r>
      <w:r w:rsidRPr="002725AD">
        <w:t xml:space="preserve"> in 2017, </w:t>
      </w:r>
      <w:r w:rsidRPr="002725AD">
        <w:rPr>
          <w:i/>
          <w:iCs/>
        </w:rPr>
        <w:t>E. coli</w:t>
      </w:r>
      <w:r w:rsidRPr="002725AD">
        <w:t xml:space="preserve"> geomeans during the warm season remain below TMDL numeric WLAs 82 percent of the time. Elevated </w:t>
      </w:r>
      <w:r w:rsidRPr="002725AD">
        <w:rPr>
          <w:i/>
          <w:iCs/>
        </w:rPr>
        <w:t>E. coli</w:t>
      </w:r>
      <w:r w:rsidRPr="002725AD">
        <w:t xml:space="preserve"> concentrations </w:t>
      </w:r>
      <w:r w:rsidR="00774B41" w:rsidRPr="002725AD">
        <w:t xml:space="preserve">noted in the </w:t>
      </w:r>
      <w:r w:rsidRPr="002725AD">
        <w:t>cool season</w:t>
      </w:r>
      <w:r w:rsidR="00774B41" w:rsidRPr="002725AD">
        <w:t xml:space="preserve"> in past have been mitigated with conditions meeting TMDL in 2023-2025.</w:t>
      </w:r>
    </w:p>
    <w:p w14:paraId="50FAE40A" w14:textId="77777777" w:rsidR="007D3720" w:rsidRPr="006243BD" w:rsidRDefault="007D3720" w:rsidP="007D3720">
      <w:pPr>
        <w:pStyle w:val="BodyText"/>
        <w:rPr>
          <w:rFonts w:eastAsiaTheme="minorHAnsi"/>
        </w:rPr>
      </w:pPr>
    </w:p>
    <w:p w14:paraId="2F710276" w14:textId="77777777" w:rsidR="007D3720" w:rsidRPr="0093230C" w:rsidRDefault="007D3720" w:rsidP="002B747E">
      <w:pPr>
        <w:pStyle w:val="BodyText"/>
      </w:pPr>
    </w:p>
    <w:p w14:paraId="29C2F684" w14:textId="77777777" w:rsidR="002B747E" w:rsidRPr="00AB188E" w:rsidRDefault="002B747E" w:rsidP="006243BD">
      <w:pPr>
        <w:pStyle w:val="BodyText"/>
        <w:rPr>
          <w:highlight w:val="yellow"/>
        </w:rPr>
      </w:pPr>
    </w:p>
    <w:bookmarkEnd w:id="35"/>
    <w:p w14:paraId="1E4F3B91" w14:textId="64881FD1" w:rsidR="00FB059F" w:rsidRDefault="00FB059F" w:rsidP="00073FD5">
      <w:pPr>
        <w:pStyle w:val="BodyText"/>
        <w:rPr>
          <w:rFonts w:eastAsiaTheme="minorHAnsi"/>
          <w:lang w:bidi="en-US"/>
        </w:rPr>
      </w:pPr>
    </w:p>
    <w:p w14:paraId="7F151D9D" w14:textId="3E833492" w:rsidR="00FB059F" w:rsidRDefault="00FB059F" w:rsidP="00FB059F">
      <w:pPr>
        <w:spacing w:after="40" w:line="240" w:lineRule="auto"/>
        <w:jc w:val="center"/>
        <w:rPr>
          <w:rFonts w:eastAsiaTheme="minorHAnsi"/>
          <w:lang w:bidi="en-US"/>
        </w:rPr>
      </w:pPr>
    </w:p>
    <w:p w14:paraId="694D41A1" w14:textId="4BA967C6" w:rsidR="00FE614C" w:rsidRDefault="002F49C2" w:rsidP="00FE614C">
      <w:pPr>
        <w:pStyle w:val="Caption"/>
        <w:keepNext/>
        <w:ind w:right="-90"/>
      </w:pPr>
      <w:r>
        <w:rPr>
          <w:noProof/>
        </w:rPr>
        <w:lastRenderedPageBreak/>
        <w:drawing>
          <wp:inline distT="0" distB="0" distL="0" distR="0" wp14:anchorId="135CF63C" wp14:editId="11BF8328">
            <wp:extent cx="5353050" cy="7174271"/>
            <wp:effectExtent l="19050" t="19050" r="19050" b="26670"/>
            <wp:docPr id="7469724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492"/>
                    <a:stretch>
                      <a:fillRect/>
                    </a:stretch>
                  </pic:blipFill>
                  <pic:spPr bwMode="auto">
                    <a:xfrm>
                      <a:off x="0" y="0"/>
                      <a:ext cx="5378414" cy="72082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FB059F" w:rsidRPr="00B65CE0">
        <w:t xml:space="preserve"> </w:t>
      </w:r>
    </w:p>
    <w:p w14:paraId="1E1F27F2" w14:textId="3B15D939" w:rsidR="00FE614C" w:rsidRDefault="00FE614C" w:rsidP="00FE614C">
      <w:pPr>
        <w:rPr>
          <w:rFonts w:ascii="Arial" w:hAnsi="Arial" w:cs="Arial"/>
          <w:sz w:val="16"/>
          <w:szCs w:val="16"/>
        </w:rPr>
      </w:pPr>
      <w:r w:rsidRPr="00FE614C">
        <w:rPr>
          <w:rFonts w:ascii="Arial" w:hAnsi="Arial" w:cs="Arial"/>
          <w:sz w:val="16"/>
          <w:szCs w:val="16"/>
        </w:rPr>
        <w:t xml:space="preserve">Note: </w:t>
      </w:r>
      <w:r>
        <w:rPr>
          <w:rFonts w:ascii="Arial" w:hAnsi="Arial" w:cs="Arial"/>
          <w:sz w:val="16"/>
          <w:szCs w:val="16"/>
        </w:rPr>
        <w:t xml:space="preserve">Samples per year are as follows: </w:t>
      </w:r>
      <w:r w:rsidRPr="00FE614C">
        <w:rPr>
          <w:rFonts w:ascii="Arial" w:hAnsi="Arial" w:cs="Arial"/>
          <w:sz w:val="16"/>
          <w:szCs w:val="16"/>
        </w:rPr>
        <w:t xml:space="preserve">Warm </w:t>
      </w:r>
      <w:r>
        <w:rPr>
          <w:rFonts w:ascii="Arial" w:hAnsi="Arial" w:cs="Arial"/>
          <w:sz w:val="16"/>
          <w:szCs w:val="16"/>
        </w:rPr>
        <w:t xml:space="preserve">Season </w:t>
      </w:r>
      <w:r w:rsidRPr="00FE614C">
        <w:rPr>
          <w:rFonts w:ascii="Arial" w:hAnsi="Arial" w:cs="Arial"/>
          <w:sz w:val="16"/>
          <w:szCs w:val="16"/>
        </w:rPr>
        <w:t>n = 20/year</w:t>
      </w:r>
      <w:r>
        <w:rPr>
          <w:rFonts w:ascii="Arial" w:hAnsi="Arial" w:cs="Arial"/>
          <w:sz w:val="16"/>
          <w:szCs w:val="16"/>
        </w:rPr>
        <w:t>;</w:t>
      </w:r>
      <w:r w:rsidRPr="00FE614C">
        <w:rPr>
          <w:rFonts w:ascii="Arial" w:hAnsi="Arial" w:cs="Arial"/>
          <w:sz w:val="16"/>
          <w:szCs w:val="16"/>
        </w:rPr>
        <w:t xml:space="preserve"> Cool Season n=11/year before 2016 and 5/year after 2016</w:t>
      </w:r>
    </w:p>
    <w:p w14:paraId="26C2333A" w14:textId="4948A0C2" w:rsidR="00FE614C" w:rsidRPr="00FE614C" w:rsidRDefault="00FE614C" w:rsidP="00FE614C">
      <w:pPr>
        <w:rPr>
          <w:rFonts w:ascii="Arial" w:hAnsi="Arial" w:cs="Arial"/>
          <w:sz w:val="16"/>
          <w:szCs w:val="16"/>
        </w:rPr>
      </w:pPr>
      <w:r>
        <w:rPr>
          <w:rFonts w:ascii="Arial" w:hAnsi="Arial" w:cs="Arial"/>
          <w:sz w:val="16"/>
          <w:szCs w:val="16"/>
        </w:rPr>
        <w:t xml:space="preserve">WLA and LA for these sites are 113 MPN/100mL and are represented by the black bar. </w:t>
      </w:r>
    </w:p>
    <w:p w14:paraId="63505537" w14:textId="499346B8" w:rsidR="00FB059F" w:rsidRDefault="00FE614C" w:rsidP="00FE614C">
      <w:pPr>
        <w:pStyle w:val="Caption"/>
      </w:pPr>
      <w:bookmarkStart w:id="40" w:name="_Toc217394555"/>
      <w:bookmarkStart w:id="41" w:name="_Toc217394750"/>
      <w:r>
        <w:t xml:space="preserve">Figure </w:t>
      </w:r>
      <w:r w:rsidR="0023167A">
        <w:fldChar w:fldCharType="begin"/>
      </w:r>
      <w:r w:rsidR="0023167A">
        <w:instrText xml:space="preserve"> STYLEREF 1 \s </w:instrText>
      </w:r>
      <w:r w:rsidR="0023167A">
        <w:fldChar w:fldCharType="separate"/>
      </w:r>
      <w:r w:rsidR="0023167A">
        <w:rPr>
          <w:noProof/>
        </w:rPr>
        <w:t>2</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w:t>
      </w:r>
      <w:r w:rsidR="0023167A">
        <w:fldChar w:fldCharType="end"/>
      </w:r>
      <w:r>
        <w:t xml:space="preserve">.  Dry Weather </w:t>
      </w:r>
      <w:r w:rsidRPr="00FE614C">
        <w:t xml:space="preserve">Seasonal Geomean </w:t>
      </w:r>
      <w:r w:rsidRPr="00FE614C">
        <w:rPr>
          <w:i/>
          <w:iCs w:val="0"/>
        </w:rPr>
        <w:t xml:space="preserve">E. </w:t>
      </w:r>
      <w:proofErr w:type="gramStart"/>
      <w:r w:rsidRPr="00FE614C">
        <w:rPr>
          <w:i/>
          <w:iCs w:val="0"/>
        </w:rPr>
        <w:t>coli</w:t>
      </w:r>
      <w:proofErr w:type="gramEnd"/>
      <w:r w:rsidRPr="00FE614C">
        <w:t xml:space="preserve"> Concentration</w:t>
      </w:r>
      <w:r>
        <w:t>s</w:t>
      </w:r>
      <w:r w:rsidRPr="00FE614C">
        <w:t xml:space="preserve"> </w:t>
      </w:r>
      <w:r>
        <w:t>by Site and Season</w:t>
      </w:r>
      <w:bookmarkEnd w:id="40"/>
      <w:bookmarkEnd w:id="41"/>
    </w:p>
    <w:p w14:paraId="45F11876" w14:textId="593132C3" w:rsidR="00FB059F" w:rsidRPr="000A740B" w:rsidRDefault="00FB059F" w:rsidP="00FB059F">
      <w:pPr>
        <w:pStyle w:val="Heading3"/>
      </w:pPr>
      <w:bookmarkStart w:id="42" w:name="_Hlk120966592"/>
      <w:bookmarkStart w:id="43" w:name="_Toc217410148"/>
      <w:r>
        <w:lastRenderedPageBreak/>
        <w:t>Wet Weather Bacteria</w:t>
      </w:r>
      <w:bookmarkEnd w:id="43"/>
    </w:p>
    <w:p w14:paraId="4D4432C5" w14:textId="69039EAB" w:rsidR="00FB059F" w:rsidRPr="00E711EA" w:rsidRDefault="00FB059F" w:rsidP="00FB059F">
      <w:pPr>
        <w:pStyle w:val="BodyText"/>
      </w:pPr>
      <w:r w:rsidRPr="00E711EA">
        <w:t xml:space="preserve">As </w:t>
      </w:r>
      <w:r w:rsidR="00DD72C3">
        <w:t>shown in Table 2-3</w:t>
      </w:r>
      <w:r w:rsidRPr="00E711EA">
        <w:t>, four grab samples over a 4- or 5-day period comprising a single wet event</w:t>
      </w:r>
      <w:r w:rsidR="00D94725" w:rsidRPr="00E711EA">
        <w:t xml:space="preserve"> </w:t>
      </w:r>
      <w:r w:rsidRPr="00E711EA">
        <w:t>were parsed into two categories</w:t>
      </w:r>
      <w:r w:rsidR="00E711EA">
        <w:t xml:space="preserve"> for all sampled wet weather events from 2007 through 202</w:t>
      </w:r>
      <w:r w:rsidR="00BA0DDF">
        <w:t>5</w:t>
      </w:r>
      <w:r w:rsidRPr="00E711EA">
        <w:t xml:space="preserve">: </w:t>
      </w:r>
      <w:r w:rsidR="00E711EA">
        <w:t>(a) a</w:t>
      </w:r>
      <w:r w:rsidRPr="00E711EA">
        <w:t>ctive wet weather</w:t>
      </w:r>
      <w:r w:rsidR="00E711EA">
        <w:t>;</w:t>
      </w:r>
      <w:r w:rsidRPr="00E711EA">
        <w:t xml:space="preserve"> or </w:t>
      </w:r>
      <w:r w:rsidR="00E711EA">
        <w:t xml:space="preserve">(b) </w:t>
      </w:r>
      <w:r w:rsidRPr="00E711EA">
        <w:t xml:space="preserve">post-storm. </w:t>
      </w:r>
      <w:r w:rsidR="00846EC5" w:rsidRPr="00D76F4C">
        <w:rPr>
          <w:i/>
          <w:iCs/>
        </w:rPr>
        <w:t>E. coli</w:t>
      </w:r>
      <w:r w:rsidR="00BF2B69" w:rsidRPr="00D76F4C">
        <w:rPr>
          <w:i/>
          <w:iCs/>
        </w:rPr>
        <w:t xml:space="preserve"> </w:t>
      </w:r>
      <w:r w:rsidR="00BF2B69">
        <w:t>concentrations have</w:t>
      </w:r>
      <w:r w:rsidR="00E711EA">
        <w:t xml:space="preserve"> </w:t>
      </w:r>
      <w:r w:rsidRPr="00E711EA">
        <w:t xml:space="preserve">significantly higher geometric </w:t>
      </w:r>
      <w:proofErr w:type="gramStart"/>
      <w:r w:rsidRPr="00E711EA">
        <w:t>mean</w:t>
      </w:r>
      <w:proofErr w:type="gramEnd"/>
      <w:r w:rsidRPr="00E711EA">
        <w:t xml:space="preserve"> concentrations </w:t>
      </w:r>
      <w:r w:rsidR="00C83E24">
        <w:t xml:space="preserve">when collected </w:t>
      </w:r>
      <w:r w:rsidRPr="00E711EA">
        <w:t xml:space="preserve">during active wet weather </w:t>
      </w:r>
      <w:r w:rsidR="00C83E24">
        <w:t>versus</w:t>
      </w:r>
      <w:r w:rsidRPr="00E711EA">
        <w:t xml:space="preserve"> </w:t>
      </w:r>
      <w:r w:rsidR="00C83E24">
        <w:t xml:space="preserve">being collected under </w:t>
      </w:r>
      <w:r w:rsidRPr="00E711EA">
        <w:t xml:space="preserve">post-storm </w:t>
      </w:r>
      <w:r w:rsidR="00C83E24">
        <w:t>conditions</w:t>
      </w:r>
      <w:r w:rsidRPr="00E711EA">
        <w:t xml:space="preserve"> (</w:t>
      </w:r>
      <w:r w:rsidRPr="00E711EA">
        <w:rPr>
          <w:b/>
          <w:bCs/>
        </w:rPr>
        <w:t>Figure 2-3</w:t>
      </w:r>
      <w:r w:rsidRPr="00E711EA">
        <w:t xml:space="preserve">). When considering the elevated flow during active wet weather, an even greater difference in fecal bacteria load is expected when compared to post-storm conditions.  </w:t>
      </w:r>
    </w:p>
    <w:p w14:paraId="458DD0FC" w14:textId="77777777" w:rsidR="00D80097" w:rsidRDefault="00FB059F" w:rsidP="00FB059F">
      <w:pPr>
        <w:pStyle w:val="BodyText"/>
      </w:pPr>
      <w:r w:rsidRPr="00E711EA">
        <w:t xml:space="preserve">Most of the sampled storm events in </w:t>
      </w:r>
      <w:r w:rsidR="00C83E24">
        <w:t>impaired</w:t>
      </w:r>
      <w:r w:rsidRPr="00E711EA">
        <w:t xml:space="preserve"> waters exceed the 0.5 inches of rainfall threshold to trigger a temporary high flow suspension of recreational use and as such would not be subject to treatment. The Basin Plan states that termination of </w:t>
      </w:r>
      <w:r w:rsidR="00C83E24">
        <w:t xml:space="preserve">the </w:t>
      </w:r>
      <w:r w:rsidRPr="00E711EA">
        <w:t xml:space="preserve">temporary </w:t>
      </w:r>
      <w:r w:rsidR="00C83E24">
        <w:t xml:space="preserve">high flow </w:t>
      </w:r>
      <w:r w:rsidRPr="00E711EA">
        <w:t>suspension occurs 24</w:t>
      </w:r>
      <w:r w:rsidR="00D94725" w:rsidRPr="00E711EA">
        <w:t xml:space="preserve"> </w:t>
      </w:r>
      <w:r w:rsidRPr="00E711EA">
        <w:t xml:space="preserve">hours after the end of the storm event. </w:t>
      </w:r>
    </w:p>
    <w:p w14:paraId="4CA32B3B" w14:textId="68580EC1" w:rsidR="00FB059F" w:rsidRDefault="00FB059F" w:rsidP="004F40ED">
      <w:pPr>
        <w:pStyle w:val="BodyText"/>
      </w:pPr>
      <w:r w:rsidRPr="00E711EA">
        <w:t xml:space="preserve">A more focused </w:t>
      </w:r>
      <w:r w:rsidR="00C83E24">
        <w:t>analysis</w:t>
      </w:r>
      <w:r w:rsidRPr="00E711EA">
        <w:t xml:space="preserve"> of the full set of post-storm samples shows that </w:t>
      </w:r>
      <w:r w:rsidRPr="00E711EA">
        <w:rPr>
          <w:i/>
          <w:iCs/>
        </w:rPr>
        <w:t>E. coli</w:t>
      </w:r>
      <w:r w:rsidRPr="00E711EA">
        <w:t xml:space="preserve"> concentrations decline most sharp</w:t>
      </w:r>
      <w:r w:rsidR="00C83E24">
        <w:t>l</w:t>
      </w:r>
      <w:r w:rsidRPr="00E711EA">
        <w:t xml:space="preserve">y within the first 24 hours following a return to a pre-event flow condition for all the </w:t>
      </w:r>
      <w:r w:rsidR="00D94725" w:rsidRPr="00E711EA">
        <w:t>impaired</w:t>
      </w:r>
      <w:r w:rsidRPr="00E711EA">
        <w:t xml:space="preserve"> waters (</w:t>
      </w:r>
      <w:r w:rsidRPr="00E711EA">
        <w:rPr>
          <w:b/>
          <w:bCs/>
        </w:rPr>
        <w:t>Figure 2-4</w:t>
      </w:r>
      <w:r w:rsidRPr="00E711EA">
        <w:t xml:space="preserve">). Thus, it is possible that controls implemented to address dry weather </w:t>
      </w:r>
      <w:r w:rsidRPr="00E711EA">
        <w:rPr>
          <w:i/>
          <w:iCs/>
        </w:rPr>
        <w:t xml:space="preserve">E. coli </w:t>
      </w:r>
      <w:r w:rsidRPr="00E711EA">
        <w:t xml:space="preserve">loads may also provide protection </w:t>
      </w:r>
      <w:r w:rsidR="007E4893" w:rsidRPr="00E711EA">
        <w:t>for</w:t>
      </w:r>
      <w:r w:rsidRPr="00E711EA">
        <w:t xml:space="preserve"> potential swimmers 24 hours post-storm.</w:t>
      </w:r>
      <w:r>
        <w:t xml:space="preserve">   </w:t>
      </w:r>
      <w:bookmarkEnd w:id="42"/>
    </w:p>
    <w:p w14:paraId="43CD5E25" w14:textId="77777777" w:rsidR="00223F5D" w:rsidRDefault="007F0B8D" w:rsidP="00FB059F">
      <w:pPr>
        <w:pStyle w:val="Caption"/>
      </w:pPr>
      <w:r>
        <w:rPr>
          <w:noProof/>
        </w:rPr>
        <w:drawing>
          <wp:inline distT="0" distB="0" distL="0" distR="0" wp14:anchorId="75F7640F" wp14:editId="4830D90E">
            <wp:extent cx="5656489" cy="3200400"/>
            <wp:effectExtent l="0" t="0" r="1905" b="0"/>
            <wp:docPr id="1878373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0896" cy="3202894"/>
                    </a:xfrm>
                    <a:prstGeom prst="rect">
                      <a:avLst/>
                    </a:prstGeom>
                    <a:noFill/>
                  </pic:spPr>
                </pic:pic>
              </a:graphicData>
            </a:graphic>
          </wp:inline>
        </w:drawing>
      </w:r>
    </w:p>
    <w:p w14:paraId="7DE0F3E9" w14:textId="77777777" w:rsidR="00223F5D" w:rsidRPr="00223F5D" w:rsidRDefault="00223F5D" w:rsidP="00223F5D">
      <w:pPr>
        <w:pStyle w:val="BodyText"/>
        <w:rPr>
          <w:rFonts w:ascii="Arial" w:hAnsi="Arial" w:cs="Arial"/>
          <w:sz w:val="16"/>
          <w:szCs w:val="16"/>
        </w:rPr>
      </w:pPr>
      <w:r w:rsidRPr="00223F5D">
        <w:rPr>
          <w:rFonts w:ascii="Arial" w:hAnsi="Arial" w:cs="Arial"/>
          <w:sz w:val="16"/>
          <w:szCs w:val="16"/>
        </w:rPr>
        <w:t>Note: Figure includes 18 storm events from 2007-2025)</w:t>
      </w:r>
    </w:p>
    <w:p w14:paraId="60BE8EC0" w14:textId="10738DDB" w:rsidR="00FB059F" w:rsidRDefault="00FE614C" w:rsidP="00FE614C">
      <w:pPr>
        <w:pStyle w:val="Caption"/>
      </w:pPr>
      <w:bookmarkStart w:id="44" w:name="_Toc217394556"/>
      <w:bookmarkStart w:id="45" w:name="_Toc217394751"/>
      <w:r>
        <w:t xml:space="preserve">Figure </w:t>
      </w:r>
      <w:r w:rsidR="0023167A">
        <w:fldChar w:fldCharType="begin"/>
      </w:r>
      <w:r w:rsidR="0023167A">
        <w:instrText xml:space="preserve"> STYLEREF 1 \s </w:instrText>
      </w:r>
      <w:r w:rsidR="0023167A">
        <w:fldChar w:fldCharType="separate"/>
      </w:r>
      <w:r w:rsidR="0023167A">
        <w:rPr>
          <w:noProof/>
        </w:rPr>
        <w:t>2</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3</w:t>
      </w:r>
      <w:r w:rsidR="0023167A">
        <w:fldChar w:fldCharType="end"/>
      </w:r>
      <w:r>
        <w:t xml:space="preserve">. </w:t>
      </w:r>
      <w:r w:rsidRPr="00FE614C">
        <w:t xml:space="preserve">Geomean of </w:t>
      </w:r>
      <w:r w:rsidRPr="00FE614C">
        <w:rPr>
          <w:i/>
          <w:iCs w:val="0"/>
        </w:rPr>
        <w:t>E. coli</w:t>
      </w:r>
      <w:r w:rsidRPr="00FE614C">
        <w:t xml:space="preserve"> Concentration</w:t>
      </w:r>
      <w:r>
        <w:t>s</w:t>
      </w:r>
      <w:r w:rsidRPr="00FE614C">
        <w:t xml:space="preserve"> for Grab Samples during Active Wet Weather and Post-Storm Events</w:t>
      </w:r>
      <w:bookmarkEnd w:id="44"/>
      <w:bookmarkEnd w:id="45"/>
    </w:p>
    <w:p w14:paraId="12BE474E" w14:textId="0A6C55E1" w:rsidR="00F33FD0" w:rsidRPr="00F33FD0" w:rsidRDefault="00037F26" w:rsidP="00F33FD0">
      <w:pPr>
        <w:pStyle w:val="Caption"/>
        <w:keepNext/>
        <w:rPr>
          <w:rFonts w:eastAsia="Times New Roman"/>
          <w:b w:val="0"/>
          <w:iCs w:val="0"/>
          <w:color w:val="auto"/>
          <w:szCs w:val="20"/>
        </w:rPr>
      </w:pPr>
      <w:r>
        <w:rPr>
          <w:noProof/>
        </w:rPr>
        <w:lastRenderedPageBreak/>
        <w:drawing>
          <wp:inline distT="0" distB="0" distL="0" distR="0" wp14:anchorId="33BA6FE8" wp14:editId="6F7E341E">
            <wp:extent cx="5668632" cy="3296094"/>
            <wp:effectExtent l="0" t="0" r="8890" b="0"/>
            <wp:docPr id="1950479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76011" cy="3300385"/>
                    </a:xfrm>
                    <a:prstGeom prst="rect">
                      <a:avLst/>
                    </a:prstGeom>
                    <a:noFill/>
                  </pic:spPr>
                </pic:pic>
              </a:graphicData>
            </a:graphic>
          </wp:inline>
        </w:drawing>
      </w:r>
      <w:r w:rsidR="00FB059F" w:rsidRPr="00223F5D">
        <w:rPr>
          <w:rFonts w:eastAsia="Times New Roman"/>
          <w:b w:val="0"/>
          <w:iCs w:val="0"/>
          <w:color w:val="auto"/>
          <w:szCs w:val="20"/>
        </w:rPr>
        <w:t xml:space="preserve"> </w:t>
      </w:r>
    </w:p>
    <w:p w14:paraId="16CCA16C" w14:textId="1509EBCA" w:rsidR="00FB059F" w:rsidRPr="00223F5D" w:rsidRDefault="00F33FD0" w:rsidP="00F33FD0">
      <w:pPr>
        <w:pStyle w:val="Caption"/>
        <w:rPr>
          <w:rStyle w:val="FiguresTitleChar"/>
        </w:rPr>
      </w:pPr>
      <w:bookmarkStart w:id="46" w:name="_Toc217394557"/>
      <w:bookmarkStart w:id="47" w:name="_Toc217394752"/>
      <w:r>
        <w:t xml:space="preserve">Figure </w:t>
      </w:r>
      <w:r w:rsidR="0023167A">
        <w:fldChar w:fldCharType="begin"/>
      </w:r>
      <w:r w:rsidR="0023167A">
        <w:instrText xml:space="preserve"> STYLEREF 1 \s </w:instrText>
      </w:r>
      <w:r w:rsidR="0023167A">
        <w:fldChar w:fldCharType="separate"/>
      </w:r>
      <w:r w:rsidR="0023167A">
        <w:rPr>
          <w:noProof/>
        </w:rPr>
        <w:t>2</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4</w:t>
      </w:r>
      <w:r w:rsidR="0023167A">
        <w:fldChar w:fldCharType="end"/>
      </w:r>
      <w:r>
        <w:t xml:space="preserve">. </w:t>
      </w:r>
      <w:r w:rsidRPr="00F33FD0">
        <w:rPr>
          <w:i/>
          <w:iCs w:val="0"/>
        </w:rPr>
        <w:t>E. coli</w:t>
      </w:r>
      <w:r>
        <w:t xml:space="preserve"> </w:t>
      </w:r>
      <w:r w:rsidRPr="00F33FD0">
        <w:t>Concentration</w:t>
      </w:r>
      <w:r>
        <w:t>s</w:t>
      </w:r>
      <w:r w:rsidRPr="00F33FD0">
        <w:t xml:space="preserve"> for Post-storm Samples </w:t>
      </w:r>
      <w:r>
        <w:t xml:space="preserve">Over Time After </w:t>
      </w:r>
      <w:r w:rsidRPr="00F33FD0">
        <w:t xml:space="preserve">Return </w:t>
      </w:r>
      <w:r>
        <w:t>to</w:t>
      </w:r>
      <w:r w:rsidRPr="00F33FD0">
        <w:t xml:space="preserve"> Pre-Wet Weather Event Flow Conditions (2007-2025)</w:t>
      </w:r>
      <w:bookmarkEnd w:id="46"/>
      <w:bookmarkEnd w:id="47"/>
    </w:p>
    <w:p w14:paraId="3EF7D699" w14:textId="2CC2242E" w:rsidR="00156F9F" w:rsidRDefault="00156F9F">
      <w:pPr>
        <w:spacing w:line="240" w:lineRule="auto"/>
        <w:rPr>
          <w:rFonts w:ascii="Arial" w:hAnsi="Arial"/>
          <w:b/>
          <w:bCs/>
          <w:iCs/>
          <w:sz w:val="28"/>
          <w:szCs w:val="28"/>
        </w:rPr>
      </w:pPr>
    </w:p>
    <w:p w14:paraId="10062F14" w14:textId="11A340C1" w:rsidR="00D94725" w:rsidRPr="00367A53" w:rsidRDefault="00D94725" w:rsidP="00774B41">
      <w:pPr>
        <w:pStyle w:val="Heading2"/>
        <w:tabs>
          <w:tab w:val="clear" w:pos="2322"/>
        </w:tabs>
        <w:ind w:left="810"/>
      </w:pPr>
      <w:bookmarkStart w:id="48" w:name="_Toc217410149"/>
      <w:r w:rsidRPr="00367A53">
        <w:t>Compliance with Wasteload Allocations</w:t>
      </w:r>
      <w:bookmarkEnd w:id="48"/>
    </w:p>
    <w:p w14:paraId="2830F1F5" w14:textId="3B39CBCD" w:rsidR="00BA1E65" w:rsidRPr="00367A53" w:rsidRDefault="00BA1E65" w:rsidP="00BA1E65">
      <w:pPr>
        <w:pStyle w:val="BodyText"/>
      </w:pPr>
      <w:r w:rsidRPr="00C83E24">
        <w:rPr>
          <w:b/>
          <w:bCs/>
        </w:rPr>
        <w:t>Tables 2-4 and 2-5</w:t>
      </w:r>
      <w:r w:rsidRPr="00C83E24">
        <w:t xml:space="preserve"> summarize the frequency of compliance with geometric mean and single</w:t>
      </w:r>
      <w:r w:rsidRPr="00367A53">
        <w:t xml:space="preserve"> sample </w:t>
      </w:r>
      <w:r>
        <w:t xml:space="preserve">WLAs </w:t>
      </w:r>
      <w:r w:rsidRPr="00367A53">
        <w:t xml:space="preserve">for </w:t>
      </w:r>
      <w:r w:rsidRPr="00367A53">
        <w:rPr>
          <w:i/>
        </w:rPr>
        <w:t>E. coli</w:t>
      </w:r>
      <w:r w:rsidRPr="00367A53">
        <w:t xml:space="preserve"> (geometric mean maximum: 1</w:t>
      </w:r>
      <w:r>
        <w:t>13 MPN</w:t>
      </w:r>
      <w:r w:rsidRPr="00367A53">
        <w:t xml:space="preserve">/100 mL; single sample maximum: </w:t>
      </w:r>
      <w:r>
        <w:t>212</w:t>
      </w:r>
      <w:r w:rsidRPr="00367A53">
        <w:t xml:space="preserve"> </w:t>
      </w:r>
      <w:r>
        <w:t>MPN</w:t>
      </w:r>
      <w:r w:rsidRPr="00367A53">
        <w:t xml:space="preserve">/100 mL) during </w:t>
      </w:r>
      <w:r>
        <w:t xml:space="preserve">dry weather in </w:t>
      </w:r>
      <w:r w:rsidRPr="00367A53">
        <w:t>20</w:t>
      </w:r>
      <w:r>
        <w:t>2</w:t>
      </w:r>
      <w:r w:rsidR="007F1704">
        <w:t>3</w:t>
      </w:r>
      <w:r w:rsidRPr="00367A53">
        <w:t>, 20</w:t>
      </w:r>
      <w:r>
        <w:t>2</w:t>
      </w:r>
      <w:r w:rsidR="007F1704">
        <w:t>4</w:t>
      </w:r>
      <w:r w:rsidRPr="00367A53">
        <w:t xml:space="preserve"> and 20</w:t>
      </w:r>
      <w:r>
        <w:t>2</w:t>
      </w:r>
      <w:r w:rsidR="007F1704">
        <w:t>5</w:t>
      </w:r>
      <w:r w:rsidRPr="00367A53">
        <w:t xml:space="preserve"> </w:t>
      </w:r>
      <w:r>
        <w:t xml:space="preserve">warm </w:t>
      </w:r>
      <w:r w:rsidR="007F1704">
        <w:t xml:space="preserve">and cool </w:t>
      </w:r>
      <w:r w:rsidRPr="00367A53">
        <w:t>seasons.</w:t>
      </w:r>
    </w:p>
    <w:tbl>
      <w:tblPr>
        <w:tblW w:w="9019" w:type="dxa"/>
        <w:tblLook w:val="04A0" w:firstRow="1" w:lastRow="0" w:firstColumn="1" w:lastColumn="0" w:noHBand="0" w:noVBand="1"/>
      </w:tblPr>
      <w:tblGrid>
        <w:gridCol w:w="1843"/>
        <w:gridCol w:w="1508"/>
        <w:gridCol w:w="1508"/>
        <w:gridCol w:w="1508"/>
        <w:gridCol w:w="912"/>
        <w:gridCol w:w="880"/>
        <w:gridCol w:w="862"/>
      </w:tblGrid>
      <w:tr w:rsidR="00BA1E65" w:rsidRPr="000E49C1" w14:paraId="7F018CD7" w14:textId="77777777" w:rsidTr="00A41B16">
        <w:trPr>
          <w:trHeight w:val="531"/>
        </w:trPr>
        <w:tc>
          <w:tcPr>
            <w:tcW w:w="9019" w:type="dxa"/>
            <w:gridSpan w:val="7"/>
            <w:tcBorders>
              <w:bottom w:val="single" w:sz="4" w:space="0" w:color="auto"/>
            </w:tcBorders>
            <w:noWrap/>
            <w:vAlign w:val="center"/>
          </w:tcPr>
          <w:p w14:paraId="7EF458DA" w14:textId="463E123E" w:rsidR="00BA1E65" w:rsidRPr="000E49C1" w:rsidRDefault="00A41B16" w:rsidP="00A41B16">
            <w:pPr>
              <w:pStyle w:val="Caption"/>
              <w:keepNext/>
            </w:pPr>
            <w:bookmarkStart w:id="49" w:name="_Toc217391756"/>
            <w:r>
              <w:t xml:space="preserve">Table </w:t>
            </w:r>
            <w:r w:rsidR="00FE614C">
              <w:fldChar w:fldCharType="begin"/>
            </w:r>
            <w:r w:rsidR="00FE614C">
              <w:instrText xml:space="preserve"> STYLEREF 1 \s </w:instrText>
            </w:r>
            <w:r w:rsidR="00FE614C">
              <w:fldChar w:fldCharType="separate"/>
            </w:r>
            <w:r w:rsidR="00FE614C">
              <w:rPr>
                <w:noProof/>
              </w:rPr>
              <w:t>2</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4</w:t>
            </w:r>
            <w:r w:rsidR="00FE614C">
              <w:fldChar w:fldCharType="end"/>
            </w:r>
            <w:r>
              <w:t>.</w:t>
            </w:r>
            <w:r w:rsidRPr="000E49C1">
              <w:t xml:space="preserve"> </w:t>
            </w:r>
            <w:r w:rsidR="00223F5D">
              <w:t xml:space="preserve">Dry Weather </w:t>
            </w:r>
            <w:r w:rsidRPr="000E49C1">
              <w:t xml:space="preserve">Exceedance </w:t>
            </w:r>
            <w:r w:rsidR="00223F5D">
              <w:t xml:space="preserve">Frequencies </w:t>
            </w:r>
            <w:r w:rsidRPr="000E49C1">
              <w:t xml:space="preserve">of </w:t>
            </w:r>
            <w:r>
              <w:t xml:space="preserve">WLAs/LAs </w:t>
            </w:r>
            <w:r w:rsidR="00223F5D" w:rsidRPr="000E49C1">
              <w:t>for</w:t>
            </w:r>
            <w:r w:rsidR="00223F5D">
              <w:t xml:space="preserve"> </w:t>
            </w:r>
            <w:r w:rsidR="00223F5D" w:rsidRPr="00223F5D">
              <w:rPr>
                <w:i/>
                <w:iCs w:val="0"/>
              </w:rPr>
              <w:t>E.</w:t>
            </w:r>
            <w:r w:rsidRPr="00223F5D">
              <w:rPr>
                <w:i/>
                <w:iCs w:val="0"/>
              </w:rPr>
              <w:t xml:space="preserve"> coli</w:t>
            </w:r>
            <w:r w:rsidRPr="000E49C1">
              <w:t xml:space="preserve"> during the 202</w:t>
            </w:r>
            <w:r>
              <w:t>3</w:t>
            </w:r>
            <w:r w:rsidRPr="000E49C1">
              <w:t>, 202</w:t>
            </w:r>
            <w:r>
              <w:t xml:space="preserve">4 </w:t>
            </w:r>
            <w:r w:rsidRPr="000E49C1">
              <w:t>and 202</w:t>
            </w:r>
            <w:r>
              <w:t>5</w:t>
            </w:r>
            <w:r w:rsidRPr="000E49C1">
              <w:t xml:space="preserve"> Warm Seasons</w:t>
            </w:r>
            <w:bookmarkEnd w:id="49"/>
          </w:p>
        </w:tc>
      </w:tr>
      <w:tr w:rsidR="00BA1E65" w:rsidRPr="00BA1E65" w14:paraId="4D57F263" w14:textId="77777777" w:rsidTr="00A41B16">
        <w:trPr>
          <w:trHeight w:val="557"/>
        </w:trPr>
        <w:tc>
          <w:tcPr>
            <w:tcW w:w="0" w:type="auto"/>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536ACAB" w14:textId="77777777" w:rsidR="00BA1E65" w:rsidRPr="002714B2" w:rsidRDefault="00BA1E65" w:rsidP="00BA1E65">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Site</w:t>
            </w:r>
          </w:p>
        </w:tc>
        <w:tc>
          <w:tcPr>
            <w:tcW w:w="4008"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D8AFE0E" w14:textId="77777777" w:rsidR="00BA1E65" w:rsidRPr="002714B2" w:rsidRDefault="00BA1E65" w:rsidP="00BA1E65">
            <w:pPr>
              <w:pStyle w:val="LFTTableHeader1"/>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 xml:space="preserve">Geometric Mean Criterion </w:t>
            </w:r>
          </w:p>
          <w:p w14:paraId="48412212" w14:textId="77777777" w:rsidR="00BA1E65" w:rsidRPr="002714B2" w:rsidRDefault="00BA1E65" w:rsidP="00BA1E65">
            <w:pPr>
              <w:pStyle w:val="LFTTableHeader1"/>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Exceedance Frequency (%)</w:t>
            </w:r>
          </w:p>
        </w:tc>
        <w:tc>
          <w:tcPr>
            <w:tcW w:w="28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C4F538" w14:textId="77777777" w:rsidR="00BA1E65" w:rsidRPr="002714B2" w:rsidRDefault="00BA1E65" w:rsidP="00BA1E65">
            <w:pPr>
              <w:pStyle w:val="LFTTableHeader1"/>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 xml:space="preserve">Single Sample Value </w:t>
            </w:r>
          </w:p>
          <w:p w14:paraId="70000F4D" w14:textId="77777777" w:rsidR="00BA1E65" w:rsidRPr="002714B2" w:rsidRDefault="00BA1E65" w:rsidP="00BA1E65">
            <w:pPr>
              <w:pStyle w:val="LFTTableHeader1"/>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Exceedance Frequency (%)</w:t>
            </w:r>
          </w:p>
        </w:tc>
      </w:tr>
      <w:tr w:rsidR="00BA1E65" w:rsidRPr="00BA1E65" w14:paraId="5E725FC2" w14:textId="77777777" w:rsidTr="00A41B16">
        <w:trPr>
          <w:trHeight w:val="432"/>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FA8BB8" w14:textId="77777777" w:rsidR="00BA1E65" w:rsidRPr="002714B2" w:rsidRDefault="00BA1E65" w:rsidP="00BA1E65">
            <w:pPr>
              <w:spacing w:line="240" w:lineRule="auto"/>
              <w:rPr>
                <w:rFonts w:ascii="Arial" w:hAnsi="Arial" w:cs="Arial"/>
                <w:sz w:val="18"/>
                <w:szCs w:val="18"/>
              </w:rPr>
            </w:pPr>
          </w:p>
        </w:tc>
        <w:tc>
          <w:tcPr>
            <w:tcW w:w="133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3CEDDD2" w14:textId="4F3C8522" w:rsidR="00BA1E65" w:rsidRPr="002714B2" w:rsidRDefault="00BA1E65" w:rsidP="00BA1E65">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w:t>
            </w:r>
            <w:r w:rsidR="00662937" w:rsidRPr="002714B2">
              <w:rPr>
                <w:rFonts w:ascii="Arial" w:hAnsi="Arial" w:cs="Arial"/>
                <w:color w:val="auto"/>
                <w:sz w:val="18"/>
                <w:szCs w:val="18"/>
                <w:lang w:bidi="ar-SA"/>
              </w:rPr>
              <w:t>3</w:t>
            </w:r>
          </w:p>
        </w:tc>
        <w:tc>
          <w:tcPr>
            <w:tcW w:w="133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220A22B" w14:textId="3C6267A5" w:rsidR="00BA1E65" w:rsidRPr="002714B2" w:rsidRDefault="00BA1E65" w:rsidP="00BA1E65">
            <w:pPr>
              <w:pStyle w:val="LFTTableHeader2"/>
              <w:spacing w:before="0" w:after="0" w:line="240" w:lineRule="auto"/>
              <w:rPr>
                <w:rFonts w:ascii="Arial" w:hAnsi="Arial" w:cs="Arial"/>
                <w:bCs/>
                <w:color w:val="auto"/>
                <w:sz w:val="18"/>
                <w:szCs w:val="18"/>
                <w:lang w:bidi="ar-SA"/>
              </w:rPr>
            </w:pPr>
            <w:r w:rsidRPr="002714B2">
              <w:rPr>
                <w:rFonts w:ascii="Arial" w:hAnsi="Arial" w:cs="Arial"/>
                <w:bCs/>
                <w:color w:val="auto"/>
                <w:sz w:val="18"/>
                <w:szCs w:val="18"/>
                <w:lang w:bidi="ar-SA"/>
              </w:rPr>
              <w:t>202</w:t>
            </w:r>
            <w:r w:rsidR="00662937" w:rsidRPr="002714B2">
              <w:rPr>
                <w:rFonts w:ascii="Arial" w:hAnsi="Arial" w:cs="Arial"/>
                <w:bCs/>
                <w:color w:val="auto"/>
                <w:sz w:val="18"/>
                <w:szCs w:val="18"/>
                <w:lang w:bidi="ar-SA"/>
              </w:rPr>
              <w:t>4</w:t>
            </w:r>
          </w:p>
        </w:tc>
        <w:tc>
          <w:tcPr>
            <w:tcW w:w="133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8FA4680" w14:textId="7047FA7C" w:rsidR="00BA1E65" w:rsidRPr="002714B2" w:rsidRDefault="00BA1E65" w:rsidP="00BA1E65">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w:t>
            </w:r>
            <w:r w:rsidR="00662937" w:rsidRPr="002714B2">
              <w:rPr>
                <w:rFonts w:ascii="Arial" w:hAnsi="Arial" w:cs="Arial"/>
                <w:color w:val="auto"/>
                <w:sz w:val="18"/>
                <w:szCs w:val="18"/>
                <w:lang w:bidi="ar-SA"/>
              </w:rPr>
              <w:t>5</w:t>
            </w:r>
          </w:p>
        </w:tc>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6F9881" w14:textId="77CE537A" w:rsidR="00BA1E65" w:rsidRPr="002714B2" w:rsidRDefault="00BA1E65" w:rsidP="00BA1E65">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w:t>
            </w:r>
            <w:r w:rsidR="00662937" w:rsidRPr="002714B2">
              <w:rPr>
                <w:rFonts w:ascii="Arial" w:hAnsi="Arial" w:cs="Arial"/>
                <w:color w:val="auto"/>
                <w:sz w:val="18"/>
                <w:szCs w:val="18"/>
                <w:lang w:bidi="ar-SA"/>
              </w:rPr>
              <w:t>3</w:t>
            </w:r>
          </w:p>
        </w:tc>
        <w:tc>
          <w:tcPr>
            <w:tcW w:w="94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3A7E4E" w14:textId="69F5EAB3" w:rsidR="00BA1E65" w:rsidRPr="002714B2" w:rsidRDefault="00BA1E65" w:rsidP="00BA1E65">
            <w:pPr>
              <w:pStyle w:val="LFTTableHeader2"/>
              <w:spacing w:before="0" w:after="0" w:line="240" w:lineRule="auto"/>
              <w:rPr>
                <w:rFonts w:ascii="Arial" w:hAnsi="Arial" w:cs="Arial"/>
                <w:color w:val="auto"/>
                <w:sz w:val="18"/>
                <w:szCs w:val="18"/>
                <w:lang w:bidi="ar-SA"/>
              </w:rPr>
            </w:pPr>
            <w:r w:rsidRPr="002714B2">
              <w:rPr>
                <w:rFonts w:ascii="Arial" w:hAnsi="Arial" w:cs="Arial"/>
                <w:bCs/>
                <w:color w:val="auto"/>
                <w:sz w:val="18"/>
                <w:szCs w:val="18"/>
                <w:lang w:bidi="ar-SA"/>
              </w:rPr>
              <w:t>202</w:t>
            </w:r>
            <w:r w:rsidR="00662937" w:rsidRPr="002714B2">
              <w:rPr>
                <w:rFonts w:ascii="Arial" w:hAnsi="Arial" w:cs="Arial"/>
                <w:bCs/>
                <w:color w:val="auto"/>
                <w:sz w:val="18"/>
                <w:szCs w:val="18"/>
                <w:lang w:bidi="ar-SA"/>
              </w:rPr>
              <w:t>4</w:t>
            </w:r>
          </w:p>
        </w:tc>
        <w:tc>
          <w:tcPr>
            <w:tcW w:w="9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0C5053" w14:textId="35A24208" w:rsidR="00BA1E65" w:rsidRPr="002714B2" w:rsidRDefault="00BA1E65" w:rsidP="00BA1E65">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w:t>
            </w:r>
            <w:r w:rsidR="00662937" w:rsidRPr="002714B2">
              <w:rPr>
                <w:rFonts w:ascii="Arial" w:hAnsi="Arial" w:cs="Arial"/>
                <w:color w:val="auto"/>
                <w:sz w:val="18"/>
                <w:szCs w:val="18"/>
                <w:lang w:bidi="ar-SA"/>
              </w:rPr>
              <w:t>5</w:t>
            </w:r>
          </w:p>
        </w:tc>
      </w:tr>
      <w:tr w:rsidR="000C10BC" w:rsidRPr="00BA1E65" w14:paraId="2F22CBAD" w14:textId="77777777" w:rsidTr="000C10BC">
        <w:trPr>
          <w:trHeight w:val="432"/>
        </w:trPr>
        <w:tc>
          <w:tcPr>
            <w:tcW w:w="0" w:type="auto"/>
            <w:tcBorders>
              <w:top w:val="single" w:sz="4" w:space="0" w:color="auto"/>
              <w:left w:val="single" w:sz="4" w:space="0" w:color="auto"/>
              <w:bottom w:val="single" w:sz="4" w:space="0" w:color="auto"/>
              <w:right w:val="single" w:sz="4" w:space="0" w:color="auto"/>
            </w:tcBorders>
            <w:vAlign w:val="center"/>
            <w:hideMark/>
          </w:tcPr>
          <w:p w14:paraId="64D08CFC" w14:textId="77777777" w:rsidR="000C10BC" w:rsidRPr="002714B2" w:rsidRDefault="000C10BC" w:rsidP="000C10BC">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Prado Park Lake</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FBD94E3" w14:textId="5443E89F"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31%</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7058D2D" w14:textId="50C2F851"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19%</w:t>
            </w:r>
          </w:p>
        </w:tc>
        <w:tc>
          <w:tcPr>
            <w:tcW w:w="1336" w:type="dxa"/>
            <w:tcBorders>
              <w:top w:val="single" w:sz="4" w:space="0" w:color="auto"/>
              <w:left w:val="single" w:sz="4" w:space="0" w:color="auto"/>
              <w:bottom w:val="single" w:sz="4" w:space="0" w:color="auto"/>
              <w:right w:val="single" w:sz="4" w:space="0" w:color="auto"/>
            </w:tcBorders>
            <w:noWrap/>
            <w:vAlign w:val="center"/>
            <w:hideMark/>
          </w:tcPr>
          <w:p w14:paraId="4B05C07A" w14:textId="0DF38034"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40%</w:t>
            </w:r>
          </w:p>
        </w:tc>
        <w:tc>
          <w:tcPr>
            <w:tcW w:w="1000" w:type="dxa"/>
            <w:tcBorders>
              <w:top w:val="single" w:sz="4" w:space="0" w:color="auto"/>
              <w:left w:val="single" w:sz="4" w:space="0" w:color="auto"/>
              <w:bottom w:val="single" w:sz="4" w:space="0" w:color="auto"/>
              <w:right w:val="single" w:sz="4" w:space="0" w:color="auto"/>
            </w:tcBorders>
            <w:vAlign w:val="center"/>
          </w:tcPr>
          <w:p w14:paraId="36B5ECF3" w14:textId="37A6AFAF"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30%</w:t>
            </w:r>
          </w:p>
        </w:tc>
        <w:tc>
          <w:tcPr>
            <w:tcW w:w="942" w:type="dxa"/>
            <w:tcBorders>
              <w:top w:val="single" w:sz="4" w:space="0" w:color="auto"/>
              <w:left w:val="single" w:sz="4" w:space="0" w:color="auto"/>
              <w:bottom w:val="single" w:sz="4" w:space="0" w:color="auto"/>
              <w:right w:val="single" w:sz="4" w:space="0" w:color="auto"/>
            </w:tcBorders>
            <w:vAlign w:val="center"/>
          </w:tcPr>
          <w:p w14:paraId="7C4FFDF1" w14:textId="1752A0C3"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15%</w:t>
            </w:r>
          </w:p>
        </w:tc>
        <w:tc>
          <w:tcPr>
            <w:tcW w:w="910" w:type="dxa"/>
            <w:tcBorders>
              <w:top w:val="single" w:sz="4" w:space="0" w:color="auto"/>
              <w:left w:val="single" w:sz="4" w:space="0" w:color="auto"/>
              <w:bottom w:val="single" w:sz="4" w:space="0" w:color="auto"/>
              <w:right w:val="single" w:sz="4" w:space="0" w:color="auto"/>
            </w:tcBorders>
            <w:vAlign w:val="center"/>
          </w:tcPr>
          <w:p w14:paraId="23CDF453" w14:textId="613EBDE6"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35%</w:t>
            </w:r>
          </w:p>
        </w:tc>
      </w:tr>
      <w:tr w:rsidR="000C10BC" w:rsidRPr="00BA1E65" w14:paraId="74EBA1C2" w14:textId="77777777" w:rsidTr="000C10BC">
        <w:trPr>
          <w:trHeight w:val="432"/>
        </w:trPr>
        <w:tc>
          <w:tcPr>
            <w:tcW w:w="0" w:type="auto"/>
            <w:tcBorders>
              <w:top w:val="single" w:sz="4" w:space="0" w:color="auto"/>
              <w:left w:val="single" w:sz="4" w:space="0" w:color="auto"/>
              <w:bottom w:val="single" w:sz="4" w:space="0" w:color="auto"/>
              <w:right w:val="single" w:sz="4" w:space="0" w:color="auto"/>
            </w:tcBorders>
            <w:vAlign w:val="center"/>
            <w:hideMark/>
          </w:tcPr>
          <w:p w14:paraId="64EC762D" w14:textId="77777777" w:rsidR="000C10BC" w:rsidRPr="002714B2" w:rsidRDefault="000C10BC" w:rsidP="000C10BC">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Chino Creek</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E7E7D61" w14:textId="349CFD15"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100%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359CD4B2" w14:textId="46E5AB82"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100%</w:t>
            </w:r>
          </w:p>
        </w:tc>
        <w:tc>
          <w:tcPr>
            <w:tcW w:w="1336" w:type="dxa"/>
            <w:tcBorders>
              <w:top w:val="single" w:sz="4" w:space="0" w:color="auto"/>
              <w:left w:val="single" w:sz="4" w:space="0" w:color="auto"/>
              <w:bottom w:val="single" w:sz="4" w:space="0" w:color="auto"/>
              <w:right w:val="single" w:sz="4" w:space="0" w:color="auto"/>
            </w:tcBorders>
            <w:noWrap/>
            <w:vAlign w:val="center"/>
            <w:hideMark/>
          </w:tcPr>
          <w:p w14:paraId="5C987E10" w14:textId="13AAA312"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92%</w:t>
            </w:r>
          </w:p>
        </w:tc>
        <w:tc>
          <w:tcPr>
            <w:tcW w:w="1000" w:type="dxa"/>
            <w:tcBorders>
              <w:top w:val="single" w:sz="4" w:space="0" w:color="auto"/>
              <w:left w:val="single" w:sz="4" w:space="0" w:color="auto"/>
              <w:bottom w:val="single" w:sz="4" w:space="0" w:color="auto"/>
              <w:right w:val="single" w:sz="4" w:space="0" w:color="auto"/>
            </w:tcBorders>
            <w:vAlign w:val="center"/>
          </w:tcPr>
          <w:p w14:paraId="61291E00" w14:textId="33B2BD1C"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70%</w:t>
            </w:r>
          </w:p>
        </w:tc>
        <w:tc>
          <w:tcPr>
            <w:tcW w:w="942" w:type="dxa"/>
            <w:tcBorders>
              <w:top w:val="single" w:sz="4" w:space="0" w:color="auto"/>
              <w:left w:val="single" w:sz="4" w:space="0" w:color="auto"/>
              <w:bottom w:val="single" w:sz="4" w:space="0" w:color="auto"/>
              <w:right w:val="single" w:sz="4" w:space="0" w:color="auto"/>
            </w:tcBorders>
            <w:vAlign w:val="center"/>
          </w:tcPr>
          <w:p w14:paraId="0170DF50" w14:textId="064AF842"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90%</w:t>
            </w:r>
          </w:p>
        </w:tc>
        <w:tc>
          <w:tcPr>
            <w:tcW w:w="910" w:type="dxa"/>
            <w:tcBorders>
              <w:top w:val="single" w:sz="4" w:space="0" w:color="auto"/>
              <w:left w:val="single" w:sz="4" w:space="0" w:color="auto"/>
              <w:bottom w:val="single" w:sz="4" w:space="0" w:color="auto"/>
              <w:right w:val="single" w:sz="4" w:space="0" w:color="auto"/>
            </w:tcBorders>
            <w:vAlign w:val="center"/>
          </w:tcPr>
          <w:p w14:paraId="6233B675" w14:textId="20B72F89"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60%</w:t>
            </w:r>
          </w:p>
        </w:tc>
      </w:tr>
      <w:tr w:rsidR="000C10BC" w:rsidRPr="00BA1E65" w14:paraId="3A542EFD" w14:textId="77777777" w:rsidTr="000C10BC">
        <w:trPr>
          <w:trHeight w:val="432"/>
        </w:trPr>
        <w:tc>
          <w:tcPr>
            <w:tcW w:w="0" w:type="auto"/>
            <w:tcBorders>
              <w:top w:val="single" w:sz="4" w:space="0" w:color="auto"/>
              <w:left w:val="single" w:sz="4" w:space="0" w:color="auto"/>
              <w:bottom w:val="single" w:sz="4" w:space="0" w:color="auto"/>
              <w:right w:val="single" w:sz="4" w:space="0" w:color="auto"/>
            </w:tcBorders>
            <w:vAlign w:val="center"/>
            <w:hideMark/>
          </w:tcPr>
          <w:p w14:paraId="0EA9936E" w14:textId="77777777" w:rsidR="000C10BC" w:rsidRPr="002714B2" w:rsidRDefault="000C10BC" w:rsidP="000C10BC">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Mill-Cucamonga Creek</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A89917E" w14:textId="43875831"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50%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2A9F60E5" w14:textId="08C1187B"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83%</w:t>
            </w:r>
          </w:p>
        </w:tc>
        <w:tc>
          <w:tcPr>
            <w:tcW w:w="1336" w:type="dxa"/>
            <w:tcBorders>
              <w:top w:val="single" w:sz="4" w:space="0" w:color="auto"/>
              <w:left w:val="single" w:sz="4" w:space="0" w:color="auto"/>
              <w:bottom w:val="single" w:sz="4" w:space="0" w:color="auto"/>
              <w:right w:val="single" w:sz="4" w:space="0" w:color="auto"/>
            </w:tcBorders>
            <w:noWrap/>
            <w:vAlign w:val="center"/>
            <w:hideMark/>
          </w:tcPr>
          <w:p w14:paraId="3F550E07" w14:textId="69A2B57F"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100%</w:t>
            </w:r>
          </w:p>
        </w:tc>
        <w:tc>
          <w:tcPr>
            <w:tcW w:w="1000" w:type="dxa"/>
            <w:tcBorders>
              <w:top w:val="single" w:sz="4" w:space="0" w:color="auto"/>
              <w:left w:val="single" w:sz="4" w:space="0" w:color="auto"/>
              <w:bottom w:val="single" w:sz="4" w:space="0" w:color="auto"/>
              <w:right w:val="single" w:sz="4" w:space="0" w:color="auto"/>
            </w:tcBorders>
            <w:vAlign w:val="center"/>
          </w:tcPr>
          <w:p w14:paraId="3D07FE68" w14:textId="6731AD5D"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45%</w:t>
            </w:r>
          </w:p>
        </w:tc>
        <w:tc>
          <w:tcPr>
            <w:tcW w:w="942" w:type="dxa"/>
            <w:tcBorders>
              <w:top w:val="single" w:sz="4" w:space="0" w:color="auto"/>
              <w:left w:val="single" w:sz="4" w:space="0" w:color="auto"/>
              <w:bottom w:val="single" w:sz="4" w:space="0" w:color="auto"/>
              <w:right w:val="single" w:sz="4" w:space="0" w:color="auto"/>
            </w:tcBorders>
            <w:vAlign w:val="center"/>
          </w:tcPr>
          <w:p w14:paraId="76B7A9C7" w14:textId="34109E8E"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35%</w:t>
            </w:r>
          </w:p>
        </w:tc>
        <w:tc>
          <w:tcPr>
            <w:tcW w:w="910" w:type="dxa"/>
            <w:tcBorders>
              <w:top w:val="single" w:sz="4" w:space="0" w:color="auto"/>
              <w:left w:val="single" w:sz="4" w:space="0" w:color="auto"/>
              <w:bottom w:val="single" w:sz="4" w:space="0" w:color="auto"/>
              <w:right w:val="single" w:sz="4" w:space="0" w:color="auto"/>
            </w:tcBorders>
            <w:vAlign w:val="center"/>
          </w:tcPr>
          <w:p w14:paraId="7EF93ADD" w14:textId="0EF8B3D3"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70%</w:t>
            </w:r>
          </w:p>
        </w:tc>
      </w:tr>
      <w:tr w:rsidR="000C10BC" w:rsidRPr="00BA1E65" w14:paraId="08297402" w14:textId="77777777" w:rsidTr="000C10BC">
        <w:trPr>
          <w:trHeight w:val="432"/>
        </w:trPr>
        <w:tc>
          <w:tcPr>
            <w:tcW w:w="0" w:type="auto"/>
            <w:tcBorders>
              <w:top w:val="single" w:sz="4" w:space="0" w:color="auto"/>
              <w:left w:val="single" w:sz="4" w:space="0" w:color="auto"/>
              <w:bottom w:val="single" w:sz="4" w:space="0" w:color="auto"/>
              <w:right w:val="single" w:sz="4" w:space="0" w:color="auto"/>
            </w:tcBorders>
            <w:vAlign w:val="center"/>
            <w:hideMark/>
          </w:tcPr>
          <w:p w14:paraId="4A9B7FBE" w14:textId="77777777" w:rsidR="000C10BC" w:rsidRPr="002714B2" w:rsidRDefault="000C10BC" w:rsidP="000C10BC">
            <w:pPr>
              <w:pStyle w:val="LFTTableText"/>
              <w:spacing w:before="0" w:after="0" w:line="240" w:lineRule="auto"/>
              <w:jc w:val="center"/>
              <w:rPr>
                <w:rFonts w:ascii="Arial" w:hAnsi="Arial" w:cs="Arial"/>
                <w:color w:val="000000" w:themeColor="text1"/>
                <w:sz w:val="18"/>
                <w:szCs w:val="18"/>
                <w:lang w:bidi="ar-SA"/>
              </w:rPr>
            </w:pPr>
            <w:proofErr w:type="gramStart"/>
            <w:r w:rsidRPr="002714B2">
              <w:rPr>
                <w:rFonts w:ascii="Arial" w:hAnsi="Arial" w:cs="Arial"/>
                <w:color w:val="000000" w:themeColor="text1"/>
                <w:sz w:val="18"/>
                <w:szCs w:val="18"/>
                <w:lang w:bidi="ar-SA"/>
              </w:rPr>
              <w:t>SAR @</w:t>
            </w:r>
            <w:proofErr w:type="gramEnd"/>
            <w:r w:rsidRPr="002714B2">
              <w:rPr>
                <w:rFonts w:ascii="Arial" w:hAnsi="Arial" w:cs="Arial"/>
                <w:color w:val="000000" w:themeColor="text1"/>
                <w:sz w:val="18"/>
                <w:szCs w:val="18"/>
                <w:lang w:bidi="ar-SA"/>
              </w:rPr>
              <w:t xml:space="preserve"> MWD Crossing</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A808213" w14:textId="50C6F1DD"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100%</w:t>
            </w:r>
          </w:p>
        </w:tc>
        <w:tc>
          <w:tcPr>
            <w:tcW w:w="1336" w:type="dxa"/>
            <w:tcBorders>
              <w:top w:val="single" w:sz="4" w:space="0" w:color="auto"/>
              <w:left w:val="single" w:sz="4" w:space="0" w:color="auto"/>
              <w:bottom w:val="single" w:sz="4" w:space="0" w:color="auto"/>
              <w:right w:val="single" w:sz="4" w:space="0" w:color="auto"/>
            </w:tcBorders>
            <w:vAlign w:val="center"/>
            <w:hideMark/>
          </w:tcPr>
          <w:p w14:paraId="3F0AFBE1" w14:textId="6C2486B9"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69%</w:t>
            </w:r>
          </w:p>
        </w:tc>
        <w:tc>
          <w:tcPr>
            <w:tcW w:w="1336" w:type="dxa"/>
            <w:tcBorders>
              <w:top w:val="single" w:sz="4" w:space="0" w:color="auto"/>
              <w:left w:val="single" w:sz="4" w:space="0" w:color="auto"/>
              <w:bottom w:val="single" w:sz="4" w:space="0" w:color="auto"/>
              <w:right w:val="single" w:sz="4" w:space="0" w:color="auto"/>
            </w:tcBorders>
            <w:noWrap/>
            <w:vAlign w:val="center"/>
            <w:hideMark/>
          </w:tcPr>
          <w:p w14:paraId="236DAC93" w14:textId="58E5B358"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62%</w:t>
            </w:r>
          </w:p>
        </w:tc>
        <w:tc>
          <w:tcPr>
            <w:tcW w:w="1000" w:type="dxa"/>
            <w:tcBorders>
              <w:top w:val="single" w:sz="4" w:space="0" w:color="auto"/>
              <w:left w:val="single" w:sz="4" w:space="0" w:color="auto"/>
              <w:bottom w:val="single" w:sz="4" w:space="0" w:color="auto"/>
              <w:right w:val="single" w:sz="4" w:space="0" w:color="auto"/>
            </w:tcBorders>
            <w:vAlign w:val="center"/>
          </w:tcPr>
          <w:p w14:paraId="418241F8" w14:textId="7A610609"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75%</w:t>
            </w:r>
          </w:p>
        </w:tc>
        <w:tc>
          <w:tcPr>
            <w:tcW w:w="942" w:type="dxa"/>
            <w:tcBorders>
              <w:top w:val="single" w:sz="4" w:space="0" w:color="auto"/>
              <w:left w:val="single" w:sz="4" w:space="0" w:color="auto"/>
              <w:bottom w:val="single" w:sz="4" w:space="0" w:color="auto"/>
              <w:right w:val="single" w:sz="4" w:space="0" w:color="auto"/>
            </w:tcBorders>
            <w:vAlign w:val="center"/>
          </w:tcPr>
          <w:p w14:paraId="3D299445" w14:textId="3F699E42"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55%</w:t>
            </w:r>
          </w:p>
        </w:tc>
        <w:tc>
          <w:tcPr>
            <w:tcW w:w="910" w:type="dxa"/>
            <w:tcBorders>
              <w:top w:val="single" w:sz="4" w:space="0" w:color="auto"/>
              <w:left w:val="single" w:sz="4" w:space="0" w:color="auto"/>
              <w:bottom w:val="single" w:sz="4" w:space="0" w:color="auto"/>
              <w:right w:val="single" w:sz="4" w:space="0" w:color="auto"/>
            </w:tcBorders>
            <w:vAlign w:val="center"/>
          </w:tcPr>
          <w:p w14:paraId="7F29F859" w14:textId="7A43413F"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55%</w:t>
            </w:r>
          </w:p>
        </w:tc>
      </w:tr>
      <w:tr w:rsidR="000C10BC" w:rsidRPr="00BA1E65" w14:paraId="031C3F33" w14:textId="77777777" w:rsidTr="000C10BC">
        <w:trPr>
          <w:trHeight w:val="432"/>
        </w:trPr>
        <w:tc>
          <w:tcPr>
            <w:tcW w:w="0" w:type="auto"/>
            <w:tcBorders>
              <w:top w:val="single" w:sz="4" w:space="0" w:color="auto"/>
              <w:left w:val="single" w:sz="4" w:space="0" w:color="auto"/>
              <w:bottom w:val="single" w:sz="4" w:space="0" w:color="auto"/>
              <w:right w:val="single" w:sz="4" w:space="0" w:color="auto"/>
            </w:tcBorders>
            <w:vAlign w:val="center"/>
            <w:hideMark/>
          </w:tcPr>
          <w:p w14:paraId="39542600" w14:textId="77777777" w:rsidR="000C10BC" w:rsidRPr="002714B2" w:rsidRDefault="000C10BC" w:rsidP="000C10BC">
            <w:pPr>
              <w:pStyle w:val="LFTTableText"/>
              <w:spacing w:before="0" w:after="0" w:line="240" w:lineRule="auto"/>
              <w:jc w:val="center"/>
              <w:rPr>
                <w:rFonts w:ascii="Arial" w:hAnsi="Arial" w:cs="Arial"/>
                <w:color w:val="000000" w:themeColor="text1"/>
                <w:sz w:val="18"/>
                <w:szCs w:val="18"/>
                <w:lang w:bidi="ar-SA"/>
              </w:rPr>
            </w:pPr>
            <w:proofErr w:type="gramStart"/>
            <w:r w:rsidRPr="002714B2">
              <w:rPr>
                <w:rFonts w:ascii="Arial" w:hAnsi="Arial" w:cs="Arial"/>
                <w:color w:val="000000" w:themeColor="text1"/>
                <w:sz w:val="18"/>
                <w:szCs w:val="18"/>
                <w:lang w:bidi="ar-SA"/>
              </w:rPr>
              <w:t>SAR @</w:t>
            </w:r>
            <w:proofErr w:type="gramEnd"/>
            <w:r w:rsidRPr="002714B2">
              <w:rPr>
                <w:rFonts w:ascii="Arial" w:hAnsi="Arial" w:cs="Arial"/>
                <w:color w:val="000000" w:themeColor="text1"/>
                <w:sz w:val="18"/>
                <w:szCs w:val="18"/>
                <w:lang w:bidi="ar-SA"/>
              </w:rPr>
              <w:t xml:space="preserve"> Pedley Ave.</w:t>
            </w:r>
          </w:p>
        </w:tc>
        <w:tc>
          <w:tcPr>
            <w:tcW w:w="1336" w:type="dxa"/>
            <w:tcBorders>
              <w:top w:val="single" w:sz="4" w:space="0" w:color="auto"/>
              <w:left w:val="single" w:sz="4" w:space="0" w:color="auto"/>
              <w:bottom w:val="single" w:sz="4" w:space="0" w:color="auto"/>
              <w:right w:val="single" w:sz="4" w:space="0" w:color="auto"/>
            </w:tcBorders>
            <w:vAlign w:val="center"/>
            <w:hideMark/>
          </w:tcPr>
          <w:p w14:paraId="6C42AD75" w14:textId="43A216E4"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86%</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5054B14" w14:textId="251D62BE"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38%</w:t>
            </w:r>
          </w:p>
        </w:tc>
        <w:tc>
          <w:tcPr>
            <w:tcW w:w="1336" w:type="dxa"/>
            <w:tcBorders>
              <w:top w:val="single" w:sz="4" w:space="0" w:color="auto"/>
              <w:left w:val="single" w:sz="4" w:space="0" w:color="auto"/>
              <w:bottom w:val="single" w:sz="4" w:space="0" w:color="auto"/>
              <w:right w:val="single" w:sz="4" w:space="0" w:color="auto"/>
            </w:tcBorders>
            <w:noWrap/>
            <w:vAlign w:val="center"/>
            <w:hideMark/>
          </w:tcPr>
          <w:p w14:paraId="471E158F" w14:textId="0BBACF23"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100%</w:t>
            </w:r>
          </w:p>
        </w:tc>
        <w:tc>
          <w:tcPr>
            <w:tcW w:w="1000" w:type="dxa"/>
            <w:tcBorders>
              <w:top w:val="single" w:sz="4" w:space="0" w:color="auto"/>
              <w:left w:val="single" w:sz="4" w:space="0" w:color="auto"/>
              <w:bottom w:val="single" w:sz="4" w:space="0" w:color="auto"/>
              <w:right w:val="single" w:sz="4" w:space="0" w:color="auto"/>
            </w:tcBorders>
            <w:vAlign w:val="center"/>
          </w:tcPr>
          <w:p w14:paraId="682DD9E0" w14:textId="6B669E7F"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60%</w:t>
            </w:r>
          </w:p>
        </w:tc>
        <w:tc>
          <w:tcPr>
            <w:tcW w:w="942" w:type="dxa"/>
            <w:tcBorders>
              <w:top w:val="single" w:sz="4" w:space="0" w:color="auto"/>
              <w:left w:val="single" w:sz="4" w:space="0" w:color="auto"/>
              <w:bottom w:val="single" w:sz="4" w:space="0" w:color="auto"/>
              <w:right w:val="single" w:sz="4" w:space="0" w:color="auto"/>
            </w:tcBorders>
            <w:vAlign w:val="center"/>
          </w:tcPr>
          <w:p w14:paraId="420C58CA" w14:textId="2E1F4896"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45%</w:t>
            </w:r>
          </w:p>
        </w:tc>
        <w:tc>
          <w:tcPr>
            <w:tcW w:w="910" w:type="dxa"/>
            <w:tcBorders>
              <w:top w:val="single" w:sz="4" w:space="0" w:color="auto"/>
              <w:left w:val="single" w:sz="4" w:space="0" w:color="auto"/>
              <w:bottom w:val="single" w:sz="4" w:space="0" w:color="auto"/>
              <w:right w:val="single" w:sz="4" w:space="0" w:color="auto"/>
            </w:tcBorders>
            <w:vAlign w:val="center"/>
          </w:tcPr>
          <w:p w14:paraId="6EB7253B" w14:textId="3A9A8C03" w:rsidR="000C10BC" w:rsidRPr="002714B2" w:rsidRDefault="000C10BC" w:rsidP="000C10BC">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45%</w:t>
            </w:r>
          </w:p>
        </w:tc>
      </w:tr>
    </w:tbl>
    <w:p w14:paraId="6DB13741" w14:textId="578B3AD3" w:rsidR="00BA1E65" w:rsidRPr="00367A53" w:rsidRDefault="00BA1E65" w:rsidP="00BA1E65">
      <w:pPr>
        <w:pStyle w:val="BodyText"/>
      </w:pPr>
    </w:p>
    <w:tbl>
      <w:tblPr>
        <w:tblW w:w="900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1152"/>
        <w:gridCol w:w="1152"/>
        <w:gridCol w:w="1152"/>
        <w:gridCol w:w="1152"/>
        <w:gridCol w:w="1152"/>
        <w:gridCol w:w="1175"/>
      </w:tblGrid>
      <w:tr w:rsidR="00BA1E65" w:rsidRPr="000E49C1" w14:paraId="5C38ACF1" w14:textId="77777777" w:rsidTr="00A41B16">
        <w:trPr>
          <w:trHeight w:val="746"/>
        </w:trPr>
        <w:tc>
          <w:tcPr>
            <w:tcW w:w="9005" w:type="dxa"/>
            <w:gridSpan w:val="7"/>
            <w:tcBorders>
              <w:top w:val="single" w:sz="4" w:space="0" w:color="FFFFFF" w:themeColor="background1"/>
              <w:left w:val="nil"/>
              <w:bottom w:val="single" w:sz="4" w:space="0" w:color="auto"/>
              <w:right w:val="single" w:sz="4" w:space="0" w:color="FFFFFF" w:themeColor="background1"/>
            </w:tcBorders>
            <w:noWrap/>
            <w:vAlign w:val="center"/>
          </w:tcPr>
          <w:p w14:paraId="10E92B8E" w14:textId="69D6B07D" w:rsidR="00BA1E65" w:rsidRPr="000E49C1" w:rsidRDefault="00A41B16" w:rsidP="00A41B16">
            <w:pPr>
              <w:pStyle w:val="Caption"/>
              <w:keepNext/>
            </w:pPr>
            <w:bookmarkStart w:id="50" w:name="_Toc217391757"/>
            <w:r>
              <w:lastRenderedPageBreak/>
              <w:t xml:space="preserve">Table </w:t>
            </w:r>
            <w:r w:rsidR="00FE614C">
              <w:fldChar w:fldCharType="begin"/>
            </w:r>
            <w:r w:rsidR="00FE614C">
              <w:instrText xml:space="preserve"> STYLEREF 1 \s </w:instrText>
            </w:r>
            <w:r w:rsidR="00FE614C">
              <w:fldChar w:fldCharType="separate"/>
            </w:r>
            <w:r w:rsidR="00FE614C">
              <w:rPr>
                <w:noProof/>
              </w:rPr>
              <w:t>2</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5</w:t>
            </w:r>
            <w:r w:rsidR="00FE614C">
              <w:fldChar w:fldCharType="end"/>
            </w:r>
            <w:r>
              <w:t xml:space="preserve">. </w:t>
            </w:r>
            <w:r w:rsidR="00223F5D">
              <w:t xml:space="preserve">Dry Weather </w:t>
            </w:r>
            <w:r>
              <w:t>Compliance with</w:t>
            </w:r>
            <w:r w:rsidRPr="000E49C1">
              <w:t xml:space="preserve"> </w:t>
            </w:r>
            <w:r>
              <w:t xml:space="preserve">WLAs/LAs </w:t>
            </w:r>
            <w:r w:rsidRPr="000E49C1">
              <w:t xml:space="preserve">for </w:t>
            </w:r>
            <w:r w:rsidRPr="00223F5D">
              <w:rPr>
                <w:i/>
                <w:iCs w:val="0"/>
              </w:rPr>
              <w:t>E. coli</w:t>
            </w:r>
            <w:r w:rsidRPr="000E49C1">
              <w:t xml:space="preserve"> during the 20</w:t>
            </w:r>
            <w:r>
              <w:t>23</w:t>
            </w:r>
            <w:r w:rsidRPr="000E49C1">
              <w:t>, 202</w:t>
            </w:r>
            <w:r>
              <w:t xml:space="preserve">4, </w:t>
            </w:r>
            <w:r w:rsidRPr="000E49C1">
              <w:t>and 202</w:t>
            </w:r>
            <w:r>
              <w:t>5</w:t>
            </w:r>
            <w:r w:rsidRPr="000E49C1">
              <w:t xml:space="preserve"> </w:t>
            </w:r>
            <w:r>
              <w:t>C</w:t>
            </w:r>
            <w:r w:rsidRPr="000E49C1">
              <w:t xml:space="preserve">ool </w:t>
            </w:r>
            <w:r>
              <w:t>S</w:t>
            </w:r>
            <w:r w:rsidRPr="000E49C1">
              <w:t>easons</w:t>
            </w:r>
            <w:bookmarkEnd w:id="50"/>
          </w:p>
        </w:tc>
      </w:tr>
      <w:tr w:rsidR="00BA1E65" w:rsidRPr="00367A53" w14:paraId="45101124" w14:textId="77777777" w:rsidTr="00A41B16">
        <w:trPr>
          <w:trHeight w:val="539"/>
        </w:trPr>
        <w:tc>
          <w:tcPr>
            <w:tcW w:w="207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A1AD81" w14:textId="77777777" w:rsidR="00BA1E65" w:rsidRPr="002714B2" w:rsidRDefault="00BA1E65" w:rsidP="00BA1E65">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Site</w:t>
            </w:r>
          </w:p>
        </w:tc>
        <w:tc>
          <w:tcPr>
            <w:tcW w:w="3456"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1CD8A5" w14:textId="08A8B56F" w:rsidR="00BA1E65" w:rsidRPr="002714B2" w:rsidRDefault="00BA1E65" w:rsidP="008D6DE8">
            <w:pPr>
              <w:pStyle w:val="LFTTableHeader1"/>
              <w:spacing w:before="0" w:after="0" w:line="240" w:lineRule="auto"/>
              <w:rPr>
                <w:rFonts w:ascii="Arial" w:hAnsi="Arial" w:cs="Arial"/>
                <w:color w:val="auto"/>
                <w:sz w:val="18"/>
                <w:szCs w:val="18"/>
                <w:vertAlign w:val="superscript"/>
                <w:lang w:bidi="ar-SA"/>
              </w:rPr>
            </w:pPr>
            <w:r w:rsidRPr="002714B2">
              <w:rPr>
                <w:rFonts w:ascii="Arial" w:hAnsi="Arial" w:cs="Arial"/>
                <w:color w:val="auto"/>
                <w:sz w:val="18"/>
                <w:szCs w:val="18"/>
                <w:lang w:bidi="ar-SA"/>
              </w:rPr>
              <w:t xml:space="preserve">Geometric Mean </w:t>
            </w:r>
            <w:r w:rsidR="00F24217" w:rsidRPr="002714B2">
              <w:rPr>
                <w:rFonts w:ascii="Arial" w:hAnsi="Arial" w:cs="Arial"/>
                <w:color w:val="auto"/>
                <w:sz w:val="18"/>
                <w:szCs w:val="18"/>
                <w:lang w:bidi="ar-SA"/>
              </w:rPr>
              <w:t>Value</w:t>
            </w:r>
            <w:r w:rsidR="008D6DE8" w:rsidRPr="002714B2">
              <w:rPr>
                <w:rFonts w:ascii="Arial" w:hAnsi="Arial" w:cs="Arial"/>
                <w:color w:val="auto"/>
                <w:sz w:val="18"/>
                <w:szCs w:val="18"/>
                <w:lang w:bidi="ar-SA"/>
              </w:rPr>
              <w:t xml:space="preserve"> (Compliance Status</w:t>
            </w:r>
            <w:r w:rsidRPr="002714B2">
              <w:rPr>
                <w:rFonts w:ascii="Arial" w:hAnsi="Arial" w:cs="Arial"/>
                <w:color w:val="auto"/>
                <w:sz w:val="18"/>
                <w:szCs w:val="18"/>
                <w:lang w:bidi="ar-SA"/>
              </w:rPr>
              <w:t>)</w:t>
            </w:r>
            <w:r w:rsidR="00223F5D" w:rsidRPr="002714B2">
              <w:rPr>
                <w:rFonts w:ascii="Arial" w:hAnsi="Arial" w:cs="Arial"/>
                <w:color w:val="auto"/>
                <w:sz w:val="18"/>
                <w:szCs w:val="18"/>
                <w:vertAlign w:val="superscript"/>
                <w:lang w:bidi="ar-SA"/>
              </w:rPr>
              <w:t>1</w:t>
            </w:r>
          </w:p>
        </w:tc>
        <w:tc>
          <w:tcPr>
            <w:tcW w:w="3479"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B03763" w14:textId="77777777" w:rsidR="00BA1E65" w:rsidRPr="002714B2" w:rsidRDefault="00BA1E65" w:rsidP="00BA1E65">
            <w:pPr>
              <w:pStyle w:val="LFTTableHeader1"/>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 xml:space="preserve">Single Sample Value </w:t>
            </w:r>
          </w:p>
          <w:p w14:paraId="4149BE23" w14:textId="77777777" w:rsidR="00BA1E65" w:rsidRPr="002714B2" w:rsidRDefault="00BA1E65" w:rsidP="00BA1E65">
            <w:pPr>
              <w:pStyle w:val="LFTTableHeader1"/>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Exceedance Frequency (%)</w:t>
            </w:r>
          </w:p>
        </w:tc>
      </w:tr>
      <w:tr w:rsidR="000C10BC" w:rsidRPr="00367A53" w14:paraId="45FFF549" w14:textId="77777777" w:rsidTr="00A41B16">
        <w:trPr>
          <w:trHeight w:val="425"/>
        </w:trPr>
        <w:tc>
          <w:tcPr>
            <w:tcW w:w="207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6E7669" w14:textId="77777777" w:rsidR="000C10BC" w:rsidRPr="002714B2" w:rsidRDefault="000C10BC" w:rsidP="000C10BC">
            <w:pPr>
              <w:pStyle w:val="LFTTableText"/>
              <w:spacing w:before="0" w:after="0" w:line="240" w:lineRule="auto"/>
              <w:rPr>
                <w:rFonts w:ascii="Arial" w:hAnsi="Arial" w:cs="Arial"/>
                <w:sz w:val="18"/>
                <w:szCs w:val="18"/>
                <w:lang w:bidi="ar-SA"/>
              </w:rPr>
            </w:pPr>
          </w:p>
        </w:tc>
        <w:tc>
          <w:tcPr>
            <w:tcW w:w="115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CC155EF" w14:textId="0BC2E2AA" w:rsidR="000C10BC" w:rsidRPr="002714B2" w:rsidRDefault="000C10BC" w:rsidP="000C10BC">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2023</w:t>
            </w:r>
          </w:p>
        </w:tc>
        <w:tc>
          <w:tcPr>
            <w:tcW w:w="115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00AB014" w14:textId="5F9C0227" w:rsidR="000C10BC" w:rsidRPr="002714B2" w:rsidRDefault="000C10BC" w:rsidP="000C10BC">
            <w:pPr>
              <w:pStyle w:val="LFTTableHeader2"/>
              <w:spacing w:before="0" w:after="0" w:line="240" w:lineRule="auto"/>
              <w:rPr>
                <w:rFonts w:ascii="Arial" w:hAnsi="Arial" w:cs="Arial"/>
                <w:bCs/>
                <w:color w:val="auto"/>
                <w:sz w:val="18"/>
                <w:szCs w:val="18"/>
                <w:lang w:bidi="ar-SA"/>
              </w:rPr>
            </w:pPr>
            <w:r w:rsidRPr="002714B2">
              <w:rPr>
                <w:rFonts w:ascii="Arial" w:hAnsi="Arial" w:cs="Arial"/>
                <w:bCs/>
                <w:color w:val="auto"/>
                <w:sz w:val="18"/>
                <w:szCs w:val="18"/>
                <w:lang w:bidi="ar-SA"/>
              </w:rPr>
              <w:t>2024</w:t>
            </w:r>
          </w:p>
        </w:tc>
        <w:tc>
          <w:tcPr>
            <w:tcW w:w="115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511CBA7" w14:textId="78CA65E4" w:rsidR="000C10BC" w:rsidRPr="002714B2" w:rsidRDefault="000C10BC" w:rsidP="000C10BC">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2025</w:t>
            </w:r>
          </w:p>
        </w:tc>
        <w:tc>
          <w:tcPr>
            <w:tcW w:w="11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BE9E15" w14:textId="16751A0A" w:rsidR="000C10BC" w:rsidRPr="002714B2" w:rsidRDefault="000C10BC" w:rsidP="000C10BC">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2023</w:t>
            </w:r>
          </w:p>
        </w:tc>
        <w:tc>
          <w:tcPr>
            <w:tcW w:w="115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3725A" w14:textId="0A10F0C4" w:rsidR="000C10BC" w:rsidRPr="002714B2" w:rsidRDefault="000C10BC" w:rsidP="000C10BC">
            <w:pPr>
              <w:pStyle w:val="LFTTableHeader2"/>
              <w:spacing w:before="0" w:after="0" w:line="240" w:lineRule="auto"/>
              <w:rPr>
                <w:rFonts w:ascii="Arial" w:hAnsi="Arial" w:cs="Arial"/>
                <w:color w:val="auto"/>
                <w:sz w:val="18"/>
                <w:szCs w:val="18"/>
                <w:lang w:bidi="ar-SA"/>
              </w:rPr>
            </w:pPr>
            <w:r w:rsidRPr="002714B2">
              <w:rPr>
                <w:rFonts w:ascii="Arial" w:hAnsi="Arial" w:cs="Arial"/>
                <w:bCs/>
                <w:color w:val="auto"/>
                <w:sz w:val="18"/>
                <w:szCs w:val="18"/>
                <w:lang w:bidi="ar-SA"/>
              </w:rPr>
              <w:t>2024</w:t>
            </w:r>
          </w:p>
        </w:tc>
        <w:tc>
          <w:tcPr>
            <w:tcW w:w="117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06E806" w14:textId="30B1BDB8" w:rsidR="000C10BC" w:rsidRPr="002714B2" w:rsidRDefault="000C10BC" w:rsidP="000C10BC">
            <w:pPr>
              <w:pStyle w:val="LFTTableHeader2"/>
              <w:spacing w:before="0" w:after="0" w:line="240" w:lineRule="auto"/>
              <w:rPr>
                <w:rFonts w:ascii="Arial" w:hAnsi="Arial" w:cs="Arial"/>
                <w:color w:val="auto"/>
                <w:sz w:val="18"/>
                <w:szCs w:val="18"/>
                <w:lang w:bidi="ar-SA"/>
              </w:rPr>
            </w:pPr>
            <w:r w:rsidRPr="002714B2">
              <w:rPr>
                <w:rFonts w:ascii="Arial" w:hAnsi="Arial" w:cs="Arial"/>
                <w:color w:val="auto"/>
                <w:sz w:val="18"/>
                <w:szCs w:val="18"/>
                <w:lang w:bidi="ar-SA"/>
              </w:rPr>
              <w:t>2025</w:t>
            </w:r>
          </w:p>
        </w:tc>
      </w:tr>
      <w:tr w:rsidR="00D50201" w:rsidRPr="00367A53" w14:paraId="14D89E44" w14:textId="77777777" w:rsidTr="00A41B16">
        <w:trPr>
          <w:trHeight w:val="425"/>
        </w:trPr>
        <w:tc>
          <w:tcPr>
            <w:tcW w:w="2070"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14:paraId="0771D9D3" w14:textId="77777777" w:rsidR="00D50201" w:rsidRPr="002714B2" w:rsidRDefault="00D50201" w:rsidP="00D50201">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Prado Park Lake</w:t>
            </w:r>
          </w:p>
        </w:tc>
        <w:tc>
          <w:tcPr>
            <w:tcW w:w="1152"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14:paraId="35BE2123" w14:textId="4C9942F4" w:rsidR="00D50201" w:rsidRPr="002714B2" w:rsidRDefault="00D50201" w:rsidP="00D50201">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38 </w:t>
            </w:r>
            <w:r w:rsidRPr="002714B2">
              <w:rPr>
                <w:rFonts w:ascii="Arial" w:hAnsi="Arial" w:cs="Arial"/>
                <w:color w:val="000000" w:themeColor="text1"/>
                <w:sz w:val="18"/>
                <w:szCs w:val="18"/>
              </w:rPr>
              <w:t>(Complies)</w:t>
            </w:r>
          </w:p>
        </w:tc>
        <w:tc>
          <w:tcPr>
            <w:tcW w:w="1152"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14:paraId="5A09F901" w14:textId="4ED309BE" w:rsidR="00D50201" w:rsidRPr="002714B2" w:rsidRDefault="00D50201" w:rsidP="00D50201">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86 </w:t>
            </w:r>
            <w:r w:rsidRPr="002714B2">
              <w:rPr>
                <w:rFonts w:ascii="Arial" w:hAnsi="Arial" w:cs="Arial"/>
                <w:color w:val="000000" w:themeColor="text1"/>
                <w:sz w:val="18"/>
                <w:szCs w:val="18"/>
              </w:rPr>
              <w:t>(Complies)</w:t>
            </w:r>
          </w:p>
        </w:tc>
        <w:tc>
          <w:tcPr>
            <w:tcW w:w="1152"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4BA28B88" w14:textId="3737893D" w:rsidR="00D50201" w:rsidRPr="002714B2" w:rsidRDefault="00774B41" w:rsidP="00D50201">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N/A</w:t>
            </w:r>
            <w:r w:rsidR="00223F5D" w:rsidRPr="002714B2">
              <w:rPr>
                <w:rFonts w:ascii="Arial" w:hAnsi="Arial" w:cs="Arial"/>
                <w:color w:val="000000" w:themeColor="text1"/>
                <w:sz w:val="18"/>
                <w:szCs w:val="18"/>
                <w:vertAlign w:val="superscript"/>
                <w:lang w:bidi="ar-SA"/>
              </w:rPr>
              <w:t>2</w:t>
            </w:r>
          </w:p>
        </w:tc>
        <w:tc>
          <w:tcPr>
            <w:tcW w:w="1152"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35CFB706" w14:textId="331C11C1" w:rsidR="00D50201" w:rsidRPr="002714B2" w:rsidRDefault="00D50201" w:rsidP="00D50201">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0%</w:t>
            </w:r>
          </w:p>
        </w:tc>
        <w:tc>
          <w:tcPr>
            <w:tcW w:w="1152"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7CAD3A1E" w14:textId="30D6FE7E" w:rsidR="00D50201" w:rsidRPr="002714B2" w:rsidRDefault="00D50201" w:rsidP="00D50201">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0%</w:t>
            </w:r>
          </w:p>
        </w:tc>
        <w:tc>
          <w:tcPr>
            <w:tcW w:w="1175"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1C9B820B" w14:textId="5EACBC29" w:rsidR="00D50201" w:rsidRPr="002714B2" w:rsidRDefault="00774B41" w:rsidP="00D50201">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20%</w:t>
            </w:r>
          </w:p>
        </w:tc>
      </w:tr>
      <w:tr w:rsidR="009B3EB0" w:rsidRPr="00367A53" w14:paraId="66FFDE68" w14:textId="77777777" w:rsidTr="002F13CA">
        <w:trPr>
          <w:trHeight w:val="425"/>
        </w:trPr>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3C4801" w14:textId="77777777"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Chino Creek</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4A33C23" w14:textId="3EAA5B6E"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138 </w:t>
            </w:r>
            <w:r w:rsidRPr="002714B2">
              <w:rPr>
                <w:rFonts w:ascii="Arial" w:hAnsi="Arial" w:cs="Arial"/>
                <w:color w:val="000000" w:themeColor="text1"/>
                <w:sz w:val="18"/>
                <w:szCs w:val="18"/>
              </w:rPr>
              <w:t>(Exceeds)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46C22A" w14:textId="33A60549"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306 </w:t>
            </w:r>
            <w:r w:rsidRPr="002714B2">
              <w:rPr>
                <w:rFonts w:ascii="Arial" w:hAnsi="Arial" w:cs="Arial"/>
                <w:color w:val="000000" w:themeColor="text1"/>
                <w:sz w:val="18"/>
                <w:szCs w:val="18"/>
              </w:rPr>
              <w:t>(Exceeds)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93889F" w14:textId="438CB611"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N/A</w:t>
            </w:r>
            <w:r w:rsidR="00223F5D" w:rsidRPr="002714B2">
              <w:rPr>
                <w:rFonts w:ascii="Arial" w:hAnsi="Arial" w:cs="Arial"/>
                <w:color w:val="000000" w:themeColor="text1"/>
                <w:sz w:val="18"/>
                <w:szCs w:val="18"/>
                <w:vertAlign w:val="superscript"/>
                <w:lang w:bidi="ar-SA"/>
              </w:rPr>
              <w:t>2</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4ECFA8D" w14:textId="3DD80BB1"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40%</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54D54D" w14:textId="15CFA933"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80%</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87E242" w14:textId="6D974B8C"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80%</w:t>
            </w:r>
          </w:p>
        </w:tc>
      </w:tr>
      <w:tr w:rsidR="009B3EB0" w:rsidRPr="00367A53" w14:paraId="0BEFC346" w14:textId="77777777" w:rsidTr="002F13CA">
        <w:trPr>
          <w:trHeight w:val="425"/>
        </w:trPr>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043339" w14:textId="77777777"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Mill-Cucamonga Creek</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2DB35A" w14:textId="557EA5B5"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98 </w:t>
            </w:r>
            <w:r w:rsidRPr="002714B2">
              <w:rPr>
                <w:rFonts w:ascii="Arial" w:hAnsi="Arial" w:cs="Arial"/>
                <w:color w:val="000000" w:themeColor="text1"/>
                <w:sz w:val="18"/>
                <w:szCs w:val="18"/>
              </w:rPr>
              <w:t>(Complies)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464C88" w14:textId="6CAA1CEA"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504 </w:t>
            </w:r>
            <w:r w:rsidRPr="002714B2">
              <w:rPr>
                <w:rFonts w:ascii="Arial" w:hAnsi="Arial" w:cs="Arial"/>
                <w:color w:val="000000" w:themeColor="text1"/>
                <w:sz w:val="18"/>
                <w:szCs w:val="18"/>
              </w:rPr>
              <w:t>(Exceeds)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F2AB4C" w14:textId="6CDF136D"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N/A</w:t>
            </w:r>
            <w:r w:rsidR="00223F5D" w:rsidRPr="002714B2">
              <w:rPr>
                <w:rFonts w:ascii="Arial" w:hAnsi="Arial" w:cs="Arial"/>
                <w:color w:val="000000" w:themeColor="text1"/>
                <w:sz w:val="18"/>
                <w:szCs w:val="18"/>
                <w:vertAlign w:val="superscript"/>
                <w:lang w:bidi="ar-SA"/>
              </w:rPr>
              <w:t>2</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A27969" w14:textId="7EB05141"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20%</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18776E" w14:textId="650CED6E"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60%</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9AA78F9" w14:textId="6ECB4CD1"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60%</w:t>
            </w:r>
          </w:p>
        </w:tc>
      </w:tr>
      <w:tr w:rsidR="009B3EB0" w:rsidRPr="00367A53" w14:paraId="38E7C198" w14:textId="77777777" w:rsidTr="002F13CA">
        <w:trPr>
          <w:trHeight w:val="425"/>
        </w:trPr>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230D9B" w14:textId="77777777"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proofErr w:type="gramStart"/>
            <w:r w:rsidRPr="002714B2">
              <w:rPr>
                <w:rFonts w:ascii="Arial" w:hAnsi="Arial" w:cs="Arial"/>
                <w:color w:val="000000" w:themeColor="text1"/>
                <w:sz w:val="18"/>
                <w:szCs w:val="18"/>
                <w:lang w:bidi="ar-SA"/>
              </w:rPr>
              <w:t>SAR @</w:t>
            </w:r>
            <w:proofErr w:type="gramEnd"/>
            <w:r w:rsidRPr="002714B2">
              <w:rPr>
                <w:rFonts w:ascii="Arial" w:hAnsi="Arial" w:cs="Arial"/>
                <w:color w:val="000000" w:themeColor="text1"/>
                <w:sz w:val="18"/>
                <w:szCs w:val="18"/>
                <w:lang w:bidi="ar-SA"/>
              </w:rPr>
              <w:t xml:space="preserve"> MWD Crossing</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3CD9720" w14:textId="4A040D07"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71 </w:t>
            </w:r>
            <w:r w:rsidRPr="002714B2">
              <w:rPr>
                <w:rFonts w:ascii="Arial" w:hAnsi="Arial" w:cs="Arial"/>
                <w:color w:val="000000" w:themeColor="text1"/>
                <w:sz w:val="18"/>
                <w:szCs w:val="18"/>
              </w:rPr>
              <w:t>(Complies)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2B79B9" w14:textId="19F3C918"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248 </w:t>
            </w:r>
            <w:r w:rsidRPr="002714B2">
              <w:rPr>
                <w:rFonts w:ascii="Arial" w:hAnsi="Arial" w:cs="Arial"/>
                <w:color w:val="000000" w:themeColor="text1"/>
                <w:sz w:val="18"/>
                <w:szCs w:val="18"/>
              </w:rPr>
              <w:t>(Exceeds)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BE9728B" w14:textId="27C6BFD9"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N/A</w:t>
            </w:r>
            <w:r w:rsidR="00223F5D" w:rsidRPr="002714B2">
              <w:rPr>
                <w:rFonts w:ascii="Arial" w:hAnsi="Arial" w:cs="Arial"/>
                <w:color w:val="000000" w:themeColor="text1"/>
                <w:sz w:val="18"/>
                <w:szCs w:val="18"/>
                <w:vertAlign w:val="superscript"/>
                <w:lang w:bidi="ar-SA"/>
              </w:rPr>
              <w:t>2</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DC0B27" w14:textId="0819F769"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0%</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A483AC" w14:textId="7E8E3D79"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60%</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5C59A3" w14:textId="7CED4343"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0%</w:t>
            </w:r>
          </w:p>
        </w:tc>
      </w:tr>
      <w:tr w:rsidR="009B3EB0" w:rsidRPr="00367A53" w14:paraId="441131AF" w14:textId="77777777" w:rsidTr="00223F5D">
        <w:trPr>
          <w:trHeight w:val="368"/>
        </w:trPr>
        <w:tc>
          <w:tcPr>
            <w:tcW w:w="20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FAB5F8" w14:textId="77777777"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proofErr w:type="gramStart"/>
            <w:r w:rsidRPr="002714B2">
              <w:rPr>
                <w:rFonts w:ascii="Arial" w:hAnsi="Arial" w:cs="Arial"/>
                <w:color w:val="000000" w:themeColor="text1"/>
                <w:sz w:val="18"/>
                <w:szCs w:val="18"/>
                <w:lang w:bidi="ar-SA"/>
              </w:rPr>
              <w:t>SAR @</w:t>
            </w:r>
            <w:proofErr w:type="gramEnd"/>
            <w:r w:rsidRPr="002714B2">
              <w:rPr>
                <w:rFonts w:ascii="Arial" w:hAnsi="Arial" w:cs="Arial"/>
                <w:color w:val="000000" w:themeColor="text1"/>
                <w:sz w:val="18"/>
                <w:szCs w:val="18"/>
                <w:lang w:bidi="ar-SA"/>
              </w:rPr>
              <w:t xml:space="preserve"> Pedley Ave.</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23A518" w14:textId="7378D17E"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136 </w:t>
            </w:r>
            <w:r w:rsidRPr="002714B2">
              <w:rPr>
                <w:rFonts w:ascii="Arial" w:hAnsi="Arial" w:cs="Arial"/>
                <w:color w:val="000000" w:themeColor="text1"/>
                <w:sz w:val="18"/>
                <w:szCs w:val="18"/>
              </w:rPr>
              <w:t>(Exceeds)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812D76" w14:textId="31F9D9DF" w:rsidR="009B3EB0" w:rsidRPr="002714B2" w:rsidRDefault="009B3EB0" w:rsidP="009B3EB0">
            <w:pPr>
              <w:pStyle w:val="LFTTableText"/>
              <w:spacing w:before="0" w:after="0" w:line="240" w:lineRule="auto"/>
              <w:jc w:val="center"/>
              <w:rPr>
                <w:rFonts w:ascii="Arial" w:hAnsi="Arial" w:cs="Arial"/>
                <w:color w:val="000000" w:themeColor="text1"/>
                <w:sz w:val="18"/>
                <w:szCs w:val="18"/>
                <w:highlight w:val="yellow"/>
                <w:lang w:bidi="ar-SA"/>
              </w:rPr>
            </w:pPr>
            <w:r w:rsidRPr="002714B2">
              <w:rPr>
                <w:rFonts w:ascii="Arial" w:hAnsi="Arial" w:cs="Arial"/>
                <w:color w:val="000000"/>
                <w:sz w:val="18"/>
                <w:szCs w:val="18"/>
              </w:rPr>
              <w:t xml:space="preserve">238 </w:t>
            </w:r>
            <w:r w:rsidRPr="002714B2">
              <w:rPr>
                <w:rFonts w:ascii="Arial" w:hAnsi="Arial" w:cs="Arial"/>
                <w:color w:val="000000" w:themeColor="text1"/>
                <w:sz w:val="18"/>
                <w:szCs w:val="18"/>
              </w:rPr>
              <w:t>(Exceeds)</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B9D3FF" w14:textId="28271466"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N/A</w:t>
            </w:r>
            <w:r w:rsidR="00223F5D" w:rsidRPr="002714B2">
              <w:rPr>
                <w:rFonts w:ascii="Arial" w:hAnsi="Arial" w:cs="Arial"/>
                <w:color w:val="000000" w:themeColor="text1"/>
                <w:sz w:val="18"/>
                <w:szCs w:val="18"/>
                <w:vertAlign w:val="superscript"/>
                <w:lang w:bidi="ar-SA"/>
              </w:rPr>
              <w:t>2</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06A617" w14:textId="76846877"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40%</w:t>
            </w:r>
          </w:p>
        </w:tc>
        <w:tc>
          <w:tcPr>
            <w:tcW w:w="11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1EB300" w14:textId="6F4221EE"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sz w:val="18"/>
                <w:szCs w:val="18"/>
              </w:rPr>
              <w:t>60%</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8C5B72E" w14:textId="16062F11" w:rsidR="009B3EB0" w:rsidRPr="002714B2" w:rsidRDefault="009B3EB0" w:rsidP="009B3EB0">
            <w:pPr>
              <w:pStyle w:val="LFTTableText"/>
              <w:spacing w:before="0" w:after="0" w:line="240" w:lineRule="auto"/>
              <w:jc w:val="center"/>
              <w:rPr>
                <w:rFonts w:ascii="Arial" w:hAnsi="Arial" w:cs="Arial"/>
                <w:color w:val="000000" w:themeColor="text1"/>
                <w:sz w:val="18"/>
                <w:szCs w:val="18"/>
                <w:lang w:bidi="ar-SA"/>
              </w:rPr>
            </w:pPr>
            <w:r w:rsidRPr="002714B2">
              <w:rPr>
                <w:rFonts w:ascii="Arial" w:hAnsi="Arial" w:cs="Arial"/>
                <w:color w:val="000000" w:themeColor="text1"/>
                <w:sz w:val="18"/>
                <w:szCs w:val="18"/>
                <w:lang w:bidi="ar-SA"/>
              </w:rPr>
              <w:t>40%</w:t>
            </w:r>
          </w:p>
        </w:tc>
      </w:tr>
      <w:tr w:rsidR="00774B41" w:rsidRPr="00367A53" w14:paraId="78C92927" w14:textId="77777777" w:rsidTr="00223F5D">
        <w:trPr>
          <w:trHeight w:val="458"/>
        </w:trPr>
        <w:tc>
          <w:tcPr>
            <w:tcW w:w="9005" w:type="dxa"/>
            <w:gridSpan w:val="7"/>
            <w:tcBorders>
              <w:top w:val="single" w:sz="4" w:space="0" w:color="000000" w:themeColor="text1"/>
              <w:left w:val="nil"/>
              <w:bottom w:val="nil"/>
              <w:right w:val="nil"/>
            </w:tcBorders>
            <w:vAlign w:val="center"/>
          </w:tcPr>
          <w:p w14:paraId="6B2030CE" w14:textId="3AAF9D55" w:rsidR="00223F5D" w:rsidRPr="00223F5D" w:rsidRDefault="00774B41" w:rsidP="00774B41">
            <w:pPr>
              <w:spacing w:line="240" w:lineRule="auto"/>
              <w:rPr>
                <w:rFonts w:ascii="Arial" w:hAnsi="Arial" w:cs="Arial"/>
                <w:color w:val="000000" w:themeColor="text1"/>
                <w:sz w:val="16"/>
                <w:szCs w:val="16"/>
                <w:vertAlign w:val="superscript"/>
              </w:rPr>
            </w:pPr>
            <w:r w:rsidRPr="00223F5D">
              <w:rPr>
                <w:rFonts w:ascii="Arial" w:hAnsi="Arial" w:cs="Arial"/>
                <w:color w:val="000000" w:themeColor="text1"/>
                <w:sz w:val="16"/>
                <w:szCs w:val="16"/>
                <w:vertAlign w:val="superscript"/>
              </w:rPr>
              <w:t xml:space="preserve">1 </w:t>
            </w:r>
            <w:r w:rsidR="00223F5D" w:rsidRPr="00223F5D">
              <w:rPr>
                <w:rFonts w:ascii="Arial" w:hAnsi="Arial" w:cs="Arial"/>
                <w:color w:val="000000" w:themeColor="text1"/>
                <w:sz w:val="16"/>
                <w:szCs w:val="16"/>
              </w:rPr>
              <w:t>Only one geometric mean can be calculated from the five-sample cool season data set – table provides that value</w:t>
            </w:r>
          </w:p>
          <w:p w14:paraId="3222B6BC" w14:textId="75D5330C" w:rsidR="00774B41" w:rsidRPr="00774B41" w:rsidRDefault="00223F5D" w:rsidP="00774B41">
            <w:pPr>
              <w:spacing w:line="240" w:lineRule="auto"/>
              <w:rPr>
                <w:rFonts w:ascii="Arial" w:hAnsi="Arial" w:cs="Arial"/>
                <w:color w:val="000000" w:themeColor="text1"/>
                <w:sz w:val="18"/>
                <w:szCs w:val="18"/>
              </w:rPr>
            </w:pPr>
            <w:r w:rsidRPr="00223F5D">
              <w:rPr>
                <w:rFonts w:ascii="Arial" w:hAnsi="Arial" w:cs="Arial"/>
                <w:color w:val="000000" w:themeColor="text1"/>
                <w:sz w:val="16"/>
                <w:szCs w:val="16"/>
                <w:vertAlign w:val="superscript"/>
              </w:rPr>
              <w:t xml:space="preserve">2 </w:t>
            </w:r>
            <w:r w:rsidR="00774B41" w:rsidRPr="00223F5D">
              <w:rPr>
                <w:rFonts w:ascii="Arial" w:hAnsi="Arial" w:cs="Arial"/>
                <w:color w:val="000000" w:themeColor="text1"/>
                <w:sz w:val="16"/>
                <w:szCs w:val="16"/>
              </w:rPr>
              <w:t xml:space="preserve">Five samples not collected within </w:t>
            </w:r>
            <w:r w:rsidRPr="00223F5D">
              <w:rPr>
                <w:rFonts w:ascii="Arial" w:hAnsi="Arial" w:cs="Arial"/>
                <w:color w:val="000000" w:themeColor="text1"/>
                <w:sz w:val="16"/>
                <w:szCs w:val="16"/>
              </w:rPr>
              <w:t>30-day</w:t>
            </w:r>
            <w:r w:rsidR="00774B41" w:rsidRPr="00223F5D">
              <w:rPr>
                <w:rFonts w:ascii="Arial" w:hAnsi="Arial" w:cs="Arial"/>
                <w:color w:val="000000" w:themeColor="text1"/>
                <w:sz w:val="16"/>
                <w:szCs w:val="16"/>
              </w:rPr>
              <w:t xml:space="preserve"> period due to weather condition</w:t>
            </w:r>
          </w:p>
        </w:tc>
      </w:tr>
    </w:tbl>
    <w:p w14:paraId="7ED0912D" w14:textId="0F10AD80" w:rsidR="00DF6FF3" w:rsidRDefault="00DF6FF3">
      <w:pPr>
        <w:spacing w:line="240" w:lineRule="auto"/>
        <w:rPr>
          <w:rFonts w:asciiTheme="minorHAnsi" w:hAnsiTheme="minorHAnsi"/>
          <w:sz w:val="22"/>
          <w:szCs w:val="22"/>
        </w:rPr>
      </w:pPr>
    </w:p>
    <w:p w14:paraId="3C8F50B1" w14:textId="6803D238" w:rsidR="000E49C1" w:rsidRPr="00367A53" w:rsidRDefault="000E49C1" w:rsidP="00764537">
      <w:pPr>
        <w:pStyle w:val="Heading2"/>
        <w:tabs>
          <w:tab w:val="clear" w:pos="2322"/>
        </w:tabs>
        <w:ind w:left="810"/>
      </w:pPr>
      <w:bookmarkStart w:id="51" w:name="_Toc217410150"/>
      <w:r w:rsidRPr="00367A53">
        <w:t>Compliance with Load Allocations</w:t>
      </w:r>
      <w:bookmarkEnd w:id="51"/>
    </w:p>
    <w:p w14:paraId="1828D348" w14:textId="237707B5" w:rsidR="00203FF9" w:rsidRDefault="00203FF9" w:rsidP="00404F65">
      <w:pPr>
        <w:pStyle w:val="Heading3"/>
      </w:pPr>
      <w:bookmarkStart w:id="52" w:name="_Toc217410151"/>
      <w:r>
        <w:t>Agricultural Dischargers</w:t>
      </w:r>
      <w:bookmarkEnd w:id="52"/>
    </w:p>
    <w:p w14:paraId="345C5D67" w14:textId="21C681AB" w:rsidR="0048098E" w:rsidRDefault="000E49C1" w:rsidP="00A047C8">
      <w:pPr>
        <w:pStyle w:val="BodyText"/>
      </w:pPr>
      <w:r w:rsidRPr="00367A53">
        <w:t>The MSAR TMDL</w:t>
      </w:r>
      <w:r w:rsidR="007E5EA5">
        <w:t>s</w:t>
      </w:r>
      <w:r w:rsidRPr="00367A53">
        <w:t xml:space="preserve"> contain LAs for </w:t>
      </w:r>
      <w:r w:rsidR="00A047C8">
        <w:t xml:space="preserve">discharges from </w:t>
      </w:r>
      <w:r w:rsidRPr="00367A53">
        <w:t xml:space="preserve">agricultural </w:t>
      </w:r>
      <w:proofErr w:type="gramStart"/>
      <w:r w:rsidR="00203FF9">
        <w:t>runoff</w:t>
      </w:r>
      <w:proofErr w:type="gramEnd"/>
      <w:r w:rsidR="00203FF9">
        <w:t xml:space="preserve"> (see Table 5-9y in the TMDL</w:t>
      </w:r>
      <w:r w:rsidR="007E5EA5">
        <w:t>s</w:t>
      </w:r>
      <w:r w:rsidR="00203FF9">
        <w:t xml:space="preserve"> or Table 6-1x in the Basin Plan)</w:t>
      </w:r>
      <w:r w:rsidRPr="00367A53">
        <w:t>. The</w:t>
      </w:r>
      <w:r w:rsidR="00203FF9">
        <w:t xml:space="preserve"> TMDL </w:t>
      </w:r>
      <w:r w:rsidRPr="00367A53">
        <w:t xml:space="preserve">LAs </w:t>
      </w:r>
      <w:r w:rsidR="00203FF9">
        <w:t xml:space="preserve">applicable to these sources are the same as the WLAs applicable to discharges of </w:t>
      </w:r>
      <w:r w:rsidRPr="00367A53">
        <w:t xml:space="preserve">urban </w:t>
      </w:r>
      <w:r w:rsidR="00203FF9">
        <w:t>runoff including stormwater</w:t>
      </w:r>
      <w:r w:rsidRPr="00367A53">
        <w:t xml:space="preserve"> and CAFOs. </w:t>
      </w:r>
      <w:r w:rsidR="00203FF9">
        <w:t>The TMDL waters</w:t>
      </w:r>
      <w:r w:rsidR="00203FF9" w:rsidRPr="00367A53">
        <w:t xml:space="preserve">hed‐wide compliance monitoring program </w:t>
      </w:r>
      <w:r w:rsidR="00203FF9">
        <w:t xml:space="preserve">is intended to evaluate compliance with both WLAs and LAs; Section 2.4 above </w:t>
      </w:r>
      <w:r w:rsidRPr="00367A53">
        <w:t xml:space="preserve">summarizes </w:t>
      </w:r>
      <w:r w:rsidR="00A047C8">
        <w:t xml:space="preserve">the status of compliance with </w:t>
      </w:r>
      <w:r w:rsidR="00203FF9">
        <w:t xml:space="preserve">these </w:t>
      </w:r>
      <w:r w:rsidRPr="00367A53">
        <w:t>allocations</w:t>
      </w:r>
      <w:r w:rsidR="00203FF9">
        <w:t xml:space="preserve"> and will not be repeated here.</w:t>
      </w:r>
      <w:r w:rsidR="00A047C8">
        <w:t xml:space="preserve"> </w:t>
      </w:r>
    </w:p>
    <w:p w14:paraId="261BF910" w14:textId="248BCCF6" w:rsidR="00203FF9" w:rsidRDefault="00203FF9" w:rsidP="00404F65">
      <w:pPr>
        <w:pStyle w:val="Heading3"/>
      </w:pPr>
      <w:bookmarkStart w:id="53" w:name="_Toc217410152"/>
      <w:r>
        <w:t>Natural Sources</w:t>
      </w:r>
      <w:bookmarkEnd w:id="53"/>
    </w:p>
    <w:p w14:paraId="5B739928" w14:textId="5E6B6545" w:rsidR="00404F65" w:rsidRDefault="00404F65" w:rsidP="00A047C8">
      <w:pPr>
        <w:pStyle w:val="BodyText"/>
      </w:pPr>
      <w:r>
        <w:t>The LAs applicable to natural sources of bacterial indicators are also the same as the WLAs (see Table 5-9y in the TMDL</w:t>
      </w:r>
      <w:r w:rsidR="007E5EA5">
        <w:t>s</w:t>
      </w:r>
      <w:r>
        <w:t xml:space="preserve"> or Table 6-1x in the Basin Plan); and, as noted above, the waters</w:t>
      </w:r>
      <w:r w:rsidRPr="00367A53">
        <w:t xml:space="preserve">hed‐wide compliance monitoring program </w:t>
      </w:r>
      <w:r>
        <w:t>evaluat</w:t>
      </w:r>
      <w:r w:rsidR="00C6304C">
        <w:t xml:space="preserve">es </w:t>
      </w:r>
      <w:r>
        <w:t xml:space="preserve">compliance with all MSAR TMDL WLAs and LAs. </w:t>
      </w:r>
    </w:p>
    <w:p w14:paraId="45C79AAA" w14:textId="5B5E6763" w:rsidR="00D73F70" w:rsidRDefault="00404F65" w:rsidP="00A047C8">
      <w:pPr>
        <w:pStyle w:val="BodyText"/>
      </w:pPr>
      <w:r>
        <w:t xml:space="preserve">While Section 2.4 above provides the findings from the watershed-wide monitoring compliance program, the MSAR Task Force has periodically assessed contributions from non-urban/agricultural sources of bacteria that may be natural. These previous </w:t>
      </w:r>
      <w:r w:rsidRPr="00404F65">
        <w:t xml:space="preserve">assessments </w:t>
      </w:r>
      <w:r w:rsidR="0048098E" w:rsidRPr="00404F65">
        <w:t>have suggested that a significant source</w:t>
      </w:r>
      <w:r w:rsidRPr="00404F65">
        <w:t>(s)</w:t>
      </w:r>
      <w:r w:rsidR="0048098E" w:rsidRPr="00404F65">
        <w:t xml:space="preserve"> of unaccounted for bacteria </w:t>
      </w:r>
      <w:proofErr w:type="gramStart"/>
      <w:r w:rsidR="0048098E" w:rsidRPr="00404F65">
        <w:t>are</w:t>
      </w:r>
      <w:proofErr w:type="gramEnd"/>
      <w:r w:rsidR="0048098E" w:rsidRPr="00835B18">
        <w:t xml:space="preserve"> present in the impaired waters</w:t>
      </w:r>
      <w:r>
        <w:t xml:space="preserve">. The following sections summarize these previous findings </w:t>
      </w:r>
      <w:r w:rsidR="00C83E24">
        <w:t>as well as</w:t>
      </w:r>
      <w:r>
        <w:t xml:space="preserve"> findings from the most recent analysis completed for this report.</w:t>
      </w:r>
      <w:r w:rsidR="00835B18">
        <w:t xml:space="preserve"> </w:t>
      </w:r>
      <w:r w:rsidR="0048098E" w:rsidRPr="00835B18">
        <w:t>Section 4</w:t>
      </w:r>
      <w:r w:rsidR="00392B0E">
        <w:t>’</w:t>
      </w:r>
      <w:r w:rsidR="006F79F0">
        <w:t>s</w:t>
      </w:r>
      <w:r w:rsidR="0048098E" w:rsidRPr="00835B18">
        <w:t xml:space="preserve"> </w:t>
      </w:r>
      <w:r w:rsidR="00C83E24">
        <w:t>Bacterial Indicator Source Ana</w:t>
      </w:r>
      <w:r w:rsidR="0048098E" w:rsidRPr="00835B18">
        <w:t>lysis</w:t>
      </w:r>
      <w:r w:rsidR="006F79F0">
        <w:t xml:space="preserve"> </w:t>
      </w:r>
      <w:r w:rsidR="0048098E" w:rsidRPr="00835B18">
        <w:t>further evaluate</w:t>
      </w:r>
      <w:r w:rsidR="006F79F0">
        <w:t>s</w:t>
      </w:r>
      <w:r w:rsidR="0048098E" w:rsidRPr="00835B18">
        <w:t xml:space="preserve"> the importance of these </w:t>
      </w:r>
      <w:r w:rsidR="00835B18">
        <w:t xml:space="preserve">findings within the context of compliance with </w:t>
      </w:r>
      <w:r w:rsidR="007E5EA5">
        <w:t xml:space="preserve">the </w:t>
      </w:r>
      <w:r w:rsidR="00835B18">
        <w:t>MSAR TMDL</w:t>
      </w:r>
      <w:r w:rsidR="007E5EA5">
        <w:t>s</w:t>
      </w:r>
      <w:r w:rsidR="00835B18">
        <w:t xml:space="preserve"> WLAs and LAs</w:t>
      </w:r>
      <w:r w:rsidR="0048098E" w:rsidRPr="00835B18">
        <w:t>.</w:t>
      </w:r>
    </w:p>
    <w:p w14:paraId="3741F41A" w14:textId="6BF1EACB" w:rsidR="00835B18" w:rsidRDefault="00CA5647" w:rsidP="00CA5647">
      <w:pPr>
        <w:pStyle w:val="Heading4"/>
      </w:pPr>
      <w:r>
        <w:lastRenderedPageBreak/>
        <w:t xml:space="preserve">Unaccounted Sources of Bacteria - </w:t>
      </w:r>
      <w:r w:rsidR="00835B18">
        <w:t>Previous Findings (2007-2019)</w:t>
      </w:r>
    </w:p>
    <w:p w14:paraId="3C4D9D28" w14:textId="1958F1B4" w:rsidR="00C94D55" w:rsidRDefault="006703DB" w:rsidP="007E337E">
      <w:pPr>
        <w:pStyle w:val="BodyText"/>
      </w:pPr>
      <w:bookmarkStart w:id="54" w:name="_Hlk10439536"/>
      <w:bookmarkEnd w:id="23"/>
      <w:r>
        <w:t>The technical report supporting the adoption of the MSAR TMDLs concluded: (a) open space and wilderness areas were not significant sources of bacterial indicators under the dry weather conditions investigated; and (b) it was unknown if there was survival and reproduction of bacterial indicators in the sediments of the impaired waterbodies and that this lack of information needed to be investigated (Santa Ana Water Board 2005</w:t>
      </w:r>
      <w:r w:rsidR="00AE7A21">
        <w:t>a</w:t>
      </w:r>
      <w:r>
        <w:t xml:space="preserve">). </w:t>
      </w:r>
    </w:p>
    <w:p w14:paraId="2B431F25" w14:textId="16BC31CC" w:rsidR="006703DB" w:rsidRDefault="006703DB" w:rsidP="007E337E">
      <w:pPr>
        <w:pStyle w:val="BodyText"/>
      </w:pPr>
      <w:r>
        <w:t>The MSAR Task Force and MS4 Programs have conducted numerous studies since TMDL adoption that have included a bacteria mass balance analysis</w:t>
      </w:r>
      <w:r w:rsidR="00CA5BD1">
        <w:t xml:space="preserve"> for the MSAR watershed. These analyses repeatedly suggest that there</w:t>
      </w:r>
      <w:r>
        <w:t xml:space="preserve"> is a significant pool of “unaccounted for” bacteria in the watershed, i.e., the source is not DWF from urban or agricultural sources. </w:t>
      </w:r>
      <w:r w:rsidR="00CA5BD1">
        <w:t>In particular:</w:t>
      </w:r>
    </w:p>
    <w:p w14:paraId="5DA820CD" w14:textId="4FB13853" w:rsidR="00C94D55" w:rsidRDefault="00CA5BD1" w:rsidP="00835B18">
      <w:pPr>
        <w:pStyle w:val="ListBullet"/>
      </w:pPr>
      <w:r>
        <w:t xml:space="preserve">Using data from 2007-2009 (SAWPA 2009), Riverside and San Bernardino County prepared CBRPs that included a bacterial load analysis that demonstrated </w:t>
      </w:r>
      <w:r w:rsidR="00C94D55">
        <w:t xml:space="preserve">the potential for “unaccounted for” bacteria in the </w:t>
      </w:r>
      <w:r>
        <w:t>impaired waters</w:t>
      </w:r>
      <w:r w:rsidR="00C94D55">
        <w:t xml:space="preserve">. </w:t>
      </w:r>
      <w:r>
        <w:t xml:space="preserve">Potentially of more significance, </w:t>
      </w:r>
      <w:r w:rsidR="00C94D55">
        <w:t>the CBRP</w:t>
      </w:r>
      <w:r>
        <w:t xml:space="preserve"> analysis </w:t>
      </w:r>
      <w:r w:rsidR="00C94D55">
        <w:t>demonstrated that even if upstream MS4s achieved all their targeted load reductions, the receiving water</w:t>
      </w:r>
      <w:r>
        <w:t>s</w:t>
      </w:r>
      <w:r w:rsidR="00C94D55">
        <w:t xml:space="preserve"> </w:t>
      </w:r>
      <w:r w:rsidR="00C94D55" w:rsidRPr="004C78FC">
        <w:t xml:space="preserve">would still not achieve the </w:t>
      </w:r>
      <w:r w:rsidR="00C94D55" w:rsidRPr="00835B18">
        <w:rPr>
          <w:i/>
          <w:iCs/>
        </w:rPr>
        <w:t>E. coli</w:t>
      </w:r>
      <w:r w:rsidR="00C94D55" w:rsidRPr="004C78FC">
        <w:t xml:space="preserve"> WLA</w:t>
      </w:r>
      <w:r w:rsidR="00C94D55">
        <w:t>s in the MSAR TMDL</w:t>
      </w:r>
      <w:r w:rsidR="007E5EA5">
        <w:t>s</w:t>
      </w:r>
      <w:r w:rsidR="00C94D55" w:rsidRPr="004C78FC">
        <w:t>.</w:t>
      </w:r>
      <w:r w:rsidR="00C94D55">
        <w:t xml:space="preserve"> </w:t>
      </w:r>
    </w:p>
    <w:p w14:paraId="7C64BFC5" w14:textId="63FB5862" w:rsidR="00C94D55" w:rsidRDefault="00424148" w:rsidP="00052AAB">
      <w:pPr>
        <w:pStyle w:val="ListBullet"/>
      </w:pPr>
      <w:r>
        <w:t>T</w:t>
      </w:r>
      <w:r w:rsidR="00C94D55">
        <w:t xml:space="preserve">he 2013 Triennial Report, </w:t>
      </w:r>
      <w:r w:rsidR="00290DFE">
        <w:t xml:space="preserve">which </w:t>
      </w:r>
      <w:r w:rsidR="00D65F77">
        <w:t xml:space="preserve">updated </w:t>
      </w:r>
      <w:r w:rsidR="00290DFE">
        <w:t xml:space="preserve">the bacteria load analysis </w:t>
      </w:r>
      <w:r w:rsidR="00D65F77">
        <w:t>using</w:t>
      </w:r>
      <w:r w:rsidR="00290DFE">
        <w:t xml:space="preserve"> a much larger data set, found (SAWPA 2013)</w:t>
      </w:r>
      <w:r w:rsidR="00C94D55">
        <w:t>:</w:t>
      </w:r>
    </w:p>
    <w:p w14:paraId="57F02E72" w14:textId="0BA25B3D" w:rsidR="00C94D55" w:rsidRDefault="00C94D55" w:rsidP="00052AAB">
      <w:pPr>
        <w:pStyle w:val="ListParagraph"/>
      </w:pPr>
      <w:r>
        <w:t>“</w:t>
      </w:r>
      <w:r w:rsidRPr="00075315">
        <w:t>Recent analyses of bacterial indicator data from selected watershed‐wide compliance sites coupled with an updated compliance analysis from recent Tier 1 source evaluation activities suggest that natural or uncontrollable sources of bacterial indicators may be important contributors to bacterial indicator concentrations at the watershed‐wide compliance sites</w:t>
      </w:r>
      <w:r>
        <w:t xml:space="preserve">.” </w:t>
      </w:r>
      <w:r w:rsidR="00052AAB" w:rsidRPr="00052AAB">
        <w:rPr>
          <w:i w:val="0"/>
          <w:iCs/>
        </w:rPr>
        <w:t>(Section 4.1, pg. 4-1)</w:t>
      </w:r>
    </w:p>
    <w:p w14:paraId="17958DCB" w14:textId="722A92B7" w:rsidR="00C94D55" w:rsidRDefault="00290DFE" w:rsidP="00052AAB">
      <w:pPr>
        <w:pStyle w:val="ListBullet"/>
      </w:pPr>
      <w:r>
        <w:t xml:space="preserve">Similarly, the </w:t>
      </w:r>
      <w:r w:rsidR="00C94D55">
        <w:t xml:space="preserve">2016 Triennial Report </w:t>
      </w:r>
      <w:r>
        <w:t>reported (SAWPA 201</w:t>
      </w:r>
      <w:r w:rsidR="00750C9F">
        <w:t>7</w:t>
      </w:r>
      <w:r>
        <w:t>):</w:t>
      </w:r>
    </w:p>
    <w:p w14:paraId="04790ADF" w14:textId="08AB731D" w:rsidR="00C94D55" w:rsidRDefault="00C94D55" w:rsidP="00052AAB">
      <w:pPr>
        <w:pStyle w:val="ListParagraph"/>
      </w:pPr>
      <w:r>
        <w:t>“</w:t>
      </w:r>
      <w:proofErr w:type="gramStart"/>
      <w:r>
        <w:t>b</w:t>
      </w:r>
      <w:r w:rsidRPr="00075315">
        <w:t>y</w:t>
      </w:r>
      <w:proofErr w:type="gramEnd"/>
      <w:r w:rsidRPr="00075315">
        <w:t xml:space="preserve"> process of elimination, the Uncontrollable Bacteria Sources Study suggested that </w:t>
      </w:r>
      <w:proofErr w:type="gramStart"/>
      <w:r w:rsidRPr="00075315">
        <w:t>the majority of</w:t>
      </w:r>
      <w:proofErr w:type="gramEnd"/>
      <w:r w:rsidRPr="00075315">
        <w:t xml:space="preserve"> E. coli in the impaired waters may be from releases from naturalized colonies in channel bottom sediment and biofilms. Fecal bacteria from a specific host released to the environment can settle to channel bottom and survive within sediments or biofilms for weeks or months over a wide range of temperature and moisture conditions. Growth of these initially deposited fecal bacteria within channel bottom sediments and biofilms results in colonies, where </w:t>
      </w:r>
      <w:proofErr w:type="gramStart"/>
      <w:r w:rsidRPr="00075315">
        <w:t>the majority of</w:t>
      </w:r>
      <w:proofErr w:type="gramEnd"/>
      <w:r w:rsidRPr="00075315">
        <w:t xml:space="preserve"> the population may be considered naturalized, reproducing outside of a specific organism. The BPA [Basin Plan amendment] determined that bacteria regrowth within sediment and biofilm is an uncontrollable source of fecal bacteria. As noted in Section 3.3, additional study would be necessary to better understand the potential for naturalized bacteria colonies to contribute to bacteria concentrations in overlying waters and the transport process by which bacteria </w:t>
      </w:r>
      <w:proofErr w:type="gramStart"/>
      <w:r w:rsidRPr="00075315">
        <w:t>is</w:t>
      </w:r>
      <w:proofErr w:type="gramEnd"/>
      <w:r w:rsidRPr="00075315">
        <w:t xml:space="preserve"> </w:t>
      </w:r>
      <w:r w:rsidR="009B3EB0" w:rsidRPr="00075315">
        <w:t>released</w:t>
      </w:r>
      <w:r w:rsidR="009B3EB0">
        <w:t>.</w:t>
      </w:r>
      <w:r>
        <w:t xml:space="preserve"> </w:t>
      </w:r>
      <w:r w:rsidR="00052AAB" w:rsidRPr="00052AAB">
        <w:rPr>
          <w:i w:val="0"/>
          <w:iCs/>
        </w:rPr>
        <w:t>(Section 5, pgs. 5-1 – 5-2)</w:t>
      </w:r>
    </w:p>
    <w:p w14:paraId="25E80DCE" w14:textId="5B215F8D" w:rsidR="00C94D55" w:rsidRDefault="00C94D55" w:rsidP="00052AAB">
      <w:pPr>
        <w:pStyle w:val="ListBullet"/>
      </w:pPr>
      <w:r>
        <w:lastRenderedPageBreak/>
        <w:t>Most recently, the 20</w:t>
      </w:r>
      <w:r w:rsidR="00290DFE">
        <w:t>20</w:t>
      </w:r>
      <w:r>
        <w:t xml:space="preserve"> </w:t>
      </w:r>
      <w:r w:rsidR="00290DFE">
        <w:t xml:space="preserve">MSAR </w:t>
      </w:r>
      <w:r>
        <w:t>Synoptic Study/</w:t>
      </w:r>
      <w:r w:rsidR="00290DFE">
        <w:t>T</w:t>
      </w:r>
      <w:r>
        <w:t xml:space="preserve">riennial Report </w:t>
      </w:r>
      <w:r w:rsidR="00290DFE">
        <w:t>made the following findings</w:t>
      </w:r>
      <w:r w:rsidR="00052AAB">
        <w:t xml:space="preserve"> (SAWPA 2020</w:t>
      </w:r>
      <w:r w:rsidR="000C5342">
        <w:t>a</w:t>
      </w:r>
      <w:r w:rsidR="00052AAB">
        <w:t>):</w:t>
      </w:r>
    </w:p>
    <w:p w14:paraId="3A5862BE" w14:textId="5F45E275" w:rsidR="00C94D55" w:rsidRPr="00052AAB" w:rsidRDefault="00C94D55" w:rsidP="00052AAB">
      <w:pPr>
        <w:pStyle w:val="ListParagraph"/>
      </w:pPr>
      <w:r w:rsidRPr="00052AAB">
        <w:t>“[c]</w:t>
      </w:r>
      <w:proofErr w:type="spellStart"/>
      <w:r w:rsidRPr="00052AAB">
        <w:t>onsistent</w:t>
      </w:r>
      <w:proofErr w:type="spellEnd"/>
      <w:r w:rsidRPr="00052AAB">
        <w:t xml:space="preserve"> with the many iterations of the source contribution analyses completed over </w:t>
      </w:r>
      <w:proofErr w:type="gramStart"/>
      <w:r w:rsidRPr="00052AAB">
        <w:t>a number of</w:t>
      </w:r>
      <w:proofErr w:type="gramEnd"/>
      <w:r w:rsidRPr="00052AAB">
        <w:t xml:space="preserve"> years, studies have shown that sources of fecal bacteria exist in the MSAR watershed that cannot be attributed solely to MS4 discharges. Historically, the basis for quantifying non-MS4 sources has involved a process of elimination, subtracting measured inflows from the MS4 from measured loads within the receiving waters.”</w:t>
      </w:r>
      <w:r w:rsidR="00290DFE" w:rsidRPr="00052AAB">
        <w:t xml:space="preserve"> (Section 3.1.5, page </w:t>
      </w:r>
      <w:r w:rsidR="00052AAB" w:rsidRPr="00052AAB">
        <w:t>3-26)</w:t>
      </w:r>
    </w:p>
    <w:p w14:paraId="4FB584FC" w14:textId="2E6C0663" w:rsidR="00C94D55" w:rsidRPr="00052AAB" w:rsidRDefault="00C94D55" w:rsidP="00052AAB">
      <w:pPr>
        <w:pStyle w:val="ListParagraph"/>
      </w:pPr>
      <w:r w:rsidRPr="00052AAB">
        <w:t xml:space="preserve">“Unidentified non-point sources now account for the majority (77%) of the total bacteria load in the Santa Ana River. As has been demonstrated, based on source analyses completed in 2007, 2012, and now 2019, the Santa Ana River would </w:t>
      </w:r>
      <w:proofErr w:type="gramStart"/>
      <w:r w:rsidRPr="00052AAB">
        <w:t>be in compliance with</w:t>
      </w:r>
      <w:proofErr w:type="gramEnd"/>
      <w:r w:rsidRPr="00052AAB">
        <w:t xml:space="preserve"> the TMDL targets and the state's new water quality standards for pathogen indicator bacteria were it not for the excessive loads from these unknown non-point sources which are not conveyed through the </w:t>
      </w:r>
      <w:proofErr w:type="gramStart"/>
      <w:r w:rsidRPr="00052AAB">
        <w:t>MS4.”</w:t>
      </w:r>
      <w:proofErr w:type="gramEnd"/>
      <w:r w:rsidR="00052AAB" w:rsidRPr="00052AAB">
        <w:t xml:space="preserve"> </w:t>
      </w:r>
      <w:r w:rsidR="00052AAB" w:rsidRPr="00052AAB">
        <w:rPr>
          <w:i w:val="0"/>
          <w:iCs/>
        </w:rPr>
        <w:t xml:space="preserve">(Section 4.1, </w:t>
      </w:r>
      <w:r w:rsidR="00052AAB">
        <w:rPr>
          <w:i w:val="0"/>
          <w:iCs/>
        </w:rPr>
        <w:br/>
      </w:r>
      <w:r w:rsidR="00052AAB" w:rsidRPr="00052AAB">
        <w:rPr>
          <w:i w:val="0"/>
          <w:iCs/>
        </w:rPr>
        <w:t>page 4-2)</w:t>
      </w:r>
    </w:p>
    <w:p w14:paraId="1512C5A3" w14:textId="3923C91A" w:rsidR="00C94D55" w:rsidRDefault="00C94D55" w:rsidP="00052AAB">
      <w:pPr>
        <w:pStyle w:val="ListParagraph"/>
        <w:spacing w:after="240"/>
      </w:pPr>
      <w:r w:rsidRPr="00052AAB">
        <w:t xml:space="preserve">“Sampling data from Reach 4 of the Santa Ana River shows that bacteria </w:t>
      </w:r>
      <w:proofErr w:type="gramStart"/>
      <w:r w:rsidRPr="00052AAB">
        <w:t>loads</w:t>
      </w:r>
      <w:proofErr w:type="gramEnd"/>
      <w:r w:rsidRPr="00052AAB">
        <w:t xml:space="preserve"> from unknown non-point sources contribute about 300 billion MPN/day, which is enough to consume nearly 100% of the total allowable load for E. coli bacteria in</w:t>
      </w:r>
      <w:r w:rsidRPr="00075315">
        <w:t xml:space="preserve"> the receiving water</w:t>
      </w:r>
      <w:r>
        <w:t>.”</w:t>
      </w:r>
      <w:r w:rsidR="00052AAB">
        <w:t xml:space="preserve"> </w:t>
      </w:r>
      <w:r w:rsidR="00052AAB" w:rsidRPr="00052AAB">
        <w:rPr>
          <w:i w:val="0"/>
          <w:iCs/>
        </w:rPr>
        <w:t>(Section 4.1, page 4-2)</w:t>
      </w:r>
    </w:p>
    <w:p w14:paraId="5F99D90E" w14:textId="5AA355A3" w:rsidR="00C94D55" w:rsidRDefault="00C94D55" w:rsidP="00052AAB">
      <w:pPr>
        <w:pStyle w:val="BodyText"/>
      </w:pPr>
      <w:r>
        <w:t>Collectively, these</w:t>
      </w:r>
      <w:r w:rsidR="009D3879">
        <w:t xml:space="preserve"> various </w:t>
      </w:r>
      <w:r>
        <w:t>studies demonstrate</w:t>
      </w:r>
      <w:r w:rsidR="009D3879">
        <w:t>d</w:t>
      </w:r>
      <w:r>
        <w:t xml:space="preserve"> with increased certainty the significance of “unaccounted for” or potentially “uncontrollable” sources of bacteria in the MSAR watershed.</w:t>
      </w:r>
    </w:p>
    <w:p w14:paraId="471931A5" w14:textId="783C05A9" w:rsidR="00835B18" w:rsidRPr="00835B18" w:rsidRDefault="00CA5647" w:rsidP="00CA5647">
      <w:pPr>
        <w:pStyle w:val="Heading4"/>
      </w:pPr>
      <w:r>
        <w:t xml:space="preserve">Unaccounted for Sources of Bacteria - </w:t>
      </w:r>
      <w:r w:rsidR="00835B18" w:rsidRPr="00835B18">
        <w:t>20</w:t>
      </w:r>
      <w:r w:rsidR="005E1807">
        <w:t>19</w:t>
      </w:r>
      <w:r w:rsidR="00835B18" w:rsidRPr="00835B18">
        <w:t>-202</w:t>
      </w:r>
      <w:r w:rsidR="00175F33">
        <w:t>5</w:t>
      </w:r>
      <w:r w:rsidR="00835B18" w:rsidRPr="00835B18">
        <w:t xml:space="preserve"> Assessment</w:t>
      </w:r>
    </w:p>
    <w:p w14:paraId="0D585DC4" w14:textId="7B08C3C9" w:rsidR="0084604C" w:rsidRDefault="00C83E24" w:rsidP="00835B18">
      <w:pPr>
        <w:pStyle w:val="BodyText"/>
      </w:pPr>
      <w:r>
        <w:t>DWF</w:t>
      </w:r>
      <w:r w:rsidR="00744EA4">
        <w:t xml:space="preserve"> in Santa Ana River Reach 3 is almost entirely comprised of tertiary treated effluent from </w:t>
      </w:r>
      <w:r w:rsidR="006E36D9">
        <w:t>publicly</w:t>
      </w:r>
      <w:r w:rsidR="00936478">
        <w:t xml:space="preserve"> </w:t>
      </w:r>
      <w:r w:rsidR="006E36D9">
        <w:t>owned treatment works (POTW)</w:t>
      </w:r>
      <w:r w:rsidR="0084604C">
        <w:t xml:space="preserve"> located in upstream Reach 4. In this upstream reach, a</w:t>
      </w:r>
      <w:r w:rsidR="00835B18">
        <w:t xml:space="preserve"> </w:t>
      </w:r>
      <w:r w:rsidR="00337743">
        <w:t xml:space="preserve">distinctive </w:t>
      </w:r>
      <w:r w:rsidR="00835B18">
        <w:t>condition exists</w:t>
      </w:r>
      <w:r w:rsidR="0084604C">
        <w:t xml:space="preserve">. Above the wastewater facilities, Santa Ana River Reach 4 is </w:t>
      </w:r>
      <w:r>
        <w:t xml:space="preserve">generally </w:t>
      </w:r>
      <w:r w:rsidR="0084604C">
        <w:t>dry during dry weather conditions</w:t>
      </w:r>
      <w:r w:rsidR="00E509BB">
        <w:rPr>
          <w:rStyle w:val="FootnoteReference"/>
        </w:rPr>
        <w:footnoteReference w:id="13"/>
      </w:r>
      <w:r w:rsidR="0084604C">
        <w:t xml:space="preserve">. Flow begins in Reach 4 downstream of the </w:t>
      </w:r>
      <w:r w:rsidR="00835B18">
        <w:t xml:space="preserve">Rialto </w:t>
      </w:r>
      <w:r w:rsidR="0084604C">
        <w:t xml:space="preserve">Channel (which discharges treated effluent from the Rialto Wastewater Treatment Plant </w:t>
      </w:r>
      <w:r w:rsidR="0084604C" w:rsidRPr="005D2E38">
        <w:t>[WWTP] to the Sant</w:t>
      </w:r>
      <w:r w:rsidR="005D2E38" w:rsidRPr="005D2E38">
        <w:t>a</w:t>
      </w:r>
      <w:r w:rsidR="0084604C" w:rsidRPr="005D2E38">
        <w:t xml:space="preserve"> Ana River) and the </w:t>
      </w:r>
      <w:r w:rsidR="005D2E38" w:rsidRPr="005D2E38">
        <w:t xml:space="preserve">City of Colton and San Bernardino </w:t>
      </w:r>
      <w:r w:rsidR="0084604C" w:rsidRPr="005D2E38">
        <w:t>RIX facility.</w:t>
      </w:r>
      <w:r w:rsidR="0084604C">
        <w:t xml:space="preserve"> Downstream of the RIX facility the flow </w:t>
      </w:r>
      <w:r w:rsidR="005D2E38">
        <w:t xml:space="preserve">typically </w:t>
      </w:r>
      <w:r w:rsidR="0084604C">
        <w:t>increase</w:t>
      </w:r>
      <w:r w:rsidR="005D2E38">
        <w:t xml:space="preserve">s </w:t>
      </w:r>
      <w:r w:rsidR="0084604C">
        <w:t>to a rate of over</w:t>
      </w:r>
      <w:r w:rsidR="00835B18">
        <w:t xml:space="preserve"> 50 c</w:t>
      </w:r>
      <w:r w:rsidR="005D2E38">
        <w:t>ubic feet per second (c</w:t>
      </w:r>
      <w:r w:rsidR="00835B18">
        <w:t>fs</w:t>
      </w:r>
      <w:r w:rsidR="005D2E38">
        <w:t>)</w:t>
      </w:r>
      <w:r w:rsidR="00835B18">
        <w:t xml:space="preserve">. </w:t>
      </w:r>
    </w:p>
    <w:p w14:paraId="370BDAFA" w14:textId="3E30B6DB" w:rsidR="00835B18" w:rsidRDefault="00FA77D3" w:rsidP="00835B18">
      <w:pPr>
        <w:pStyle w:val="BodyText"/>
      </w:pPr>
      <w:r>
        <w:t>Extensive</w:t>
      </w:r>
      <w:r w:rsidR="005D2E38">
        <w:t>, regular</w:t>
      </w:r>
      <w:r w:rsidR="00835B18">
        <w:t xml:space="preserve"> field observations over the past 1</w:t>
      </w:r>
      <w:r w:rsidR="005E1807">
        <w:t>8</w:t>
      </w:r>
      <w:r w:rsidR="00835B18">
        <w:t xml:space="preserve"> years have investigated MS4 outfalls along the mainstem of </w:t>
      </w:r>
      <w:r w:rsidR="005D2E38">
        <w:t xml:space="preserve">Reaches 3 and 4 of </w:t>
      </w:r>
      <w:r w:rsidR="00835B18">
        <w:t>the S</w:t>
      </w:r>
      <w:r w:rsidR="005D2E38">
        <w:t>anta Ana River</w:t>
      </w:r>
      <w:r w:rsidR="00835B18">
        <w:t xml:space="preserve"> and identified no hydrologically connected inflows </w:t>
      </w:r>
      <w:r w:rsidR="005D2E38">
        <w:t xml:space="preserve">from MS4s </w:t>
      </w:r>
      <w:r w:rsidR="00835B18">
        <w:t xml:space="preserve">to the river upstream from Box Springs </w:t>
      </w:r>
      <w:r w:rsidR="00835B18" w:rsidRPr="00F92E34">
        <w:t xml:space="preserve">Channel </w:t>
      </w:r>
      <w:r w:rsidR="00786CDE">
        <w:t xml:space="preserve">(BXSP) </w:t>
      </w:r>
      <w:r w:rsidR="00835B18" w:rsidRPr="00F92E34">
        <w:t>to the dry condition near the Rialto WWTP discharge</w:t>
      </w:r>
      <w:r w:rsidR="005D2E38" w:rsidRPr="00F92E34">
        <w:t xml:space="preserve"> (distance of </w:t>
      </w:r>
      <w:r w:rsidR="00F92E34" w:rsidRPr="00F92E34">
        <w:t xml:space="preserve">5.7 </w:t>
      </w:r>
      <w:r w:rsidR="005D2E38" w:rsidRPr="00F92E34">
        <w:lastRenderedPageBreak/>
        <w:t>miles)</w:t>
      </w:r>
      <w:r w:rsidR="00835B18" w:rsidRPr="00F92E34">
        <w:t>.</w:t>
      </w:r>
      <w:r w:rsidR="00835B18">
        <w:t xml:space="preserve"> </w:t>
      </w:r>
      <w:r>
        <w:t>T</w:t>
      </w:r>
      <w:r w:rsidR="006E36D9" w:rsidRPr="00F24217">
        <w:t>his portion</w:t>
      </w:r>
      <w:r w:rsidR="00835B18" w:rsidRPr="00F24217">
        <w:t xml:space="preserve"> of the S</w:t>
      </w:r>
      <w:r w:rsidR="006E36D9" w:rsidRPr="00F24217">
        <w:t>anta Ana River</w:t>
      </w:r>
      <w:r w:rsidR="00835B18" w:rsidRPr="00F24217">
        <w:t xml:space="preserve"> is a losing stream (i.e.</w:t>
      </w:r>
      <w:r w:rsidR="006E36D9" w:rsidRPr="00F24217">
        <w:t>,</w:t>
      </w:r>
      <w:r w:rsidR="00835B18" w:rsidRPr="00F24217">
        <w:t xml:space="preserve"> flow</w:t>
      </w:r>
      <w:r w:rsidR="00835B18">
        <w:t xml:space="preserve"> seeps through channel bottom to underlying unsaturated zone) and would be completely dry in its natural condition without the addition of POTW effluent</w:t>
      </w:r>
      <w:r>
        <w:t xml:space="preserve"> (Barry 2017)</w:t>
      </w:r>
      <w:r w:rsidR="00835B18">
        <w:t>. Th</w:t>
      </w:r>
      <w:r w:rsidR="006E36D9">
        <w:t xml:space="preserve">e existence of this </w:t>
      </w:r>
      <w:r w:rsidR="00835B18">
        <w:t xml:space="preserve">subsurface condition would also make it implausible that a localized </w:t>
      </w:r>
      <w:r w:rsidR="006E36D9">
        <w:t xml:space="preserve">source of </w:t>
      </w:r>
      <w:r w:rsidR="00835B18">
        <w:t>groundwater contamination (e.g.</w:t>
      </w:r>
      <w:r w:rsidR="006E36D9">
        <w:t>,</w:t>
      </w:r>
      <w:r w:rsidR="00835B18">
        <w:t xml:space="preserve"> failing septic </w:t>
      </w:r>
      <w:r w:rsidR="006E36D9">
        <w:t xml:space="preserve">systems </w:t>
      </w:r>
      <w:r w:rsidR="00835B18">
        <w:t>or leaking sewer</w:t>
      </w:r>
      <w:r w:rsidR="006E36D9">
        <w:t xml:space="preserve"> pipeline</w:t>
      </w:r>
      <w:r w:rsidR="00835B18">
        <w:t>)</w:t>
      </w:r>
      <w:r w:rsidR="006E36D9">
        <w:t xml:space="preserve"> </w:t>
      </w:r>
      <w:r w:rsidR="00835B18">
        <w:t xml:space="preserve">would contribute to </w:t>
      </w:r>
      <w:r w:rsidR="006E36D9">
        <w:t>DWF</w:t>
      </w:r>
      <w:r w:rsidR="00835B18">
        <w:t xml:space="preserve"> in the mainstem of the S</w:t>
      </w:r>
      <w:r w:rsidR="006E36D9">
        <w:t>anta Ana River</w:t>
      </w:r>
      <w:r w:rsidR="00835B18">
        <w:t xml:space="preserve">. Thus, </w:t>
      </w:r>
      <w:r w:rsidR="009B3EB0">
        <w:t xml:space="preserve">all </w:t>
      </w:r>
      <w:r w:rsidR="00586975">
        <w:t>DWF</w:t>
      </w:r>
      <w:r w:rsidR="00835B18">
        <w:t xml:space="preserve"> volume at the boundary </w:t>
      </w:r>
      <w:r w:rsidR="006E36D9">
        <w:t xml:space="preserve">or transition between </w:t>
      </w:r>
      <w:r w:rsidR="00835B18">
        <w:t xml:space="preserve">Reach 4 to Reach 3 </w:t>
      </w:r>
      <w:r w:rsidR="006E36D9">
        <w:t>should</w:t>
      </w:r>
      <w:r w:rsidR="00835B18">
        <w:t xml:space="preserve"> be attributed to POTW effluent. </w:t>
      </w:r>
    </w:p>
    <w:p w14:paraId="6621ED9B" w14:textId="4E484C95" w:rsidR="0010512C" w:rsidRDefault="00835B18" w:rsidP="00835B18">
      <w:pPr>
        <w:pStyle w:val="BodyText"/>
      </w:pPr>
      <w:r>
        <w:t>Water quality sampling at the Rialto WWTP and RIX ha</w:t>
      </w:r>
      <w:r w:rsidR="00C83E24">
        <w:t xml:space="preserve">s </w:t>
      </w:r>
      <w:r>
        <w:t xml:space="preserve">shown consistently no detection of </w:t>
      </w:r>
      <w:r w:rsidRPr="00305CB5">
        <w:rPr>
          <w:i/>
          <w:iCs/>
        </w:rPr>
        <w:t>E. coli</w:t>
      </w:r>
      <w:r>
        <w:t xml:space="preserve"> </w:t>
      </w:r>
      <w:r w:rsidR="006E36D9">
        <w:t>in treated effluent discharged to the Santa Ana River</w:t>
      </w:r>
      <w:r>
        <w:t xml:space="preserve">. Thus, any </w:t>
      </w:r>
      <w:r w:rsidRPr="00550D22">
        <w:rPr>
          <w:i/>
          <w:iCs/>
        </w:rPr>
        <w:t>E. coli</w:t>
      </w:r>
      <w:r>
        <w:t xml:space="preserve"> measured within th</w:t>
      </w:r>
      <w:r w:rsidR="006E36D9">
        <w:t>e Santa Ana River below these POTWs</w:t>
      </w:r>
      <w:r>
        <w:t xml:space="preserve"> is attributed to in-stream sources. Previous </w:t>
      </w:r>
      <w:r w:rsidR="006E36D9">
        <w:t>Triennial Reports</w:t>
      </w:r>
      <w:r>
        <w:t xml:space="preserve"> identified a large</w:t>
      </w:r>
      <w:r w:rsidRPr="00C83E24">
        <w:t xml:space="preserve">, unaccounted for load of </w:t>
      </w:r>
      <w:r w:rsidRPr="00C83E24">
        <w:rPr>
          <w:i/>
          <w:iCs/>
        </w:rPr>
        <w:t>E. coli</w:t>
      </w:r>
      <w:r w:rsidRPr="00C83E24">
        <w:t xml:space="preserve"> and hypothesized an in-stream source</w:t>
      </w:r>
      <w:r w:rsidR="006E36D9" w:rsidRPr="00C83E24">
        <w:t xml:space="preserve"> (Section 2.5.</w:t>
      </w:r>
      <w:r w:rsidR="00C83E24" w:rsidRPr="00C83E24">
        <w:t>2.1</w:t>
      </w:r>
      <w:r w:rsidR="006E36D9" w:rsidRPr="00C83E24">
        <w:t>)</w:t>
      </w:r>
      <w:r w:rsidRPr="00C83E24">
        <w:t>.</w:t>
      </w:r>
      <w:r>
        <w:t xml:space="preserve"> Routine dry weather sampling at the Mission </w:t>
      </w:r>
      <w:r w:rsidR="006E36D9">
        <w:t>Boulevard</w:t>
      </w:r>
      <w:r>
        <w:t xml:space="preserve"> </w:t>
      </w:r>
      <w:r w:rsidR="006E36D9">
        <w:t>B</w:t>
      </w:r>
      <w:r>
        <w:t xml:space="preserve">ridge </w:t>
      </w:r>
      <w:r w:rsidR="0010512C">
        <w:t xml:space="preserve">(WW-MISSION) </w:t>
      </w:r>
      <w:r>
        <w:t xml:space="preserve">was incorporated into the </w:t>
      </w:r>
      <w:r w:rsidR="006E36D9">
        <w:t>TMDL w</w:t>
      </w:r>
      <w:r>
        <w:t xml:space="preserve">atershed-wide </w:t>
      </w:r>
      <w:r w:rsidR="006E36D9">
        <w:t>monitoring program</w:t>
      </w:r>
      <w:r>
        <w:t xml:space="preserve"> </w:t>
      </w:r>
      <w:r w:rsidR="0010512C">
        <w:t>(through the RBMP)</w:t>
      </w:r>
      <w:r w:rsidR="006E36D9">
        <w:t xml:space="preserve"> </w:t>
      </w:r>
      <w:r>
        <w:t xml:space="preserve">to better understand </w:t>
      </w:r>
      <w:r w:rsidR="0010512C">
        <w:t xml:space="preserve">bacteria </w:t>
      </w:r>
      <w:r>
        <w:t xml:space="preserve">conditions </w:t>
      </w:r>
      <w:r w:rsidR="0010512C">
        <w:t xml:space="preserve">before flow reaches Santa Ana River </w:t>
      </w:r>
      <w:r>
        <w:t xml:space="preserve">Reach 3. </w:t>
      </w:r>
    </w:p>
    <w:p w14:paraId="0FED0AB6" w14:textId="40A6F8E5" w:rsidR="00375CB5" w:rsidRDefault="00835B18" w:rsidP="00375CB5">
      <w:pPr>
        <w:pStyle w:val="BodyText"/>
      </w:pPr>
      <w:r>
        <w:t xml:space="preserve">Results </w:t>
      </w:r>
      <w:r w:rsidR="0010512C">
        <w:t>from 20</w:t>
      </w:r>
      <w:r w:rsidR="00C4062C">
        <w:t>19</w:t>
      </w:r>
      <w:r w:rsidR="0010512C">
        <w:t>-202</w:t>
      </w:r>
      <w:r w:rsidR="00175F33">
        <w:t>5</w:t>
      </w:r>
      <w:r w:rsidR="0010512C">
        <w:t xml:space="preserve"> </w:t>
      </w:r>
      <w:r>
        <w:t xml:space="preserve">show that </w:t>
      </w:r>
      <w:r w:rsidRPr="009E678D">
        <w:rPr>
          <w:i/>
          <w:iCs/>
        </w:rPr>
        <w:t>E. coli</w:t>
      </w:r>
      <w:r>
        <w:t xml:space="preserve"> </w:t>
      </w:r>
      <w:r w:rsidR="00EE76A7">
        <w:t xml:space="preserve">concentrations </w:t>
      </w:r>
      <w:r>
        <w:t xml:space="preserve">at </w:t>
      </w:r>
      <w:r w:rsidR="0010512C">
        <w:t>WW-MISSION</w:t>
      </w:r>
      <w:r>
        <w:t xml:space="preserve"> exceed the concentration-based LA in </w:t>
      </w:r>
      <w:r w:rsidR="00D95A0D">
        <w:t>72</w:t>
      </w:r>
      <w:r>
        <w:t xml:space="preserve"> of </w:t>
      </w:r>
      <w:r w:rsidR="00D95A0D">
        <w:t>9</w:t>
      </w:r>
      <w:r>
        <w:t>4 (</w:t>
      </w:r>
      <w:r w:rsidR="00371986">
        <w:t>77</w:t>
      </w:r>
      <w:r>
        <w:t>%) rolling geomeans in 20</w:t>
      </w:r>
      <w:r w:rsidR="00371986">
        <w:t>19</w:t>
      </w:r>
      <w:r>
        <w:t>-202</w:t>
      </w:r>
      <w:r w:rsidR="00371986">
        <w:t>5</w:t>
      </w:r>
      <w:r>
        <w:t xml:space="preserve"> </w:t>
      </w:r>
      <w:r w:rsidRPr="00377B17">
        <w:t>period (</w:t>
      </w:r>
      <w:r w:rsidRPr="00377B17">
        <w:rPr>
          <w:b/>
          <w:bCs/>
        </w:rPr>
        <w:t xml:space="preserve">Figure </w:t>
      </w:r>
      <w:r w:rsidR="00010861">
        <w:rPr>
          <w:b/>
          <w:bCs/>
        </w:rPr>
        <w:br/>
      </w:r>
      <w:r w:rsidRPr="00377B17">
        <w:rPr>
          <w:b/>
          <w:bCs/>
        </w:rPr>
        <w:t>2-5</w:t>
      </w:r>
      <w:r w:rsidRPr="00377B17">
        <w:t>). Considering</w:t>
      </w:r>
      <w:r>
        <w:t xml:space="preserve"> that </w:t>
      </w:r>
      <w:r w:rsidR="0010512C">
        <w:t>DWF</w:t>
      </w:r>
      <w:r>
        <w:t xml:space="preserve"> from Reach 4 represents </w:t>
      </w:r>
      <w:proofErr w:type="gramStart"/>
      <w:r>
        <w:t>the majority of</w:t>
      </w:r>
      <w:proofErr w:type="gramEnd"/>
      <w:r>
        <w:t xml:space="preserve"> </w:t>
      </w:r>
      <w:r w:rsidR="0010512C">
        <w:t xml:space="preserve">flow </w:t>
      </w:r>
      <w:r>
        <w:t>volume at downstream TMDL compliance monitoring sites in Reach 3</w:t>
      </w:r>
      <w:r w:rsidR="0010512C">
        <w:t xml:space="preserve"> (WW-S1 and WW-S</w:t>
      </w:r>
      <w:r w:rsidR="002C3EDE">
        <w:t>4</w:t>
      </w:r>
      <w:r w:rsidR="0010512C">
        <w:t>)</w:t>
      </w:r>
      <w:r w:rsidR="00085A60">
        <w:t>,</w:t>
      </w:r>
      <w:r w:rsidR="002C3EDE">
        <w:t xml:space="preserve"> </w:t>
      </w:r>
      <w:r w:rsidR="0010512C">
        <w:t>understanding the nature</w:t>
      </w:r>
      <w:r w:rsidR="002C3EDE">
        <w:t xml:space="preserve"> and potential controllability </w:t>
      </w:r>
      <w:r w:rsidR="0010512C">
        <w:t xml:space="preserve">of </w:t>
      </w:r>
      <w:r>
        <w:t>instream source</w:t>
      </w:r>
      <w:r w:rsidR="0010512C">
        <w:t>s of bacteria</w:t>
      </w:r>
      <w:r>
        <w:t xml:space="preserve"> is critically important in TMDL implementation (</w:t>
      </w:r>
      <w:r w:rsidR="0010512C" w:rsidRPr="00377B17">
        <w:t>Section 4.3.1</w:t>
      </w:r>
      <w:r w:rsidRPr="00377B17">
        <w:t xml:space="preserve">). </w:t>
      </w:r>
      <w:r w:rsidR="0010512C" w:rsidRPr="00377B17">
        <w:t>This is because exis</w:t>
      </w:r>
      <w:r w:rsidR="0010512C">
        <w:t xml:space="preserve">ting data strongly suggest that a compliance </w:t>
      </w:r>
      <w:r>
        <w:t xml:space="preserve">strategy that focuses only on elimination of all MS4 </w:t>
      </w:r>
      <w:r w:rsidR="0010512C">
        <w:t>DWF</w:t>
      </w:r>
      <w:r>
        <w:t xml:space="preserve"> and associated bacteria load to S</w:t>
      </w:r>
      <w:r w:rsidR="0010512C">
        <w:t>anta Ana River</w:t>
      </w:r>
      <w:r>
        <w:t xml:space="preserve"> Reach 3 would not result in attainment of </w:t>
      </w:r>
      <w:r w:rsidR="0010512C">
        <w:t>water quality objectives</w:t>
      </w:r>
      <w:r>
        <w:t>.</w:t>
      </w:r>
      <w:r w:rsidR="002C3EDE">
        <w:t xml:space="preserve"> </w:t>
      </w:r>
      <w:r>
        <w:t xml:space="preserve"> </w:t>
      </w:r>
    </w:p>
    <w:p w14:paraId="0C16B7D5" w14:textId="601E7455" w:rsidR="00F33FD0" w:rsidRPr="00375CB5" w:rsidRDefault="00F33FD0" w:rsidP="00F33FD0">
      <w:pPr>
        <w:pStyle w:val="BodyText"/>
        <w:spacing w:after="0"/>
      </w:pPr>
      <w:r w:rsidRPr="009B3EB0">
        <w:rPr>
          <w:noProof/>
        </w:rPr>
        <w:drawing>
          <wp:inline distT="0" distB="0" distL="0" distR="0" wp14:anchorId="0B61CD27" wp14:editId="68E2E489">
            <wp:extent cx="5603358" cy="2801679"/>
            <wp:effectExtent l="0" t="0" r="0" b="0"/>
            <wp:docPr id="394106778" name="Picture 2" descr="A graph of a number of different colo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06778" name="Picture 2" descr="A graph of a number of different colored dots&#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05512" cy="2802756"/>
                    </a:xfrm>
                    <a:prstGeom prst="rect">
                      <a:avLst/>
                    </a:prstGeom>
                    <a:noFill/>
                    <a:ln>
                      <a:noFill/>
                    </a:ln>
                  </pic:spPr>
                </pic:pic>
              </a:graphicData>
            </a:graphic>
          </wp:inline>
        </w:drawing>
      </w:r>
    </w:p>
    <w:p w14:paraId="0426C3FB" w14:textId="24495C70" w:rsidR="0095436D" w:rsidRDefault="00F33FD0" w:rsidP="00D82992">
      <w:pPr>
        <w:pStyle w:val="Caption"/>
        <w:sectPr w:rsidR="0095436D" w:rsidSect="00DF3266">
          <w:footerReference w:type="default" r:id="rId25"/>
          <w:pgSz w:w="12240" w:h="15840" w:code="1"/>
          <w:pgMar w:top="1440" w:right="1440" w:bottom="1440" w:left="1800" w:header="720" w:footer="720" w:gutter="0"/>
          <w:pgNumType w:start="1" w:chapStyle="1"/>
          <w:cols w:space="720"/>
          <w:docGrid w:linePitch="360"/>
        </w:sectPr>
      </w:pPr>
      <w:bookmarkStart w:id="55" w:name="_Toc217394558"/>
      <w:bookmarkStart w:id="56" w:name="_Toc217394753"/>
      <w:r>
        <w:t xml:space="preserve">Figure </w:t>
      </w:r>
      <w:r w:rsidR="0023167A">
        <w:fldChar w:fldCharType="begin"/>
      </w:r>
      <w:r w:rsidR="0023167A">
        <w:instrText xml:space="preserve"> STYLEREF 1 \s </w:instrText>
      </w:r>
      <w:r w:rsidR="0023167A">
        <w:fldChar w:fldCharType="separate"/>
      </w:r>
      <w:r w:rsidR="0023167A">
        <w:rPr>
          <w:noProof/>
        </w:rPr>
        <w:t>2</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5</w:t>
      </w:r>
      <w:r w:rsidR="0023167A">
        <w:fldChar w:fldCharType="end"/>
      </w:r>
      <w:r>
        <w:t xml:space="preserve">. </w:t>
      </w:r>
      <w:r w:rsidRPr="00F33FD0">
        <w:t xml:space="preserve">Grab Sample and Rolling Geomeans of </w:t>
      </w:r>
      <w:r w:rsidRPr="00F33FD0">
        <w:rPr>
          <w:i/>
          <w:iCs w:val="0"/>
        </w:rPr>
        <w:t>E. coli</w:t>
      </w:r>
      <w:r w:rsidRPr="00F33FD0">
        <w:t xml:space="preserve"> Concentration</w:t>
      </w:r>
      <w:r>
        <w:t>s</w:t>
      </w:r>
      <w:r w:rsidRPr="00F33FD0">
        <w:t xml:space="preserve"> in </w:t>
      </w:r>
      <w:r>
        <w:t xml:space="preserve">the </w:t>
      </w:r>
      <w:r w:rsidRPr="00F33FD0">
        <w:t>Santa Ana River Reach 3 at Mission Boulevard Bridge, WW-MISSION (2019-2025)</w:t>
      </w:r>
      <w:bookmarkEnd w:id="55"/>
      <w:bookmarkEnd w:id="56"/>
      <w:r w:rsidR="003B7ED3">
        <w:br w:type="page"/>
      </w:r>
    </w:p>
    <w:p w14:paraId="1903C52D" w14:textId="5C20034E" w:rsidR="00B733AA" w:rsidRDefault="009D752E" w:rsidP="0036101F">
      <w:pPr>
        <w:pStyle w:val="Heading1"/>
      </w:pPr>
      <w:bookmarkStart w:id="57" w:name="_Toc217410153"/>
      <w:r>
        <w:lastRenderedPageBreak/>
        <w:t>Synoptic Study Findings</w:t>
      </w:r>
      <w:bookmarkEnd w:id="57"/>
    </w:p>
    <w:p w14:paraId="5E8D5B1F" w14:textId="00551204" w:rsidR="00524F10" w:rsidRDefault="00214BD9" w:rsidP="00524F10">
      <w:pPr>
        <w:pStyle w:val="BodyText"/>
        <w:spacing w:after="120"/>
        <w:rPr>
          <w:rFonts w:eastAsiaTheme="minorHAnsi"/>
        </w:rPr>
      </w:pPr>
      <w:bookmarkStart w:id="58" w:name="_Hlk11562442"/>
      <w:bookmarkEnd w:id="54"/>
      <w:r>
        <w:rPr>
          <w:rFonts w:eastAsiaTheme="minorHAnsi"/>
        </w:rPr>
        <w:t xml:space="preserve">This section </w:t>
      </w:r>
      <w:r w:rsidR="00524F10" w:rsidRPr="00580A23">
        <w:rPr>
          <w:rFonts w:eastAsiaTheme="minorHAnsi"/>
        </w:rPr>
        <w:t xml:space="preserve">provides the findings from </w:t>
      </w:r>
      <w:r w:rsidR="00A74754">
        <w:rPr>
          <w:rFonts w:eastAsiaTheme="minorHAnsi"/>
        </w:rPr>
        <w:t xml:space="preserve">Tier 1 and 2 source evaluation conducted over the 2023-2025 period, including </w:t>
      </w:r>
      <w:r w:rsidR="00524F10" w:rsidRPr="00580A23">
        <w:rPr>
          <w:rFonts w:eastAsiaTheme="minorHAnsi"/>
        </w:rPr>
        <w:t>the 20</w:t>
      </w:r>
      <w:r>
        <w:rPr>
          <w:rFonts w:eastAsiaTheme="minorHAnsi"/>
        </w:rPr>
        <w:t>25</w:t>
      </w:r>
      <w:r w:rsidR="00524F10" w:rsidRPr="00580A23">
        <w:rPr>
          <w:rFonts w:eastAsiaTheme="minorHAnsi"/>
        </w:rPr>
        <w:t xml:space="preserve"> Synoptic Study</w:t>
      </w:r>
      <w:r w:rsidR="00A74754">
        <w:rPr>
          <w:rFonts w:eastAsiaTheme="minorHAnsi"/>
        </w:rPr>
        <w:t>.</w:t>
      </w:r>
      <w:r w:rsidR="00524F10" w:rsidRPr="00580A23">
        <w:rPr>
          <w:rFonts w:eastAsiaTheme="minorHAnsi"/>
        </w:rPr>
        <w:t xml:space="preserve"> </w:t>
      </w:r>
      <w:r w:rsidR="00524F10">
        <w:rPr>
          <w:rFonts w:eastAsiaTheme="minorHAnsi"/>
        </w:rPr>
        <w:t>Findings are presented in the following three sections:</w:t>
      </w:r>
    </w:p>
    <w:p w14:paraId="3743A6C2" w14:textId="41E87B55" w:rsidR="00C41734" w:rsidRDefault="00C41734" w:rsidP="00AC69A1">
      <w:pPr>
        <w:pStyle w:val="00Bullet1"/>
        <w:numPr>
          <w:ilvl w:val="0"/>
          <w:numId w:val="43"/>
        </w:numPr>
        <w:spacing w:after="120"/>
        <w:ind w:left="504"/>
      </w:pPr>
      <w:r w:rsidRPr="00355DD0">
        <w:rPr>
          <w:i/>
        </w:rPr>
        <w:t>Section 3.1: Characterization of Dry Weather Flow in the MSAR Watershed</w:t>
      </w:r>
      <w:r w:rsidRPr="00355DD0">
        <w:t xml:space="preserve"> – This section reports on </w:t>
      </w:r>
      <w:r w:rsidR="003976CB">
        <w:t xml:space="preserve">dry weather flow conditions during the 2025 </w:t>
      </w:r>
      <w:r w:rsidR="005800AD">
        <w:t>S</w:t>
      </w:r>
      <w:r w:rsidR="003976CB">
        <w:t xml:space="preserve">ynoptic </w:t>
      </w:r>
      <w:r w:rsidR="005800AD">
        <w:t>S</w:t>
      </w:r>
      <w:r w:rsidR="003976CB">
        <w:t xml:space="preserve">tudy in relation to </w:t>
      </w:r>
      <w:r w:rsidR="00D06A4B">
        <w:t>previous studies.</w:t>
      </w:r>
      <w:r w:rsidR="00384127">
        <w:t xml:space="preserve"> </w:t>
      </w:r>
      <w:r w:rsidR="005D3607">
        <w:t xml:space="preserve">DWF in Cucamonga Creek </w:t>
      </w:r>
      <w:r w:rsidR="0023539A">
        <w:t xml:space="preserve">is </w:t>
      </w:r>
      <w:r w:rsidR="005D3607">
        <w:t xml:space="preserve">presented as </w:t>
      </w:r>
      <w:r w:rsidR="00DB661C">
        <w:t xml:space="preserve">a separate subsection to highlight the </w:t>
      </w:r>
      <w:r w:rsidR="00FA4C50">
        <w:t xml:space="preserve">extreme temporal variability </w:t>
      </w:r>
      <w:r w:rsidR="0029447E">
        <w:t xml:space="preserve">of POTW discharges that requires </w:t>
      </w:r>
      <w:r w:rsidR="00B51C84">
        <w:t xml:space="preserve">a different approach for </w:t>
      </w:r>
      <w:r w:rsidR="0078508D">
        <w:t xml:space="preserve">bacteria source </w:t>
      </w:r>
      <w:r w:rsidR="00B51C84">
        <w:t xml:space="preserve">contribution </w:t>
      </w:r>
      <w:r w:rsidR="0078508D">
        <w:t xml:space="preserve">analysis </w:t>
      </w:r>
      <w:r w:rsidR="00B51C84">
        <w:t>in Mill-Cucamonga Creek.</w:t>
      </w:r>
      <w:r w:rsidR="0078508D">
        <w:t xml:space="preserve"> </w:t>
      </w:r>
      <w:r w:rsidR="00FA4C50">
        <w:t xml:space="preserve"> </w:t>
      </w:r>
      <w:r w:rsidR="00DB661C">
        <w:t xml:space="preserve"> </w:t>
      </w:r>
      <w:r>
        <w:t xml:space="preserve"> </w:t>
      </w:r>
    </w:p>
    <w:p w14:paraId="6FED925E" w14:textId="699078AC" w:rsidR="00524F10" w:rsidRPr="00355DD0" w:rsidRDefault="00524F10" w:rsidP="00AC69A1">
      <w:pPr>
        <w:pStyle w:val="00Bullet1"/>
        <w:numPr>
          <w:ilvl w:val="0"/>
          <w:numId w:val="43"/>
        </w:numPr>
        <w:spacing w:after="120"/>
        <w:ind w:left="504"/>
      </w:pPr>
      <w:r w:rsidRPr="00355DD0">
        <w:rPr>
          <w:i/>
        </w:rPr>
        <w:t>Section 3.</w:t>
      </w:r>
      <w:r w:rsidR="00C41734">
        <w:rPr>
          <w:i/>
        </w:rPr>
        <w:t>2</w:t>
      </w:r>
      <w:r w:rsidRPr="00355DD0">
        <w:rPr>
          <w:i/>
        </w:rPr>
        <w:t xml:space="preserve">: Characterization of </w:t>
      </w:r>
      <w:r w:rsidRPr="00AA0D62">
        <w:rPr>
          <w:i/>
          <w:iCs/>
        </w:rPr>
        <w:t>E. coli</w:t>
      </w:r>
      <w:r w:rsidRPr="00355DD0">
        <w:rPr>
          <w:i/>
        </w:rPr>
        <w:t xml:space="preserve"> in the MSAR Watershed</w:t>
      </w:r>
      <w:r w:rsidRPr="00355DD0">
        <w:t xml:space="preserve"> – This section reports on current</w:t>
      </w:r>
      <w:r w:rsidR="003976CB">
        <w:t xml:space="preserve"> sources of</w:t>
      </w:r>
      <w:r w:rsidR="006B6B3C">
        <w:t xml:space="preserve"> </w:t>
      </w:r>
      <w:r w:rsidR="003976CB" w:rsidRPr="003976CB">
        <w:rPr>
          <w:i/>
          <w:iCs/>
        </w:rPr>
        <w:t>E.</w:t>
      </w:r>
      <w:r w:rsidR="003976CB">
        <w:rPr>
          <w:i/>
          <w:iCs/>
        </w:rPr>
        <w:t xml:space="preserve"> </w:t>
      </w:r>
      <w:r w:rsidR="003976CB" w:rsidRPr="003976CB">
        <w:rPr>
          <w:i/>
          <w:iCs/>
        </w:rPr>
        <w:t xml:space="preserve">coli </w:t>
      </w:r>
      <w:r w:rsidR="006B6B3C">
        <w:t xml:space="preserve">in each of the MSAR waters, including </w:t>
      </w:r>
      <w:r w:rsidR="006C1E23">
        <w:t>a c</w:t>
      </w:r>
      <w:r w:rsidRPr="00355DD0">
        <w:t xml:space="preserve">omparison </w:t>
      </w:r>
      <w:r w:rsidR="006C1E23">
        <w:t xml:space="preserve">to </w:t>
      </w:r>
      <w:r w:rsidRPr="00355DD0">
        <w:t xml:space="preserve">previous </w:t>
      </w:r>
      <w:r>
        <w:t>analyses</w:t>
      </w:r>
      <w:r w:rsidRPr="00355DD0">
        <w:t xml:space="preserve">. In addition, this section updates previous </w:t>
      </w:r>
      <w:r w:rsidRPr="00DD6701">
        <w:rPr>
          <w:i/>
        </w:rPr>
        <w:t>E. coli</w:t>
      </w:r>
      <w:r w:rsidRPr="00355DD0">
        <w:t xml:space="preserve"> loading analyses on a subwatershed basis and evaluates sources of bacteria, including both MS4 and non-MS4 sources. </w:t>
      </w:r>
    </w:p>
    <w:p w14:paraId="081525C0" w14:textId="129B9FFD" w:rsidR="00524F10" w:rsidRPr="00355DD0" w:rsidRDefault="00524F10" w:rsidP="00AC69A1">
      <w:pPr>
        <w:pStyle w:val="00Bullet1"/>
        <w:numPr>
          <w:ilvl w:val="0"/>
          <w:numId w:val="43"/>
        </w:numPr>
        <w:spacing w:after="120"/>
        <w:ind w:left="504"/>
      </w:pPr>
      <w:r w:rsidRPr="00355DD0">
        <w:rPr>
          <w:i/>
        </w:rPr>
        <w:t>Section 3.</w:t>
      </w:r>
      <w:r w:rsidR="003976CB">
        <w:rPr>
          <w:i/>
        </w:rPr>
        <w:t>3</w:t>
      </w:r>
      <w:r w:rsidRPr="00355DD0">
        <w:rPr>
          <w:i/>
        </w:rPr>
        <w:t>:</w:t>
      </w:r>
      <w:r w:rsidRPr="00615E4B">
        <w:rPr>
          <w:i/>
          <w:iCs/>
        </w:rPr>
        <w:t xml:space="preserve"> Bacteroides </w:t>
      </w:r>
      <w:r w:rsidRPr="00355DD0">
        <w:rPr>
          <w:i/>
        </w:rPr>
        <w:t xml:space="preserve">Analyses </w:t>
      </w:r>
      <w:r w:rsidRPr="00355DD0">
        <w:t>– This section summarizes the findings from the analysis of all samples for the human marker HF183.</w:t>
      </w:r>
    </w:p>
    <w:p w14:paraId="2E55E522" w14:textId="207F51BA" w:rsidR="00524F10" w:rsidRPr="00355DD0" w:rsidRDefault="00524F10" w:rsidP="00AC69A1">
      <w:pPr>
        <w:pStyle w:val="00Bullet1"/>
        <w:numPr>
          <w:ilvl w:val="0"/>
          <w:numId w:val="43"/>
        </w:numPr>
        <w:spacing w:after="240"/>
        <w:ind w:left="504"/>
      </w:pPr>
      <w:r w:rsidRPr="00355DD0">
        <w:rPr>
          <w:i/>
        </w:rPr>
        <w:t>Section 3.</w:t>
      </w:r>
      <w:r w:rsidR="003976CB">
        <w:rPr>
          <w:i/>
        </w:rPr>
        <w:t>4</w:t>
      </w:r>
      <w:r w:rsidRPr="00355DD0">
        <w:rPr>
          <w:i/>
        </w:rPr>
        <w:t>: Tier 1 Prioritization Analysis</w:t>
      </w:r>
      <w:r w:rsidRPr="00355DD0">
        <w:t xml:space="preserve"> – Based on the findings in Sections 3.1 and 3.2, this section provides the outcome of the prioritization of Tier 1 MS4 outfalls for additional work to mitigate controllable sources of </w:t>
      </w:r>
      <w:r w:rsidRPr="00DD6701">
        <w:rPr>
          <w:i/>
        </w:rPr>
        <w:t>E. coli</w:t>
      </w:r>
      <w:r w:rsidRPr="00355DD0">
        <w:t>. The resulting prioritization updates previous prioritization analyses completed for the MSAR watershed.</w:t>
      </w:r>
    </w:p>
    <w:p w14:paraId="30440D8A" w14:textId="279A228E" w:rsidR="00524F10" w:rsidRDefault="00524F10" w:rsidP="00524F10">
      <w:pPr>
        <w:pStyle w:val="Heading2"/>
        <w:tabs>
          <w:tab w:val="num" w:pos="792"/>
        </w:tabs>
        <w:ind w:left="810"/>
      </w:pPr>
      <w:bookmarkStart w:id="59" w:name="_Toc217410154"/>
      <w:r>
        <w:t>Characterization of D</w:t>
      </w:r>
      <w:r w:rsidR="003F2761">
        <w:t xml:space="preserve">WF </w:t>
      </w:r>
      <w:r>
        <w:t>in the MSAR Watershed</w:t>
      </w:r>
      <w:bookmarkEnd w:id="59"/>
    </w:p>
    <w:p w14:paraId="173CA8F6" w14:textId="77777777" w:rsidR="00524F10" w:rsidRDefault="00524F10" w:rsidP="00524F10">
      <w:pPr>
        <w:pStyle w:val="BodyText"/>
        <w:spacing w:after="120"/>
      </w:pPr>
      <w:r>
        <w:t xml:space="preserve">The primary source of DWF in impaired waters in the MSAR watershed is </w:t>
      </w:r>
      <w:proofErr w:type="gramStart"/>
      <w:r>
        <w:t>treated</w:t>
      </w:r>
      <w:proofErr w:type="gramEnd"/>
      <w:r>
        <w:t xml:space="preserve"> effluent from five POTWs (see Table 1-2). This regular DWF is supplemented by numerous other non-POTW sources, including:</w:t>
      </w:r>
    </w:p>
    <w:p w14:paraId="0D2A9F11" w14:textId="19BE3704" w:rsidR="00524F10" w:rsidRPr="00580A23" w:rsidRDefault="00524F10" w:rsidP="00AC69A1">
      <w:pPr>
        <w:pStyle w:val="00Bullet1"/>
        <w:numPr>
          <w:ilvl w:val="0"/>
          <w:numId w:val="44"/>
        </w:numPr>
        <w:spacing w:after="120"/>
        <w:ind w:left="504"/>
      </w:pPr>
      <w:r w:rsidRPr="00580A23">
        <w:t xml:space="preserve">Turnouts of imported water by </w:t>
      </w:r>
      <w:r>
        <w:t xml:space="preserve">the </w:t>
      </w:r>
      <w:r w:rsidRPr="00580A23">
        <w:t>Metropolitan Water District</w:t>
      </w:r>
      <w:r>
        <w:t xml:space="preserve"> (MWD</w:t>
      </w:r>
      <w:proofErr w:type="gramStart"/>
      <w:r>
        <w:t>);</w:t>
      </w:r>
      <w:proofErr w:type="gramEnd"/>
    </w:p>
    <w:p w14:paraId="3724FD68" w14:textId="77777777" w:rsidR="00524F10" w:rsidRPr="00580A23" w:rsidRDefault="00524F10" w:rsidP="00AC69A1">
      <w:pPr>
        <w:pStyle w:val="00Bullet1"/>
        <w:numPr>
          <w:ilvl w:val="0"/>
          <w:numId w:val="44"/>
        </w:numPr>
        <w:spacing w:after="120"/>
        <w:ind w:left="504"/>
      </w:pPr>
      <w:r w:rsidRPr="00580A23">
        <w:t>Well blow-</w:t>
      </w:r>
      <w:proofErr w:type="gramStart"/>
      <w:r w:rsidRPr="00580A23">
        <w:t>offs</w:t>
      </w:r>
      <w:r>
        <w:t>;</w:t>
      </w:r>
      <w:proofErr w:type="gramEnd"/>
    </w:p>
    <w:p w14:paraId="211A5B65" w14:textId="77777777" w:rsidR="00524F10" w:rsidRPr="00580A23" w:rsidRDefault="00524F10" w:rsidP="00AC69A1">
      <w:pPr>
        <w:pStyle w:val="00Bullet1"/>
        <w:numPr>
          <w:ilvl w:val="0"/>
          <w:numId w:val="44"/>
        </w:numPr>
        <w:spacing w:after="120"/>
        <w:ind w:left="504"/>
      </w:pPr>
      <w:r w:rsidRPr="00580A23">
        <w:t xml:space="preserve">Water </w:t>
      </w:r>
      <w:proofErr w:type="gramStart"/>
      <w:r w:rsidRPr="00580A23">
        <w:t>transfers</w:t>
      </w:r>
      <w:r>
        <w:t>;</w:t>
      </w:r>
      <w:proofErr w:type="gramEnd"/>
    </w:p>
    <w:p w14:paraId="0B30F8A7" w14:textId="31D57098" w:rsidR="00524F10" w:rsidRPr="00580A23" w:rsidRDefault="00524F10" w:rsidP="00AC69A1">
      <w:pPr>
        <w:pStyle w:val="00Bullet1"/>
        <w:numPr>
          <w:ilvl w:val="0"/>
          <w:numId w:val="44"/>
        </w:numPr>
        <w:spacing w:after="120"/>
        <w:ind w:left="504"/>
      </w:pPr>
      <w:r>
        <w:t>Inputs from rising g</w:t>
      </w:r>
      <w:r w:rsidRPr="00580A23">
        <w:t>roundwater</w:t>
      </w:r>
      <w:r w:rsidR="004F52E7">
        <w:t xml:space="preserve">, where </w:t>
      </w:r>
      <w:proofErr w:type="gramStart"/>
      <w:r w:rsidR="004F52E7">
        <w:t>present</w:t>
      </w:r>
      <w:r>
        <w:t>;</w:t>
      </w:r>
      <w:proofErr w:type="gramEnd"/>
    </w:p>
    <w:p w14:paraId="70BFD2AA" w14:textId="77777777" w:rsidR="00524F10" w:rsidRDefault="00524F10" w:rsidP="00AC69A1">
      <w:pPr>
        <w:pStyle w:val="00Bullet1"/>
        <w:numPr>
          <w:ilvl w:val="0"/>
          <w:numId w:val="44"/>
        </w:numPr>
        <w:spacing w:after="120"/>
        <w:ind w:left="504"/>
      </w:pPr>
      <w:r w:rsidRPr="00580A23">
        <w:t xml:space="preserve">Urban water waste from excess irrigation and other outdoor water </w:t>
      </w:r>
      <w:proofErr w:type="gramStart"/>
      <w:r w:rsidRPr="00580A23">
        <w:t>uses</w:t>
      </w:r>
      <w:r>
        <w:t>;</w:t>
      </w:r>
      <w:proofErr w:type="gramEnd"/>
    </w:p>
    <w:p w14:paraId="0A01C636" w14:textId="77553B81" w:rsidR="00524F10" w:rsidRPr="00580A23" w:rsidRDefault="00524F10" w:rsidP="00AC69A1">
      <w:pPr>
        <w:pStyle w:val="00Bullet1"/>
        <w:numPr>
          <w:ilvl w:val="0"/>
          <w:numId w:val="44"/>
        </w:numPr>
        <w:spacing w:after="120"/>
        <w:ind w:left="504"/>
      </w:pPr>
      <w:r w:rsidRPr="00580A23">
        <w:t xml:space="preserve">Other authorized discharges (as defined by </w:t>
      </w:r>
      <w:r>
        <w:t xml:space="preserve">the MS4 or Santa Ana Region General Waste Discharge Requirements (WDR) for </w:t>
      </w:r>
      <w:r w:rsidR="00EF71FE">
        <w:t>insignificant (</w:t>
      </w:r>
      <w:r>
        <w:t>de minimis</w:t>
      </w:r>
      <w:r w:rsidR="00EF71FE">
        <w:t>)</w:t>
      </w:r>
      <w:r>
        <w:t xml:space="preserve"> discharges (</w:t>
      </w:r>
      <w:hyperlink r:id="rId26" w:history="1">
        <w:r w:rsidRPr="00355DD0">
          <w:t>R8-2015-0004</w:t>
        </w:r>
      </w:hyperlink>
      <w:r>
        <w:t>); and</w:t>
      </w:r>
    </w:p>
    <w:p w14:paraId="011DC23D" w14:textId="77777777" w:rsidR="00524F10" w:rsidRPr="00580A23" w:rsidRDefault="00524F10" w:rsidP="00AC69A1">
      <w:pPr>
        <w:pStyle w:val="00Bullet1"/>
        <w:numPr>
          <w:ilvl w:val="0"/>
          <w:numId w:val="44"/>
        </w:numPr>
        <w:spacing w:after="120"/>
        <w:ind w:left="504"/>
      </w:pPr>
      <w:r w:rsidRPr="00580A23">
        <w:lastRenderedPageBreak/>
        <w:t>Non-permitted</w:t>
      </w:r>
      <w:r>
        <w:t>, prohibited</w:t>
      </w:r>
      <w:r w:rsidRPr="00580A23">
        <w:t xml:space="preserve"> discharges</w:t>
      </w:r>
      <w:r>
        <w:t>.</w:t>
      </w:r>
    </w:p>
    <w:p w14:paraId="6DB14F9C" w14:textId="77777777" w:rsidR="00524F10" w:rsidRPr="008C75E5" w:rsidRDefault="00524F10" w:rsidP="00524F10">
      <w:pPr>
        <w:pStyle w:val="BodyText"/>
      </w:pPr>
      <w:r w:rsidRPr="008C75E5">
        <w:t xml:space="preserve">Each of these </w:t>
      </w:r>
      <w:r>
        <w:t xml:space="preserve">non-POTW </w:t>
      </w:r>
      <w:r w:rsidRPr="008C75E5">
        <w:t>sources of</w:t>
      </w:r>
      <w:r>
        <w:t xml:space="preserve"> flow in the watershed has the p</w:t>
      </w:r>
      <w:r w:rsidRPr="008C75E5">
        <w:t xml:space="preserve">otential to transport bacteria to </w:t>
      </w:r>
      <w:r>
        <w:t xml:space="preserve">or within an impaired </w:t>
      </w:r>
      <w:proofErr w:type="gramStart"/>
      <w:r>
        <w:t>waterbody</w:t>
      </w:r>
      <w:proofErr w:type="gramEnd"/>
      <w:r>
        <w:t>.</w:t>
      </w:r>
      <w:r w:rsidRPr="008C75E5">
        <w:t xml:space="preserve"> Thus, it is important to understand the relative role of each of these categories of DWF.</w:t>
      </w:r>
      <w:r>
        <w:rPr>
          <w:rStyle w:val="FootnoteReference"/>
        </w:rPr>
        <w:footnoteReference w:id="14"/>
      </w:r>
      <w:r w:rsidRPr="008C75E5">
        <w:t xml:space="preserve"> Additionally, some sources of bacteria are not transported to receiving </w:t>
      </w:r>
      <w:proofErr w:type="gramStart"/>
      <w:r w:rsidRPr="008C75E5">
        <w:t>waters</w:t>
      </w:r>
      <w:proofErr w:type="gramEnd"/>
      <w:r w:rsidRPr="008C75E5">
        <w:t xml:space="preserve"> </w:t>
      </w:r>
      <w:r>
        <w:t xml:space="preserve">through </w:t>
      </w:r>
      <w:r w:rsidRPr="008C75E5">
        <w:t>DWF</w:t>
      </w:r>
      <w:r>
        <w:t xml:space="preserve">, e.g., </w:t>
      </w:r>
      <w:r w:rsidRPr="008C75E5">
        <w:t>fecal deposition from</w:t>
      </w:r>
      <w:r>
        <w:t xml:space="preserve"> </w:t>
      </w:r>
      <w:r w:rsidRPr="008C75E5">
        <w:t>wildlife, re-suspension of bacteria in channel bottom sediment</w:t>
      </w:r>
      <w:r>
        <w:t>s</w:t>
      </w:r>
      <w:r w:rsidRPr="008C75E5">
        <w:t xml:space="preserve">, shedding from swimmers, or activities around transient encampments. </w:t>
      </w:r>
    </w:p>
    <w:p w14:paraId="46480F61" w14:textId="6A686DB4" w:rsidR="00524F10" w:rsidRDefault="00524F10" w:rsidP="00524F10">
      <w:pPr>
        <w:pStyle w:val="BodyText"/>
      </w:pPr>
      <w:r>
        <w:t>The 20</w:t>
      </w:r>
      <w:r w:rsidR="00F77452">
        <w:t>25</w:t>
      </w:r>
      <w:r>
        <w:t xml:space="preserve"> Synoptic Study focused sample collection only on </w:t>
      </w:r>
      <w:r w:rsidR="00D10B38">
        <w:t xml:space="preserve">tributary </w:t>
      </w:r>
      <w:r>
        <w:t>waterbodies that are known to contribute DWF to the impaired waters. Areas that do not contribute DWF were excluded from the study; these sites were identified based on findings from previous studies in the watershed (e.g., SAWPA 2009, 2013</w:t>
      </w:r>
      <w:r w:rsidR="004E0551">
        <w:t>, 2017</w:t>
      </w:r>
      <w:r w:rsidR="00604A90">
        <w:t xml:space="preserve">, 2020, </w:t>
      </w:r>
      <w:r w:rsidR="00B74C2D">
        <w:t xml:space="preserve">RCFC&amp;WCD </w:t>
      </w:r>
      <w:r w:rsidR="00604A90">
        <w:t>2023</w:t>
      </w:r>
      <w:r w:rsidR="0056381E">
        <w:t>, 2025</w:t>
      </w:r>
      <w:r>
        <w:t>) and knowledge gained by MS4 Permittees over time</w:t>
      </w:r>
      <w:r w:rsidRPr="008C75E5">
        <w:t>.</w:t>
      </w:r>
      <w:r>
        <w:t xml:space="preserve"> </w:t>
      </w:r>
    </w:p>
    <w:p w14:paraId="5540BBBB" w14:textId="6064E25A" w:rsidR="001209BC" w:rsidRDefault="001209BC" w:rsidP="001209BC">
      <w:pPr>
        <w:pStyle w:val="Heading3"/>
      </w:pPr>
      <w:bookmarkStart w:id="61" w:name="_Toc217410155"/>
      <w:r>
        <w:t>Hydrologic Disconnection</w:t>
      </w:r>
      <w:bookmarkEnd w:id="61"/>
    </w:p>
    <w:p w14:paraId="18754244" w14:textId="01995410" w:rsidR="00524F10" w:rsidRDefault="00524F10" w:rsidP="00524F10">
      <w:pPr>
        <w:pStyle w:val="BodyText"/>
      </w:pPr>
      <w:r w:rsidRPr="00175F3D">
        <w:t>The MSAR watershed covers approximately 477,000 acres</w:t>
      </w:r>
      <w:r>
        <w:t xml:space="preserve">, including the Temescal Creek watershed (which is not listed as impaired for bacterial indicators). </w:t>
      </w:r>
      <w:r w:rsidRPr="007D419C">
        <w:rPr>
          <w:b/>
        </w:rPr>
        <w:t>Table 3-1</w:t>
      </w:r>
      <w:r w:rsidRPr="007D419C">
        <w:t xml:space="preserve"> s</w:t>
      </w:r>
      <w:r>
        <w:t>ummarizes how this acreage is categorized by jurisdiction</w:t>
      </w:r>
      <w:r w:rsidRPr="00175F3D">
        <w:t>.</w:t>
      </w:r>
      <w:r>
        <w:rPr>
          <w:b/>
        </w:rPr>
        <w:t xml:space="preserve"> </w:t>
      </w:r>
      <w:r w:rsidRPr="00790F0B">
        <w:rPr>
          <w:b/>
        </w:rPr>
        <w:t>Figure 3-1</w:t>
      </w:r>
      <w:r w:rsidRPr="008C75E5">
        <w:t xml:space="preserve"> </w:t>
      </w:r>
      <w:r>
        <w:t xml:space="preserve">illustrates the categorization of the drainage areas upstream of Synoptic Study Tier 1 sites, including the portions of the watershed that are either hydrologically disconnected or </w:t>
      </w:r>
      <w:r w:rsidR="009B3EB0">
        <w:t>not drained by an MS4 network</w:t>
      </w:r>
      <w:r>
        <w:t>.</w:t>
      </w:r>
    </w:p>
    <w:p w14:paraId="657BEFDC" w14:textId="2F7A411C" w:rsidR="00524F10" w:rsidRDefault="00524F10" w:rsidP="00524F10">
      <w:pPr>
        <w:pStyle w:val="BodyText"/>
        <w:spacing w:after="120"/>
      </w:pPr>
      <w:r w:rsidRPr="008C75E5">
        <w:t>The extent of hydrologically disconnected</w:t>
      </w:r>
      <w:r>
        <w:t xml:space="preserve"> areas</w:t>
      </w:r>
      <w:r w:rsidRPr="008C75E5">
        <w:t xml:space="preserve"> has </w:t>
      </w:r>
      <w:r>
        <w:t>been refined over time through the implementation of source evaluation studies.</w:t>
      </w:r>
      <w:r w:rsidRPr="008C75E5">
        <w:t xml:space="preserve"> </w:t>
      </w:r>
      <w:r>
        <w:t xml:space="preserve">For example, in 2012 DWFs were evaluated at a total of 30 Tier 1 sites. In 2019, the number of Tier 1 outfalls with DWF was reduced </w:t>
      </w:r>
      <w:r>
        <w:br/>
        <w:t>to 14.</w:t>
      </w:r>
      <w:r>
        <w:rPr>
          <w:rStyle w:val="FootnoteReference"/>
        </w:rPr>
        <w:footnoteReference w:id="15"/>
      </w:r>
      <w:r>
        <w:t xml:space="preserve"> </w:t>
      </w:r>
      <w:r w:rsidR="00604A90">
        <w:t xml:space="preserve">In 2025, </w:t>
      </w:r>
      <w:r w:rsidR="003C06A2">
        <w:t xml:space="preserve">11 Tier 1 outfalls with DWF were evaluated to represent the total inflow from MS4 sources to the MSAR TMDL waters. </w:t>
      </w:r>
      <w:r>
        <w:t>The combined drainage area of these 14 sites that contribute urban DWF to an impaired downstream waterbody is approximately 78,000 acres (or about 16% of the MSAR watershed</w:t>
      </w:r>
      <w:r w:rsidR="009B3EB0">
        <w:t xml:space="preserve">. </w:t>
      </w:r>
      <w:r>
        <w:t xml:space="preserve">This contributing drainage area </w:t>
      </w:r>
      <w:r w:rsidRPr="008C75E5">
        <w:t>include</w:t>
      </w:r>
      <w:r>
        <w:t>s</w:t>
      </w:r>
      <w:r w:rsidRPr="008C75E5">
        <w:t xml:space="preserve"> a mix of urban and agricultural land uses, intersect</w:t>
      </w:r>
      <w:r>
        <w:t>s</w:t>
      </w:r>
      <w:r w:rsidRPr="008C75E5">
        <w:t xml:space="preserve"> multiple jurisdictions, and experience different non-MS4 discharges during dry weather. </w:t>
      </w:r>
      <w:r>
        <w:t xml:space="preserve">The remaining 84% of the MSAR watershed includes </w:t>
      </w:r>
      <w:r w:rsidR="00F17D20">
        <w:t xml:space="preserve">other </w:t>
      </w:r>
      <w:r>
        <w:t xml:space="preserve">drainage areas described as follows (see </w:t>
      </w:r>
      <w:r w:rsidRPr="00835530">
        <w:t>Figure 3-1</w:t>
      </w:r>
      <w:r>
        <w:t xml:space="preserve">): </w:t>
      </w:r>
    </w:p>
    <w:p w14:paraId="177B2EBA" w14:textId="77777777" w:rsidR="00946F54" w:rsidRDefault="00946F54" w:rsidP="00AC69A1">
      <w:pPr>
        <w:pStyle w:val="00Bullet1"/>
        <w:numPr>
          <w:ilvl w:val="0"/>
          <w:numId w:val="45"/>
        </w:numPr>
        <w:spacing w:after="120"/>
        <w:ind w:left="504"/>
      </w:pPr>
      <w:r>
        <w:t>Hydrologically disconnected during dry weather conditions (</w:t>
      </w:r>
      <w:r w:rsidRPr="008C75E5">
        <w:t>4</w:t>
      </w:r>
      <w:r>
        <w:t>5%</w:t>
      </w:r>
      <w:proofErr w:type="gramStart"/>
      <w:r>
        <w:t>);</w:t>
      </w:r>
      <w:proofErr w:type="gramEnd"/>
    </w:p>
    <w:p w14:paraId="6BBC62BE" w14:textId="77777777" w:rsidR="00946F54" w:rsidRDefault="00946F54" w:rsidP="00AC69A1">
      <w:pPr>
        <w:pStyle w:val="00Bullet1"/>
        <w:numPr>
          <w:ilvl w:val="0"/>
          <w:numId w:val="45"/>
        </w:numPr>
        <w:spacing w:after="120"/>
        <w:ind w:left="504"/>
      </w:pPr>
      <w:r>
        <w:t xml:space="preserve">Not tributary to an impaired waterbody (e.g., Temescal Creek) (28%); and </w:t>
      </w:r>
    </w:p>
    <w:p w14:paraId="7C67FB83" w14:textId="77777777" w:rsidR="00F33FD0" w:rsidRDefault="00946F54" w:rsidP="00F33FD0">
      <w:pPr>
        <w:pStyle w:val="00Bullet1"/>
        <w:numPr>
          <w:ilvl w:val="0"/>
          <w:numId w:val="45"/>
        </w:numPr>
        <w:spacing w:after="240"/>
        <w:ind w:left="504"/>
      </w:pPr>
      <w:r>
        <w:lastRenderedPageBreak/>
        <w:t>L</w:t>
      </w:r>
      <w:r w:rsidRPr="008C75E5">
        <w:t>imited drainage infrastructure or evidence of DWF connectivity</w:t>
      </w:r>
      <w:r>
        <w:t xml:space="preserve"> (10%)</w:t>
      </w:r>
      <w:r w:rsidRPr="008C75E5">
        <w:t>.</w:t>
      </w:r>
      <w:r>
        <w:t xml:space="preserve"> These areas include riparian zones where no MS4 infrastructure is present and the agricultural area in the Chino basin (e.g., around Prado Lake).</w:t>
      </w:r>
    </w:p>
    <w:p w14:paraId="2B4D2741" w14:textId="1A6A55BD" w:rsidR="002F13CA" w:rsidRDefault="00D709B2" w:rsidP="00F33FD0">
      <w:pPr>
        <w:pStyle w:val="00Bullet1"/>
        <w:numPr>
          <w:ilvl w:val="0"/>
          <w:numId w:val="0"/>
        </w:numPr>
      </w:pPr>
      <w:r>
        <w:rPr>
          <w:noProof/>
        </w:rPr>
        <w:drawing>
          <wp:inline distT="0" distB="0" distL="0" distR="0" wp14:anchorId="41D37C3C" wp14:editId="6DF2E5E4">
            <wp:extent cx="5139019" cy="6496050"/>
            <wp:effectExtent l="19050" t="19050" r="24130" b="19050"/>
            <wp:docPr id="26392857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28577" name="Picture 1" descr="A map of a city&#10;&#10;AI-generated content may be incorrect."/>
                    <pic:cNvPicPr/>
                  </pic:nvPicPr>
                  <pic:blipFill rotWithShape="1">
                    <a:blip r:embed="rId27">
                      <a:extLst>
                        <a:ext uri="{28A0092B-C50C-407E-A947-70E740481C1C}">
                          <a14:useLocalDpi xmlns:a14="http://schemas.microsoft.com/office/drawing/2010/main" val="0"/>
                        </a:ext>
                      </a:extLst>
                    </a:blip>
                    <a:srcRect l="2222" t="1508" r="1000" b="728"/>
                    <a:stretch>
                      <a:fillRect/>
                    </a:stretch>
                  </pic:blipFill>
                  <pic:spPr bwMode="auto">
                    <a:xfrm>
                      <a:off x="0" y="0"/>
                      <a:ext cx="5139019" cy="64960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F13CA" w:rsidRPr="00F33FD0">
        <w:rPr>
          <w:b/>
        </w:rPr>
        <w:t xml:space="preserve"> </w:t>
      </w:r>
    </w:p>
    <w:p w14:paraId="15271F64" w14:textId="0C8B72A9" w:rsidR="009E17FD" w:rsidRDefault="00F33FD0" w:rsidP="00F33FD0">
      <w:pPr>
        <w:pStyle w:val="Caption"/>
      </w:pPr>
      <w:bookmarkStart w:id="62" w:name="_Toc217394559"/>
      <w:bookmarkStart w:id="63" w:name="_Toc217394754"/>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w:t>
      </w:r>
      <w:r w:rsidR="0023167A">
        <w:fldChar w:fldCharType="end"/>
      </w:r>
      <w:r>
        <w:t xml:space="preserve">. </w:t>
      </w:r>
      <w:r w:rsidRPr="00F33FD0">
        <w:t>Map of Tier 1 Subwatersheds and Hydrologically Disconnected Drainage Areas during Dry Weather</w:t>
      </w:r>
      <w:bookmarkEnd w:id="62"/>
      <w:bookmarkEnd w:id="63"/>
    </w:p>
    <w:p w14:paraId="7226B513" w14:textId="77777777" w:rsidR="009E17FD" w:rsidRDefault="009E17FD" w:rsidP="004F52E7">
      <w:pPr>
        <w:pStyle w:val="00Bullet1"/>
        <w:numPr>
          <w:ilvl w:val="0"/>
          <w:numId w:val="0"/>
        </w:numPr>
        <w:spacing w:after="240"/>
      </w:pPr>
    </w:p>
    <w:tbl>
      <w:tblPr>
        <w:tblStyle w:val="TableGrid"/>
        <w:tblW w:w="0" w:type="auto"/>
        <w:tblLayout w:type="fixed"/>
        <w:tblLook w:val="04A0" w:firstRow="1" w:lastRow="0" w:firstColumn="1" w:lastColumn="0" w:noHBand="0" w:noVBand="1"/>
      </w:tblPr>
      <w:tblGrid>
        <w:gridCol w:w="2160"/>
        <w:gridCol w:w="810"/>
        <w:gridCol w:w="1085"/>
        <w:gridCol w:w="1210"/>
        <w:gridCol w:w="1463"/>
        <w:gridCol w:w="1218"/>
        <w:gridCol w:w="1054"/>
      </w:tblGrid>
      <w:tr w:rsidR="00D05778" w:rsidRPr="00AE080E" w14:paraId="3ED57E50" w14:textId="77777777" w:rsidTr="00922172">
        <w:trPr>
          <w:trHeight w:val="270"/>
          <w:tblHeader/>
        </w:trPr>
        <w:tc>
          <w:tcPr>
            <w:tcW w:w="9000" w:type="dxa"/>
            <w:gridSpan w:val="7"/>
            <w:tcBorders>
              <w:top w:val="nil"/>
              <w:left w:val="nil"/>
              <w:bottom w:val="single" w:sz="4" w:space="0" w:color="auto"/>
              <w:right w:val="nil"/>
            </w:tcBorders>
          </w:tcPr>
          <w:p w14:paraId="6CE8ECE8" w14:textId="440311C5" w:rsidR="00D05778" w:rsidRPr="00AE080E" w:rsidRDefault="00A41B16" w:rsidP="00A94C91">
            <w:pPr>
              <w:pStyle w:val="TableTitle"/>
            </w:pPr>
            <w:bookmarkStart w:id="64" w:name="_Toc217391758"/>
            <w:r>
              <w:lastRenderedPageBreak/>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w:t>
            </w:r>
            <w:r w:rsidR="00FE614C">
              <w:fldChar w:fldCharType="end"/>
            </w:r>
            <w:r>
              <w:t>.</w:t>
            </w:r>
            <w:r w:rsidRPr="00A41B16">
              <w:t xml:space="preserve"> </w:t>
            </w:r>
            <w:r w:rsidRPr="00AE080E">
              <w:t xml:space="preserve">Categorized Acreage in Each Jurisdiction </w:t>
            </w:r>
            <w:r>
              <w:t>with</w:t>
            </w:r>
            <w:r w:rsidRPr="00AE080E">
              <w:t>in the MSAR Watershed</w:t>
            </w:r>
            <w:bookmarkEnd w:id="64"/>
          </w:p>
        </w:tc>
      </w:tr>
      <w:tr w:rsidR="00946F54" w14:paraId="197443F0" w14:textId="77777777" w:rsidTr="00922172">
        <w:trPr>
          <w:trHeight w:val="620"/>
          <w:tblHeader/>
        </w:trPr>
        <w:tc>
          <w:tcPr>
            <w:tcW w:w="2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5B8A9F" w14:textId="77777777" w:rsidR="00D05778" w:rsidRPr="002714B2" w:rsidRDefault="00D05778" w:rsidP="001502AA">
            <w:pPr>
              <w:spacing w:line="240" w:lineRule="auto"/>
              <w:ind w:left="-110"/>
              <w:jc w:val="center"/>
              <w:rPr>
                <w:rFonts w:ascii="Arial" w:hAnsi="Arial" w:cs="Arial"/>
                <w:b/>
                <w:sz w:val="18"/>
                <w:szCs w:val="18"/>
              </w:rPr>
            </w:pPr>
            <w:r w:rsidRPr="002714B2">
              <w:rPr>
                <w:rFonts w:ascii="Arial" w:hAnsi="Arial" w:cs="Arial"/>
                <w:b/>
                <w:sz w:val="18"/>
                <w:szCs w:val="18"/>
              </w:rPr>
              <w:t>Jurisdiction</w:t>
            </w:r>
          </w:p>
        </w:tc>
        <w:tc>
          <w:tcPr>
            <w:tcW w:w="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E1BB26" w14:textId="77382927" w:rsidR="00D05778" w:rsidRPr="002714B2" w:rsidRDefault="00946F54" w:rsidP="001502AA">
            <w:pPr>
              <w:spacing w:line="240" w:lineRule="auto"/>
              <w:ind w:left="-110"/>
              <w:jc w:val="center"/>
              <w:rPr>
                <w:rFonts w:ascii="Arial" w:hAnsi="Arial" w:cs="Arial"/>
                <w:b/>
                <w:sz w:val="18"/>
                <w:szCs w:val="18"/>
              </w:rPr>
            </w:pPr>
            <w:r w:rsidRPr="002714B2">
              <w:rPr>
                <w:rFonts w:ascii="Arial" w:hAnsi="Arial" w:cs="Arial"/>
                <w:b/>
                <w:sz w:val="18"/>
                <w:szCs w:val="18"/>
              </w:rPr>
              <w:t xml:space="preserve">Active </w:t>
            </w:r>
            <w:r w:rsidR="00D05778" w:rsidRPr="002714B2">
              <w:rPr>
                <w:rFonts w:ascii="Arial" w:hAnsi="Arial" w:cs="Arial"/>
                <w:b/>
                <w:sz w:val="18"/>
                <w:szCs w:val="18"/>
              </w:rPr>
              <w:t>DWF</w:t>
            </w:r>
          </w:p>
        </w:tc>
        <w:tc>
          <w:tcPr>
            <w:tcW w:w="10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D55BED" w14:textId="5793A447" w:rsidR="00D05778" w:rsidRPr="002714B2" w:rsidRDefault="00D05778" w:rsidP="001502AA">
            <w:pPr>
              <w:spacing w:line="240" w:lineRule="auto"/>
              <w:ind w:left="-110"/>
              <w:jc w:val="center"/>
              <w:rPr>
                <w:rFonts w:ascii="Arial" w:hAnsi="Arial" w:cs="Arial"/>
                <w:b/>
                <w:sz w:val="18"/>
                <w:szCs w:val="18"/>
              </w:rPr>
            </w:pPr>
            <w:r w:rsidRPr="002714B2">
              <w:rPr>
                <w:rFonts w:ascii="Arial" w:hAnsi="Arial" w:cs="Arial"/>
                <w:b/>
                <w:sz w:val="18"/>
                <w:szCs w:val="18"/>
              </w:rPr>
              <w:t>Other Areas</w:t>
            </w:r>
          </w:p>
        </w:tc>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3452A4" w14:textId="77777777" w:rsidR="00D05778" w:rsidRPr="002714B2" w:rsidRDefault="00D05778" w:rsidP="001502AA">
            <w:pPr>
              <w:spacing w:line="240" w:lineRule="auto"/>
              <w:ind w:left="-110"/>
              <w:jc w:val="center"/>
              <w:rPr>
                <w:rFonts w:ascii="Arial" w:hAnsi="Arial" w:cs="Arial"/>
                <w:b/>
                <w:sz w:val="18"/>
                <w:szCs w:val="18"/>
              </w:rPr>
            </w:pPr>
            <w:r w:rsidRPr="002714B2">
              <w:rPr>
                <w:rFonts w:ascii="Arial" w:hAnsi="Arial" w:cs="Arial"/>
                <w:b/>
                <w:sz w:val="18"/>
                <w:szCs w:val="18"/>
              </w:rPr>
              <w:t>Temescal Watershed</w:t>
            </w:r>
          </w:p>
        </w:tc>
        <w:tc>
          <w:tcPr>
            <w:tcW w:w="14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531240" w14:textId="77777777" w:rsidR="00D05778" w:rsidRPr="002714B2" w:rsidRDefault="00D05778" w:rsidP="001502AA">
            <w:pPr>
              <w:spacing w:line="240" w:lineRule="auto"/>
              <w:ind w:left="-110"/>
              <w:jc w:val="center"/>
              <w:rPr>
                <w:rFonts w:ascii="Arial" w:hAnsi="Arial" w:cs="Arial"/>
                <w:b/>
                <w:sz w:val="18"/>
                <w:szCs w:val="18"/>
              </w:rPr>
            </w:pPr>
            <w:r w:rsidRPr="002714B2">
              <w:rPr>
                <w:rFonts w:ascii="Arial" w:hAnsi="Arial" w:cs="Arial"/>
                <w:b/>
                <w:sz w:val="18"/>
                <w:szCs w:val="18"/>
              </w:rPr>
              <w:t>Hydrologically Disconnected</w:t>
            </w:r>
          </w:p>
        </w:tc>
        <w:tc>
          <w:tcPr>
            <w:tcW w:w="12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F015B0" w14:textId="77777777" w:rsidR="00D05778" w:rsidRPr="002714B2" w:rsidRDefault="00D05778" w:rsidP="001502AA">
            <w:pPr>
              <w:spacing w:line="240" w:lineRule="auto"/>
              <w:ind w:left="-100"/>
              <w:jc w:val="center"/>
              <w:rPr>
                <w:rFonts w:ascii="Arial" w:hAnsi="Arial" w:cs="Arial"/>
                <w:b/>
                <w:sz w:val="18"/>
                <w:szCs w:val="18"/>
              </w:rPr>
            </w:pPr>
            <w:r w:rsidRPr="002714B2">
              <w:rPr>
                <w:rFonts w:ascii="Arial" w:hAnsi="Arial" w:cs="Arial"/>
                <w:b/>
                <w:sz w:val="18"/>
                <w:szCs w:val="18"/>
              </w:rPr>
              <w:t>Prado Park Lake Watershed</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7CE544" w14:textId="77777777" w:rsidR="00D05778" w:rsidRPr="002714B2" w:rsidRDefault="00D05778" w:rsidP="001502AA">
            <w:pPr>
              <w:spacing w:line="240" w:lineRule="auto"/>
              <w:ind w:left="-100"/>
              <w:jc w:val="center"/>
              <w:rPr>
                <w:rFonts w:ascii="Arial" w:hAnsi="Arial" w:cs="Arial"/>
                <w:b/>
                <w:sz w:val="18"/>
                <w:szCs w:val="18"/>
              </w:rPr>
            </w:pPr>
            <w:r w:rsidRPr="002714B2">
              <w:rPr>
                <w:rFonts w:ascii="Arial" w:hAnsi="Arial" w:cs="Arial"/>
                <w:b/>
                <w:sz w:val="18"/>
                <w:szCs w:val="18"/>
              </w:rPr>
              <w:t>Grand Total</w:t>
            </w:r>
          </w:p>
        </w:tc>
      </w:tr>
      <w:tr w:rsidR="00D05778" w14:paraId="04931FA4" w14:textId="77777777" w:rsidTr="00922172">
        <w:trPr>
          <w:trHeight w:val="345"/>
        </w:trPr>
        <w:tc>
          <w:tcPr>
            <w:tcW w:w="9000" w:type="dxa"/>
            <w:gridSpan w:val="7"/>
            <w:tcBorders>
              <w:top w:val="single" w:sz="4" w:space="0" w:color="auto"/>
              <w:left w:val="single" w:sz="8" w:space="0" w:color="000000" w:themeColor="text1"/>
              <w:right w:val="single" w:sz="8" w:space="0" w:color="000000" w:themeColor="text1"/>
            </w:tcBorders>
            <w:shd w:val="clear" w:color="auto" w:fill="F2F2F2" w:themeFill="background1" w:themeFillShade="F2"/>
            <w:vAlign w:val="center"/>
          </w:tcPr>
          <w:p w14:paraId="1C5F06C3" w14:textId="77777777" w:rsidR="00D05778" w:rsidRPr="002714B2" w:rsidRDefault="00D05778" w:rsidP="001502AA">
            <w:pPr>
              <w:spacing w:line="240" w:lineRule="auto"/>
              <w:jc w:val="center"/>
              <w:rPr>
                <w:rFonts w:ascii="Arial" w:hAnsi="Arial" w:cs="Arial"/>
                <w:b/>
                <w:bCs/>
                <w:sz w:val="18"/>
                <w:szCs w:val="18"/>
              </w:rPr>
            </w:pPr>
            <w:r w:rsidRPr="002714B2">
              <w:rPr>
                <w:rFonts w:ascii="Arial" w:hAnsi="Arial" w:cs="Arial"/>
                <w:b/>
                <w:bCs/>
                <w:sz w:val="18"/>
                <w:szCs w:val="18"/>
              </w:rPr>
              <w:t>San Bernardino County</w:t>
            </w:r>
          </w:p>
        </w:tc>
      </w:tr>
      <w:tr w:rsidR="00C92B12" w14:paraId="38D6B452" w14:textId="77777777" w:rsidTr="00C92B12">
        <w:trPr>
          <w:trHeight w:val="345"/>
        </w:trPr>
        <w:tc>
          <w:tcPr>
            <w:tcW w:w="2160" w:type="dxa"/>
            <w:tcBorders>
              <w:left w:val="single" w:sz="8" w:space="0" w:color="000000" w:themeColor="text1"/>
            </w:tcBorders>
            <w:vAlign w:val="center"/>
          </w:tcPr>
          <w:p w14:paraId="77E394F3" w14:textId="4EE8E065"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Chino</w:t>
            </w:r>
          </w:p>
        </w:tc>
        <w:tc>
          <w:tcPr>
            <w:tcW w:w="810" w:type="dxa"/>
            <w:tcBorders>
              <w:top w:val="nil"/>
              <w:left w:val="nil"/>
              <w:bottom w:val="single" w:sz="8" w:space="0" w:color="auto"/>
              <w:right w:val="single" w:sz="8" w:space="0" w:color="auto"/>
            </w:tcBorders>
            <w:vAlign w:val="center"/>
          </w:tcPr>
          <w:p w14:paraId="70D6258F" w14:textId="24B72111"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4,453</w:t>
            </w:r>
          </w:p>
        </w:tc>
        <w:tc>
          <w:tcPr>
            <w:tcW w:w="1085" w:type="dxa"/>
            <w:tcBorders>
              <w:top w:val="nil"/>
              <w:left w:val="nil"/>
              <w:bottom w:val="single" w:sz="8" w:space="0" w:color="auto"/>
              <w:right w:val="single" w:sz="8" w:space="0" w:color="auto"/>
            </w:tcBorders>
            <w:vAlign w:val="center"/>
          </w:tcPr>
          <w:p w14:paraId="626BE5BE" w14:textId="5CD01A91"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5,565</w:t>
            </w:r>
          </w:p>
        </w:tc>
        <w:tc>
          <w:tcPr>
            <w:tcW w:w="1210" w:type="dxa"/>
            <w:tcBorders>
              <w:top w:val="nil"/>
              <w:left w:val="nil"/>
              <w:bottom w:val="single" w:sz="8" w:space="0" w:color="auto"/>
              <w:right w:val="single" w:sz="8" w:space="0" w:color="auto"/>
            </w:tcBorders>
            <w:vAlign w:val="center"/>
          </w:tcPr>
          <w:p w14:paraId="6059A188" w14:textId="02EB145C"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6996D3BE" w14:textId="26732A65"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5,304</w:t>
            </w:r>
          </w:p>
        </w:tc>
        <w:tc>
          <w:tcPr>
            <w:tcW w:w="1218" w:type="dxa"/>
            <w:tcBorders>
              <w:top w:val="nil"/>
              <w:left w:val="nil"/>
              <w:bottom w:val="single" w:sz="8" w:space="0" w:color="auto"/>
              <w:right w:val="single" w:sz="8" w:space="0" w:color="auto"/>
            </w:tcBorders>
            <w:vAlign w:val="center"/>
          </w:tcPr>
          <w:p w14:paraId="5A460B18" w14:textId="25925691"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3,898</w:t>
            </w:r>
          </w:p>
        </w:tc>
        <w:tc>
          <w:tcPr>
            <w:tcW w:w="1054" w:type="dxa"/>
            <w:tcBorders>
              <w:top w:val="nil"/>
              <w:left w:val="nil"/>
              <w:bottom w:val="single" w:sz="8" w:space="0" w:color="auto"/>
              <w:right w:val="single" w:sz="8" w:space="0" w:color="auto"/>
            </w:tcBorders>
            <w:vAlign w:val="center"/>
          </w:tcPr>
          <w:p w14:paraId="4C248736" w14:textId="490F4607"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19,220</w:t>
            </w:r>
          </w:p>
        </w:tc>
      </w:tr>
      <w:tr w:rsidR="00C92B12" w14:paraId="58338D23" w14:textId="77777777" w:rsidTr="00C92B12">
        <w:trPr>
          <w:trHeight w:val="345"/>
        </w:trPr>
        <w:tc>
          <w:tcPr>
            <w:tcW w:w="2160" w:type="dxa"/>
            <w:tcBorders>
              <w:left w:val="single" w:sz="8" w:space="0" w:color="000000" w:themeColor="text1"/>
            </w:tcBorders>
            <w:vAlign w:val="center"/>
          </w:tcPr>
          <w:p w14:paraId="1E0F4C30"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Chino Hills</w:t>
            </w:r>
          </w:p>
        </w:tc>
        <w:tc>
          <w:tcPr>
            <w:tcW w:w="810" w:type="dxa"/>
            <w:tcBorders>
              <w:top w:val="nil"/>
              <w:left w:val="nil"/>
              <w:bottom w:val="single" w:sz="8" w:space="0" w:color="auto"/>
              <w:right w:val="single" w:sz="8" w:space="0" w:color="auto"/>
            </w:tcBorders>
            <w:vAlign w:val="center"/>
          </w:tcPr>
          <w:p w14:paraId="4BEA7FDD" w14:textId="5A74223E"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6,728</w:t>
            </w:r>
          </w:p>
        </w:tc>
        <w:tc>
          <w:tcPr>
            <w:tcW w:w="1085" w:type="dxa"/>
            <w:tcBorders>
              <w:top w:val="nil"/>
              <w:left w:val="nil"/>
              <w:bottom w:val="single" w:sz="8" w:space="0" w:color="auto"/>
              <w:right w:val="single" w:sz="8" w:space="0" w:color="auto"/>
            </w:tcBorders>
            <w:vAlign w:val="center"/>
          </w:tcPr>
          <w:p w14:paraId="7E38247D" w14:textId="5C114418"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7,561</w:t>
            </w:r>
          </w:p>
        </w:tc>
        <w:tc>
          <w:tcPr>
            <w:tcW w:w="1210" w:type="dxa"/>
            <w:tcBorders>
              <w:top w:val="nil"/>
              <w:left w:val="nil"/>
              <w:bottom w:val="single" w:sz="8" w:space="0" w:color="auto"/>
              <w:right w:val="single" w:sz="8" w:space="0" w:color="auto"/>
            </w:tcBorders>
            <w:vAlign w:val="center"/>
          </w:tcPr>
          <w:p w14:paraId="4ADCBC21" w14:textId="26E980B1"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112A2D69" w14:textId="3D2008AC"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53</w:t>
            </w:r>
          </w:p>
        </w:tc>
        <w:tc>
          <w:tcPr>
            <w:tcW w:w="1218" w:type="dxa"/>
            <w:tcBorders>
              <w:top w:val="nil"/>
              <w:left w:val="nil"/>
              <w:bottom w:val="single" w:sz="8" w:space="0" w:color="auto"/>
              <w:right w:val="single" w:sz="8" w:space="0" w:color="auto"/>
            </w:tcBorders>
            <w:vAlign w:val="center"/>
          </w:tcPr>
          <w:p w14:paraId="1A1CCC72" w14:textId="4CCACE0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124</w:t>
            </w:r>
          </w:p>
        </w:tc>
        <w:tc>
          <w:tcPr>
            <w:tcW w:w="1054" w:type="dxa"/>
            <w:tcBorders>
              <w:top w:val="nil"/>
              <w:left w:val="nil"/>
              <w:bottom w:val="single" w:sz="8" w:space="0" w:color="auto"/>
              <w:right w:val="single" w:sz="8" w:space="0" w:color="auto"/>
            </w:tcBorders>
            <w:vAlign w:val="center"/>
          </w:tcPr>
          <w:p w14:paraId="5DDBE6D6" w14:textId="427F0472"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14,467</w:t>
            </w:r>
          </w:p>
        </w:tc>
      </w:tr>
      <w:tr w:rsidR="00C92B12" w14:paraId="7B833C70" w14:textId="77777777" w:rsidTr="00C92B12">
        <w:trPr>
          <w:trHeight w:val="345"/>
        </w:trPr>
        <w:tc>
          <w:tcPr>
            <w:tcW w:w="2160" w:type="dxa"/>
            <w:tcBorders>
              <w:left w:val="single" w:sz="8" w:space="0" w:color="000000" w:themeColor="text1"/>
            </w:tcBorders>
            <w:vAlign w:val="center"/>
          </w:tcPr>
          <w:p w14:paraId="4CBA590C"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Colton</w:t>
            </w:r>
          </w:p>
        </w:tc>
        <w:tc>
          <w:tcPr>
            <w:tcW w:w="810" w:type="dxa"/>
            <w:tcBorders>
              <w:top w:val="nil"/>
              <w:left w:val="nil"/>
              <w:bottom w:val="single" w:sz="8" w:space="0" w:color="auto"/>
              <w:right w:val="single" w:sz="8" w:space="0" w:color="auto"/>
            </w:tcBorders>
            <w:vAlign w:val="center"/>
          </w:tcPr>
          <w:p w14:paraId="23F6F954" w14:textId="600CF00A"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54C7C86E" w14:textId="1AD4D6C0"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0F6117A7" w14:textId="7D508816"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1AD52688" w14:textId="29894F54"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4,936</w:t>
            </w:r>
          </w:p>
        </w:tc>
        <w:tc>
          <w:tcPr>
            <w:tcW w:w="1218" w:type="dxa"/>
            <w:tcBorders>
              <w:top w:val="nil"/>
              <w:left w:val="nil"/>
              <w:bottom w:val="single" w:sz="8" w:space="0" w:color="auto"/>
              <w:right w:val="single" w:sz="8" w:space="0" w:color="auto"/>
            </w:tcBorders>
            <w:vAlign w:val="center"/>
          </w:tcPr>
          <w:p w14:paraId="7E33E01B" w14:textId="26C6CF7C"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27296E8F" w14:textId="44B1EE7F"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4,936</w:t>
            </w:r>
          </w:p>
        </w:tc>
      </w:tr>
      <w:tr w:rsidR="00C92B12" w14:paraId="64BC5294" w14:textId="77777777" w:rsidTr="00C92B12">
        <w:trPr>
          <w:trHeight w:val="345"/>
        </w:trPr>
        <w:tc>
          <w:tcPr>
            <w:tcW w:w="2160" w:type="dxa"/>
            <w:tcBorders>
              <w:left w:val="single" w:sz="8" w:space="0" w:color="000000" w:themeColor="text1"/>
            </w:tcBorders>
            <w:vAlign w:val="center"/>
          </w:tcPr>
          <w:p w14:paraId="74B28261"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Fontana</w:t>
            </w:r>
          </w:p>
        </w:tc>
        <w:tc>
          <w:tcPr>
            <w:tcW w:w="810" w:type="dxa"/>
            <w:tcBorders>
              <w:top w:val="nil"/>
              <w:left w:val="nil"/>
              <w:bottom w:val="single" w:sz="8" w:space="0" w:color="auto"/>
              <w:right w:val="single" w:sz="8" w:space="0" w:color="auto"/>
            </w:tcBorders>
            <w:vAlign w:val="center"/>
          </w:tcPr>
          <w:p w14:paraId="7F40C071" w14:textId="1148EFF8"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897</w:t>
            </w:r>
          </w:p>
        </w:tc>
        <w:tc>
          <w:tcPr>
            <w:tcW w:w="1085" w:type="dxa"/>
            <w:tcBorders>
              <w:top w:val="nil"/>
              <w:left w:val="nil"/>
              <w:bottom w:val="single" w:sz="8" w:space="0" w:color="auto"/>
              <w:right w:val="single" w:sz="8" w:space="0" w:color="auto"/>
            </w:tcBorders>
            <w:vAlign w:val="center"/>
          </w:tcPr>
          <w:p w14:paraId="72239CF8" w14:textId="1D7171F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35</w:t>
            </w:r>
          </w:p>
        </w:tc>
        <w:tc>
          <w:tcPr>
            <w:tcW w:w="1210" w:type="dxa"/>
            <w:tcBorders>
              <w:top w:val="nil"/>
              <w:left w:val="nil"/>
              <w:bottom w:val="single" w:sz="8" w:space="0" w:color="auto"/>
              <w:right w:val="single" w:sz="8" w:space="0" w:color="auto"/>
            </w:tcBorders>
            <w:vAlign w:val="center"/>
          </w:tcPr>
          <w:p w14:paraId="5B49C1EA" w14:textId="1A1DC687"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37A11689" w14:textId="12A5CD36"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26,677</w:t>
            </w:r>
          </w:p>
        </w:tc>
        <w:tc>
          <w:tcPr>
            <w:tcW w:w="1218" w:type="dxa"/>
            <w:tcBorders>
              <w:top w:val="nil"/>
              <w:left w:val="nil"/>
              <w:bottom w:val="single" w:sz="8" w:space="0" w:color="auto"/>
              <w:right w:val="single" w:sz="8" w:space="0" w:color="auto"/>
            </w:tcBorders>
            <w:vAlign w:val="center"/>
          </w:tcPr>
          <w:p w14:paraId="39EA4828" w14:textId="09B40276"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6BDEFDD2" w14:textId="7848BB9B"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27,609</w:t>
            </w:r>
          </w:p>
        </w:tc>
      </w:tr>
      <w:tr w:rsidR="00C92B12" w14:paraId="425D1BC5" w14:textId="77777777" w:rsidTr="00C92B12">
        <w:trPr>
          <w:trHeight w:val="345"/>
        </w:trPr>
        <w:tc>
          <w:tcPr>
            <w:tcW w:w="2160" w:type="dxa"/>
            <w:tcBorders>
              <w:left w:val="single" w:sz="8" w:space="0" w:color="000000" w:themeColor="text1"/>
            </w:tcBorders>
            <w:vAlign w:val="center"/>
          </w:tcPr>
          <w:p w14:paraId="730B31AE" w14:textId="2B6BB349"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Grand Terrace</w:t>
            </w:r>
          </w:p>
        </w:tc>
        <w:tc>
          <w:tcPr>
            <w:tcW w:w="810" w:type="dxa"/>
            <w:tcBorders>
              <w:top w:val="nil"/>
              <w:left w:val="nil"/>
              <w:bottom w:val="single" w:sz="8" w:space="0" w:color="auto"/>
              <w:right w:val="single" w:sz="8" w:space="0" w:color="auto"/>
            </w:tcBorders>
            <w:vAlign w:val="center"/>
          </w:tcPr>
          <w:p w14:paraId="0F7DE403" w14:textId="7DB3B37E"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6BA10E0B" w14:textId="19DC027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1CA4BCBA" w14:textId="41B36C2B"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76E8E171" w14:textId="708238A8"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1,792</w:t>
            </w:r>
          </w:p>
        </w:tc>
        <w:tc>
          <w:tcPr>
            <w:tcW w:w="1218" w:type="dxa"/>
            <w:tcBorders>
              <w:top w:val="nil"/>
              <w:left w:val="nil"/>
              <w:bottom w:val="single" w:sz="8" w:space="0" w:color="auto"/>
              <w:right w:val="single" w:sz="8" w:space="0" w:color="auto"/>
            </w:tcBorders>
            <w:vAlign w:val="center"/>
          </w:tcPr>
          <w:p w14:paraId="5F1D9CE4" w14:textId="6038CE95"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0E18C5F3" w14:textId="60B5977A"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1,792</w:t>
            </w:r>
          </w:p>
        </w:tc>
      </w:tr>
      <w:tr w:rsidR="00C92B12" w14:paraId="78017A23" w14:textId="77777777" w:rsidTr="00C92B12">
        <w:trPr>
          <w:trHeight w:val="345"/>
        </w:trPr>
        <w:tc>
          <w:tcPr>
            <w:tcW w:w="2160" w:type="dxa"/>
            <w:tcBorders>
              <w:left w:val="single" w:sz="8" w:space="0" w:color="000000" w:themeColor="text1"/>
            </w:tcBorders>
            <w:vAlign w:val="center"/>
          </w:tcPr>
          <w:p w14:paraId="27B8EA2F"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Montclair</w:t>
            </w:r>
          </w:p>
        </w:tc>
        <w:tc>
          <w:tcPr>
            <w:tcW w:w="810" w:type="dxa"/>
            <w:tcBorders>
              <w:top w:val="nil"/>
              <w:left w:val="nil"/>
              <w:bottom w:val="single" w:sz="8" w:space="0" w:color="auto"/>
              <w:right w:val="single" w:sz="8" w:space="0" w:color="auto"/>
            </w:tcBorders>
            <w:vAlign w:val="center"/>
          </w:tcPr>
          <w:p w14:paraId="7BFCCE8F" w14:textId="3E5A0A1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730</w:t>
            </w:r>
          </w:p>
        </w:tc>
        <w:tc>
          <w:tcPr>
            <w:tcW w:w="1085" w:type="dxa"/>
            <w:tcBorders>
              <w:top w:val="nil"/>
              <w:left w:val="nil"/>
              <w:bottom w:val="single" w:sz="8" w:space="0" w:color="auto"/>
              <w:right w:val="single" w:sz="8" w:space="0" w:color="auto"/>
            </w:tcBorders>
            <w:vAlign w:val="center"/>
          </w:tcPr>
          <w:p w14:paraId="2C8D3AB6" w14:textId="4BC1370F"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w:t>
            </w:r>
          </w:p>
        </w:tc>
        <w:tc>
          <w:tcPr>
            <w:tcW w:w="1210" w:type="dxa"/>
            <w:tcBorders>
              <w:top w:val="nil"/>
              <w:left w:val="nil"/>
              <w:bottom w:val="single" w:sz="8" w:space="0" w:color="auto"/>
              <w:right w:val="single" w:sz="8" w:space="0" w:color="auto"/>
            </w:tcBorders>
            <w:vAlign w:val="center"/>
          </w:tcPr>
          <w:p w14:paraId="41122E36" w14:textId="58DDD26E"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71839C24" w14:textId="094EBA02"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2,813</w:t>
            </w:r>
          </w:p>
        </w:tc>
        <w:tc>
          <w:tcPr>
            <w:tcW w:w="1218" w:type="dxa"/>
            <w:tcBorders>
              <w:top w:val="nil"/>
              <w:left w:val="nil"/>
              <w:bottom w:val="single" w:sz="8" w:space="0" w:color="auto"/>
              <w:right w:val="single" w:sz="8" w:space="0" w:color="auto"/>
            </w:tcBorders>
            <w:vAlign w:val="center"/>
          </w:tcPr>
          <w:p w14:paraId="6109F8B4" w14:textId="1173E09E"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5696F352" w14:textId="3E451FF2"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3,544</w:t>
            </w:r>
          </w:p>
        </w:tc>
      </w:tr>
      <w:tr w:rsidR="00C92B12" w14:paraId="27195643" w14:textId="77777777" w:rsidTr="00C92B12">
        <w:trPr>
          <w:trHeight w:val="345"/>
        </w:trPr>
        <w:tc>
          <w:tcPr>
            <w:tcW w:w="2160" w:type="dxa"/>
            <w:tcBorders>
              <w:left w:val="single" w:sz="8" w:space="0" w:color="000000" w:themeColor="text1"/>
            </w:tcBorders>
            <w:vAlign w:val="center"/>
          </w:tcPr>
          <w:p w14:paraId="6BB77963"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Ontario</w:t>
            </w:r>
          </w:p>
        </w:tc>
        <w:tc>
          <w:tcPr>
            <w:tcW w:w="810" w:type="dxa"/>
            <w:tcBorders>
              <w:top w:val="nil"/>
              <w:left w:val="nil"/>
              <w:bottom w:val="single" w:sz="8" w:space="0" w:color="auto"/>
              <w:right w:val="single" w:sz="8" w:space="0" w:color="auto"/>
            </w:tcBorders>
            <w:vAlign w:val="center"/>
          </w:tcPr>
          <w:p w14:paraId="78B8C1B9" w14:textId="501384D7"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15,609</w:t>
            </w:r>
          </w:p>
        </w:tc>
        <w:tc>
          <w:tcPr>
            <w:tcW w:w="1085" w:type="dxa"/>
            <w:tcBorders>
              <w:top w:val="nil"/>
              <w:left w:val="nil"/>
              <w:bottom w:val="single" w:sz="8" w:space="0" w:color="auto"/>
              <w:right w:val="single" w:sz="8" w:space="0" w:color="auto"/>
            </w:tcBorders>
            <w:vAlign w:val="center"/>
          </w:tcPr>
          <w:p w14:paraId="62ECD2A9" w14:textId="71554A22"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490</w:t>
            </w:r>
          </w:p>
        </w:tc>
        <w:tc>
          <w:tcPr>
            <w:tcW w:w="1210" w:type="dxa"/>
            <w:tcBorders>
              <w:top w:val="nil"/>
              <w:left w:val="nil"/>
              <w:bottom w:val="single" w:sz="8" w:space="0" w:color="auto"/>
              <w:right w:val="single" w:sz="8" w:space="0" w:color="auto"/>
            </w:tcBorders>
            <w:vAlign w:val="center"/>
          </w:tcPr>
          <w:p w14:paraId="325A925C" w14:textId="46295603"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57AD9BA7" w14:textId="2B11F73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12,438</w:t>
            </w:r>
          </w:p>
        </w:tc>
        <w:tc>
          <w:tcPr>
            <w:tcW w:w="1218" w:type="dxa"/>
            <w:tcBorders>
              <w:top w:val="nil"/>
              <w:left w:val="nil"/>
              <w:bottom w:val="single" w:sz="8" w:space="0" w:color="auto"/>
              <w:right w:val="single" w:sz="8" w:space="0" w:color="auto"/>
            </w:tcBorders>
            <w:vAlign w:val="center"/>
          </w:tcPr>
          <w:p w14:paraId="3A393367" w14:textId="7B381AE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3,420</w:t>
            </w:r>
          </w:p>
        </w:tc>
        <w:tc>
          <w:tcPr>
            <w:tcW w:w="1054" w:type="dxa"/>
            <w:tcBorders>
              <w:top w:val="nil"/>
              <w:left w:val="nil"/>
              <w:bottom w:val="single" w:sz="8" w:space="0" w:color="auto"/>
              <w:right w:val="single" w:sz="8" w:space="0" w:color="auto"/>
            </w:tcBorders>
            <w:vAlign w:val="center"/>
          </w:tcPr>
          <w:p w14:paraId="3F75D92C" w14:textId="255F674F"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31,958</w:t>
            </w:r>
          </w:p>
        </w:tc>
      </w:tr>
      <w:tr w:rsidR="00C92B12" w14:paraId="1FCE417B" w14:textId="77777777" w:rsidTr="00C92B12">
        <w:trPr>
          <w:trHeight w:val="345"/>
        </w:trPr>
        <w:tc>
          <w:tcPr>
            <w:tcW w:w="2160" w:type="dxa"/>
            <w:tcBorders>
              <w:left w:val="single" w:sz="8" w:space="0" w:color="000000" w:themeColor="text1"/>
            </w:tcBorders>
            <w:vAlign w:val="center"/>
          </w:tcPr>
          <w:p w14:paraId="120F03B0"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Rancho Cucamonga</w:t>
            </w:r>
          </w:p>
        </w:tc>
        <w:tc>
          <w:tcPr>
            <w:tcW w:w="810" w:type="dxa"/>
            <w:tcBorders>
              <w:top w:val="nil"/>
              <w:left w:val="nil"/>
              <w:bottom w:val="single" w:sz="8" w:space="0" w:color="auto"/>
              <w:right w:val="single" w:sz="8" w:space="0" w:color="auto"/>
            </w:tcBorders>
            <w:vAlign w:val="center"/>
          </w:tcPr>
          <w:p w14:paraId="650D2504" w14:textId="3B520425"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w:t>
            </w:r>
          </w:p>
        </w:tc>
        <w:tc>
          <w:tcPr>
            <w:tcW w:w="1085" w:type="dxa"/>
            <w:tcBorders>
              <w:top w:val="nil"/>
              <w:left w:val="nil"/>
              <w:bottom w:val="single" w:sz="8" w:space="0" w:color="auto"/>
              <w:right w:val="single" w:sz="8" w:space="0" w:color="auto"/>
            </w:tcBorders>
            <w:vAlign w:val="center"/>
          </w:tcPr>
          <w:p w14:paraId="4451FF7E" w14:textId="4676E3D7"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w:t>
            </w:r>
          </w:p>
        </w:tc>
        <w:tc>
          <w:tcPr>
            <w:tcW w:w="1210" w:type="dxa"/>
            <w:tcBorders>
              <w:top w:val="nil"/>
              <w:left w:val="nil"/>
              <w:bottom w:val="single" w:sz="8" w:space="0" w:color="auto"/>
              <w:right w:val="single" w:sz="8" w:space="0" w:color="auto"/>
            </w:tcBorders>
            <w:vAlign w:val="center"/>
          </w:tcPr>
          <w:p w14:paraId="18C353FA" w14:textId="1FC0AC34"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18795113" w14:textId="7E3E916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29,765</w:t>
            </w:r>
          </w:p>
        </w:tc>
        <w:tc>
          <w:tcPr>
            <w:tcW w:w="1218" w:type="dxa"/>
            <w:tcBorders>
              <w:top w:val="nil"/>
              <w:left w:val="nil"/>
              <w:bottom w:val="single" w:sz="8" w:space="0" w:color="auto"/>
              <w:right w:val="single" w:sz="8" w:space="0" w:color="auto"/>
            </w:tcBorders>
            <w:vAlign w:val="center"/>
          </w:tcPr>
          <w:p w14:paraId="012802AC" w14:textId="37A7ECC4"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76FB3FDF" w14:textId="7E1A96B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29,767</w:t>
            </w:r>
          </w:p>
        </w:tc>
      </w:tr>
      <w:tr w:rsidR="00C92B12" w14:paraId="1FB4768B" w14:textId="77777777" w:rsidTr="00C92B12">
        <w:trPr>
          <w:trHeight w:val="345"/>
        </w:trPr>
        <w:tc>
          <w:tcPr>
            <w:tcW w:w="2160" w:type="dxa"/>
            <w:tcBorders>
              <w:left w:val="single" w:sz="8" w:space="0" w:color="000000" w:themeColor="text1"/>
            </w:tcBorders>
            <w:vAlign w:val="center"/>
          </w:tcPr>
          <w:p w14:paraId="46B2C740"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Rialto</w:t>
            </w:r>
          </w:p>
        </w:tc>
        <w:tc>
          <w:tcPr>
            <w:tcW w:w="810" w:type="dxa"/>
            <w:tcBorders>
              <w:top w:val="nil"/>
              <w:left w:val="nil"/>
              <w:bottom w:val="single" w:sz="8" w:space="0" w:color="auto"/>
              <w:right w:val="single" w:sz="8" w:space="0" w:color="auto"/>
            </w:tcBorders>
            <w:vAlign w:val="center"/>
          </w:tcPr>
          <w:p w14:paraId="5392CB99" w14:textId="14264FDC"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41999542" w14:textId="4EF4CFC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3BFFD54D" w14:textId="0627CE29"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60A6BA05" w14:textId="25187E2E"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11,342</w:t>
            </w:r>
          </w:p>
        </w:tc>
        <w:tc>
          <w:tcPr>
            <w:tcW w:w="1218" w:type="dxa"/>
            <w:tcBorders>
              <w:top w:val="nil"/>
              <w:left w:val="nil"/>
              <w:bottom w:val="single" w:sz="8" w:space="0" w:color="auto"/>
              <w:right w:val="single" w:sz="8" w:space="0" w:color="auto"/>
            </w:tcBorders>
            <w:vAlign w:val="center"/>
          </w:tcPr>
          <w:p w14:paraId="773B43DB" w14:textId="1458E2B4"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37A713EF" w14:textId="133E9EC3"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11,342</w:t>
            </w:r>
          </w:p>
        </w:tc>
      </w:tr>
      <w:tr w:rsidR="00C92B12" w14:paraId="003EDD87" w14:textId="77777777" w:rsidTr="00C92B12">
        <w:trPr>
          <w:trHeight w:val="345"/>
        </w:trPr>
        <w:tc>
          <w:tcPr>
            <w:tcW w:w="2160" w:type="dxa"/>
            <w:tcBorders>
              <w:left w:val="single" w:sz="8" w:space="0" w:color="000000" w:themeColor="text1"/>
            </w:tcBorders>
            <w:vAlign w:val="center"/>
          </w:tcPr>
          <w:p w14:paraId="6934673E"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San Bernardino</w:t>
            </w:r>
          </w:p>
        </w:tc>
        <w:tc>
          <w:tcPr>
            <w:tcW w:w="810" w:type="dxa"/>
            <w:tcBorders>
              <w:top w:val="nil"/>
              <w:left w:val="nil"/>
              <w:bottom w:val="single" w:sz="8" w:space="0" w:color="auto"/>
              <w:right w:val="single" w:sz="8" w:space="0" w:color="auto"/>
            </w:tcBorders>
            <w:vAlign w:val="center"/>
          </w:tcPr>
          <w:p w14:paraId="1A69B0EF" w14:textId="6D4B06A7"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63B57A84" w14:textId="486955A8"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442A14E9" w14:textId="2451BEF7"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1D710B42" w14:textId="7E9F9674"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717</w:t>
            </w:r>
          </w:p>
        </w:tc>
        <w:tc>
          <w:tcPr>
            <w:tcW w:w="1218" w:type="dxa"/>
            <w:tcBorders>
              <w:top w:val="nil"/>
              <w:left w:val="nil"/>
              <w:bottom w:val="single" w:sz="8" w:space="0" w:color="auto"/>
              <w:right w:val="single" w:sz="8" w:space="0" w:color="auto"/>
            </w:tcBorders>
            <w:vAlign w:val="center"/>
          </w:tcPr>
          <w:p w14:paraId="14C9A9F0" w14:textId="1FA0575F"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17891031" w14:textId="14E4D76F" w:rsidR="00C92B12" w:rsidRPr="002714B2" w:rsidRDefault="00C92B12" w:rsidP="00C92B12">
            <w:pPr>
              <w:spacing w:line="240" w:lineRule="auto"/>
              <w:jc w:val="center"/>
              <w:rPr>
                <w:rFonts w:ascii="Arial" w:hAnsi="Arial" w:cs="Arial"/>
                <w:sz w:val="18"/>
                <w:szCs w:val="18"/>
              </w:rPr>
            </w:pPr>
            <w:r w:rsidRPr="002714B2">
              <w:rPr>
                <w:rFonts w:ascii="Arial" w:hAnsi="Arial" w:cs="Arial"/>
                <w:sz w:val="18"/>
                <w:szCs w:val="18"/>
              </w:rPr>
              <w:t>717</w:t>
            </w:r>
          </w:p>
        </w:tc>
      </w:tr>
      <w:tr w:rsidR="00C92B12" w14:paraId="1834F5FE" w14:textId="77777777" w:rsidTr="00922172">
        <w:trPr>
          <w:trHeight w:val="345"/>
        </w:trPr>
        <w:tc>
          <w:tcPr>
            <w:tcW w:w="2160" w:type="dxa"/>
            <w:tcBorders>
              <w:left w:val="single" w:sz="8" w:space="0" w:color="000000" w:themeColor="text1"/>
              <w:bottom w:val="single" w:sz="4" w:space="0" w:color="auto"/>
            </w:tcBorders>
            <w:vAlign w:val="center"/>
          </w:tcPr>
          <w:p w14:paraId="5A3DC33B" w14:textId="34DE4C08"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Unincorporated</w:t>
            </w:r>
          </w:p>
        </w:tc>
        <w:tc>
          <w:tcPr>
            <w:tcW w:w="810" w:type="dxa"/>
            <w:tcBorders>
              <w:top w:val="nil"/>
              <w:left w:val="nil"/>
              <w:bottom w:val="single" w:sz="8" w:space="0" w:color="auto"/>
              <w:right w:val="single" w:sz="8" w:space="0" w:color="auto"/>
            </w:tcBorders>
            <w:vAlign w:val="center"/>
          </w:tcPr>
          <w:p w14:paraId="0E778581" w14:textId="41A2786D"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 xml:space="preserve">1,458 </w:t>
            </w:r>
          </w:p>
        </w:tc>
        <w:tc>
          <w:tcPr>
            <w:tcW w:w="1085" w:type="dxa"/>
            <w:tcBorders>
              <w:top w:val="nil"/>
              <w:left w:val="nil"/>
              <w:bottom w:val="single" w:sz="8" w:space="0" w:color="auto"/>
              <w:right w:val="single" w:sz="8" w:space="0" w:color="auto"/>
            </w:tcBorders>
            <w:vAlign w:val="center"/>
          </w:tcPr>
          <w:p w14:paraId="1A495BE4" w14:textId="10F2B6CE"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 xml:space="preserve">29 </w:t>
            </w:r>
          </w:p>
        </w:tc>
        <w:tc>
          <w:tcPr>
            <w:tcW w:w="1210" w:type="dxa"/>
            <w:tcBorders>
              <w:top w:val="nil"/>
              <w:left w:val="nil"/>
              <w:bottom w:val="single" w:sz="8" w:space="0" w:color="auto"/>
              <w:right w:val="single" w:sz="8" w:space="0" w:color="auto"/>
            </w:tcBorders>
            <w:vAlign w:val="center"/>
          </w:tcPr>
          <w:p w14:paraId="0B56EBE2" w14:textId="4A5BC212"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 xml:space="preserve">-   </w:t>
            </w:r>
          </w:p>
        </w:tc>
        <w:tc>
          <w:tcPr>
            <w:tcW w:w="1463" w:type="dxa"/>
            <w:tcBorders>
              <w:top w:val="nil"/>
              <w:left w:val="nil"/>
              <w:bottom w:val="single" w:sz="8" w:space="0" w:color="auto"/>
              <w:right w:val="single" w:sz="8" w:space="0" w:color="auto"/>
            </w:tcBorders>
            <w:vAlign w:val="center"/>
          </w:tcPr>
          <w:p w14:paraId="20A3FD78" w14:textId="3D310016"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 xml:space="preserve">43,814 </w:t>
            </w:r>
          </w:p>
        </w:tc>
        <w:tc>
          <w:tcPr>
            <w:tcW w:w="1218" w:type="dxa"/>
            <w:tcBorders>
              <w:top w:val="nil"/>
              <w:left w:val="nil"/>
              <w:bottom w:val="single" w:sz="8" w:space="0" w:color="auto"/>
              <w:right w:val="single" w:sz="8" w:space="0" w:color="auto"/>
            </w:tcBorders>
            <w:vAlign w:val="center"/>
          </w:tcPr>
          <w:p w14:paraId="4E3F9931" w14:textId="1BDD13C7"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 xml:space="preserve">-   </w:t>
            </w:r>
          </w:p>
        </w:tc>
        <w:tc>
          <w:tcPr>
            <w:tcW w:w="1054" w:type="dxa"/>
            <w:tcBorders>
              <w:top w:val="nil"/>
              <w:left w:val="nil"/>
              <w:bottom w:val="single" w:sz="8" w:space="0" w:color="auto"/>
              <w:right w:val="single" w:sz="8" w:space="0" w:color="auto"/>
            </w:tcBorders>
            <w:vAlign w:val="center"/>
          </w:tcPr>
          <w:p w14:paraId="78E4DA45" w14:textId="0B4C6D39"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 xml:space="preserve">45,301 </w:t>
            </w:r>
          </w:p>
        </w:tc>
      </w:tr>
      <w:tr w:rsidR="00C92B12" w14:paraId="00A9617B" w14:textId="77777777" w:rsidTr="00922172">
        <w:trPr>
          <w:trHeight w:val="345"/>
        </w:trPr>
        <w:tc>
          <w:tcPr>
            <w:tcW w:w="2160" w:type="dxa"/>
            <w:tcBorders>
              <w:left w:val="single" w:sz="8" w:space="0" w:color="000000" w:themeColor="text1"/>
              <w:bottom w:val="single" w:sz="4" w:space="0" w:color="auto"/>
            </w:tcBorders>
            <w:vAlign w:val="center"/>
          </w:tcPr>
          <w:p w14:paraId="765E1B0A" w14:textId="77777777" w:rsidR="00C92B12" w:rsidRPr="002714B2" w:rsidRDefault="00C92B12" w:rsidP="00C92B12">
            <w:pPr>
              <w:spacing w:line="240" w:lineRule="auto"/>
              <w:rPr>
                <w:rFonts w:ascii="Arial" w:hAnsi="Arial" w:cs="Arial"/>
                <w:sz w:val="18"/>
                <w:szCs w:val="18"/>
              </w:rPr>
            </w:pPr>
            <w:r w:rsidRPr="002714B2">
              <w:rPr>
                <w:rFonts w:ascii="Arial" w:hAnsi="Arial" w:cs="Arial"/>
                <w:sz w:val="18"/>
                <w:szCs w:val="18"/>
              </w:rPr>
              <w:t>Upland</w:t>
            </w:r>
          </w:p>
        </w:tc>
        <w:tc>
          <w:tcPr>
            <w:tcW w:w="810" w:type="dxa"/>
            <w:tcBorders>
              <w:top w:val="nil"/>
              <w:left w:val="nil"/>
              <w:bottom w:val="single" w:sz="8" w:space="0" w:color="auto"/>
              <w:right w:val="single" w:sz="8" w:space="0" w:color="auto"/>
            </w:tcBorders>
            <w:vAlign w:val="center"/>
          </w:tcPr>
          <w:p w14:paraId="134051E9" w14:textId="535C274A"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2593141D" w14:textId="16864F89"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1677666B" w14:textId="2FF65E70"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7DA0CE17" w14:textId="04B063CB"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10,030</w:t>
            </w:r>
          </w:p>
        </w:tc>
        <w:tc>
          <w:tcPr>
            <w:tcW w:w="1218" w:type="dxa"/>
            <w:tcBorders>
              <w:top w:val="nil"/>
              <w:left w:val="nil"/>
              <w:bottom w:val="single" w:sz="8" w:space="0" w:color="auto"/>
              <w:right w:val="single" w:sz="8" w:space="0" w:color="auto"/>
            </w:tcBorders>
            <w:vAlign w:val="center"/>
          </w:tcPr>
          <w:p w14:paraId="1D0F438A" w14:textId="2572946F"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6D9ED049" w14:textId="39F09C0B" w:rsidR="00C92B12" w:rsidRPr="002714B2" w:rsidRDefault="00C92B12" w:rsidP="009E17FD">
            <w:pPr>
              <w:spacing w:line="240" w:lineRule="auto"/>
              <w:jc w:val="center"/>
              <w:rPr>
                <w:rFonts w:ascii="Arial" w:hAnsi="Arial" w:cs="Arial"/>
                <w:sz w:val="18"/>
                <w:szCs w:val="18"/>
              </w:rPr>
            </w:pPr>
            <w:r w:rsidRPr="002714B2">
              <w:rPr>
                <w:rFonts w:ascii="Arial" w:hAnsi="Arial" w:cs="Arial"/>
                <w:sz w:val="18"/>
                <w:szCs w:val="18"/>
              </w:rPr>
              <w:t>10,030</w:t>
            </w:r>
          </w:p>
        </w:tc>
      </w:tr>
      <w:tr w:rsidR="00C92B12" w14:paraId="054D7678" w14:textId="77777777" w:rsidTr="00922172">
        <w:trPr>
          <w:trHeight w:val="345"/>
        </w:trPr>
        <w:tc>
          <w:tcPr>
            <w:tcW w:w="9000" w:type="dxa"/>
            <w:gridSpan w:val="7"/>
            <w:tcBorders>
              <w:left w:val="single" w:sz="8" w:space="0" w:color="000000" w:themeColor="text1"/>
              <w:right w:val="single" w:sz="8" w:space="0" w:color="000000" w:themeColor="text1"/>
            </w:tcBorders>
            <w:shd w:val="clear" w:color="auto" w:fill="F2F2F2" w:themeFill="background1" w:themeFillShade="F2"/>
            <w:vAlign w:val="center"/>
          </w:tcPr>
          <w:p w14:paraId="7D0D60F4" w14:textId="77777777" w:rsidR="00C92B12" w:rsidRPr="002714B2" w:rsidRDefault="00C92B12" w:rsidP="00C92B12">
            <w:pPr>
              <w:spacing w:line="240" w:lineRule="auto"/>
              <w:jc w:val="center"/>
              <w:rPr>
                <w:rFonts w:ascii="Arial" w:hAnsi="Arial" w:cs="Arial"/>
                <w:b/>
                <w:bCs/>
                <w:sz w:val="18"/>
                <w:szCs w:val="18"/>
              </w:rPr>
            </w:pPr>
            <w:r w:rsidRPr="002714B2">
              <w:rPr>
                <w:rFonts w:ascii="Arial" w:hAnsi="Arial" w:cs="Arial"/>
                <w:b/>
                <w:bCs/>
                <w:sz w:val="18"/>
                <w:szCs w:val="18"/>
              </w:rPr>
              <w:t>Riverside County</w:t>
            </w:r>
          </w:p>
        </w:tc>
      </w:tr>
      <w:tr w:rsidR="00922172" w14:paraId="48B25556" w14:textId="77777777" w:rsidTr="00922172">
        <w:trPr>
          <w:trHeight w:val="345"/>
        </w:trPr>
        <w:tc>
          <w:tcPr>
            <w:tcW w:w="2160" w:type="dxa"/>
            <w:tcBorders>
              <w:left w:val="single" w:sz="8" w:space="0" w:color="000000" w:themeColor="text1"/>
            </w:tcBorders>
            <w:vAlign w:val="center"/>
          </w:tcPr>
          <w:p w14:paraId="07C681FC"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Corona</w:t>
            </w:r>
          </w:p>
        </w:tc>
        <w:tc>
          <w:tcPr>
            <w:tcW w:w="810" w:type="dxa"/>
            <w:tcBorders>
              <w:top w:val="nil"/>
              <w:left w:val="nil"/>
              <w:bottom w:val="single" w:sz="8" w:space="0" w:color="auto"/>
              <w:right w:val="single" w:sz="8" w:space="0" w:color="auto"/>
            </w:tcBorders>
            <w:vAlign w:val="center"/>
          </w:tcPr>
          <w:p w14:paraId="65755059" w14:textId="75C56F4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0</w:t>
            </w:r>
          </w:p>
        </w:tc>
        <w:tc>
          <w:tcPr>
            <w:tcW w:w="1085" w:type="dxa"/>
            <w:tcBorders>
              <w:top w:val="nil"/>
              <w:left w:val="nil"/>
              <w:bottom w:val="single" w:sz="8" w:space="0" w:color="auto"/>
              <w:right w:val="single" w:sz="8" w:space="0" w:color="auto"/>
            </w:tcBorders>
            <w:vAlign w:val="center"/>
          </w:tcPr>
          <w:p w14:paraId="60986230" w14:textId="23F51326"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516</w:t>
            </w:r>
          </w:p>
        </w:tc>
        <w:tc>
          <w:tcPr>
            <w:tcW w:w="1210" w:type="dxa"/>
            <w:tcBorders>
              <w:top w:val="nil"/>
              <w:left w:val="nil"/>
              <w:bottom w:val="single" w:sz="8" w:space="0" w:color="auto"/>
              <w:right w:val="single" w:sz="8" w:space="0" w:color="auto"/>
            </w:tcBorders>
            <w:vAlign w:val="center"/>
          </w:tcPr>
          <w:p w14:paraId="50FBAEF1" w14:textId="048788B3"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21,370</w:t>
            </w:r>
          </w:p>
        </w:tc>
        <w:tc>
          <w:tcPr>
            <w:tcW w:w="1463" w:type="dxa"/>
            <w:tcBorders>
              <w:top w:val="nil"/>
              <w:left w:val="nil"/>
              <w:bottom w:val="single" w:sz="8" w:space="0" w:color="auto"/>
              <w:right w:val="single" w:sz="8" w:space="0" w:color="auto"/>
            </w:tcBorders>
            <w:vAlign w:val="center"/>
          </w:tcPr>
          <w:p w14:paraId="627335C8" w14:textId="6E9BA0BA"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8" w:type="dxa"/>
            <w:tcBorders>
              <w:top w:val="nil"/>
              <w:left w:val="nil"/>
              <w:bottom w:val="single" w:sz="8" w:space="0" w:color="auto"/>
              <w:right w:val="single" w:sz="8" w:space="0" w:color="auto"/>
            </w:tcBorders>
            <w:vAlign w:val="center"/>
          </w:tcPr>
          <w:p w14:paraId="78E31883" w14:textId="26D007B7"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976</w:t>
            </w:r>
          </w:p>
        </w:tc>
        <w:tc>
          <w:tcPr>
            <w:tcW w:w="1054" w:type="dxa"/>
            <w:tcBorders>
              <w:top w:val="nil"/>
              <w:left w:val="nil"/>
              <w:bottom w:val="single" w:sz="8" w:space="0" w:color="auto"/>
              <w:right w:val="single" w:sz="8" w:space="0" w:color="auto"/>
            </w:tcBorders>
            <w:vAlign w:val="center"/>
          </w:tcPr>
          <w:p w14:paraId="3B305825" w14:textId="3A06AF51"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22,862</w:t>
            </w:r>
          </w:p>
        </w:tc>
      </w:tr>
      <w:tr w:rsidR="00922172" w14:paraId="06D0729F" w14:textId="77777777" w:rsidTr="00922172">
        <w:trPr>
          <w:trHeight w:val="345"/>
        </w:trPr>
        <w:tc>
          <w:tcPr>
            <w:tcW w:w="2160" w:type="dxa"/>
            <w:tcBorders>
              <w:left w:val="single" w:sz="8" w:space="0" w:color="000000" w:themeColor="text1"/>
            </w:tcBorders>
            <w:vAlign w:val="center"/>
          </w:tcPr>
          <w:p w14:paraId="7C80B289"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Eastvale</w:t>
            </w:r>
          </w:p>
        </w:tc>
        <w:tc>
          <w:tcPr>
            <w:tcW w:w="810" w:type="dxa"/>
            <w:tcBorders>
              <w:top w:val="nil"/>
              <w:left w:val="nil"/>
              <w:bottom w:val="single" w:sz="8" w:space="0" w:color="auto"/>
              <w:right w:val="single" w:sz="8" w:space="0" w:color="auto"/>
            </w:tcBorders>
            <w:vAlign w:val="center"/>
          </w:tcPr>
          <w:p w14:paraId="704E19FE" w14:textId="3656C775"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2,670</w:t>
            </w:r>
          </w:p>
        </w:tc>
        <w:tc>
          <w:tcPr>
            <w:tcW w:w="1085" w:type="dxa"/>
            <w:tcBorders>
              <w:top w:val="nil"/>
              <w:left w:val="nil"/>
              <w:bottom w:val="single" w:sz="8" w:space="0" w:color="auto"/>
              <w:right w:val="single" w:sz="8" w:space="0" w:color="auto"/>
            </w:tcBorders>
            <w:vAlign w:val="center"/>
          </w:tcPr>
          <w:p w14:paraId="7F481896" w14:textId="28DA1BE1"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4,064</w:t>
            </w:r>
          </w:p>
        </w:tc>
        <w:tc>
          <w:tcPr>
            <w:tcW w:w="1210" w:type="dxa"/>
            <w:tcBorders>
              <w:top w:val="nil"/>
              <w:left w:val="nil"/>
              <w:bottom w:val="single" w:sz="8" w:space="0" w:color="auto"/>
              <w:right w:val="single" w:sz="8" w:space="0" w:color="auto"/>
            </w:tcBorders>
            <w:vAlign w:val="center"/>
          </w:tcPr>
          <w:p w14:paraId="0BE42151" w14:textId="206EDA36"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49DEC66A" w14:textId="7D05E484"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996</w:t>
            </w:r>
          </w:p>
        </w:tc>
        <w:tc>
          <w:tcPr>
            <w:tcW w:w="1218" w:type="dxa"/>
            <w:tcBorders>
              <w:top w:val="nil"/>
              <w:left w:val="nil"/>
              <w:bottom w:val="single" w:sz="8" w:space="0" w:color="auto"/>
              <w:right w:val="single" w:sz="8" w:space="0" w:color="auto"/>
            </w:tcBorders>
            <w:vAlign w:val="center"/>
          </w:tcPr>
          <w:p w14:paraId="026EADDF" w14:textId="7085F462"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674</w:t>
            </w:r>
          </w:p>
        </w:tc>
        <w:tc>
          <w:tcPr>
            <w:tcW w:w="1054" w:type="dxa"/>
            <w:tcBorders>
              <w:top w:val="nil"/>
              <w:left w:val="nil"/>
              <w:bottom w:val="single" w:sz="8" w:space="0" w:color="auto"/>
              <w:right w:val="single" w:sz="8" w:space="0" w:color="auto"/>
            </w:tcBorders>
            <w:vAlign w:val="center"/>
          </w:tcPr>
          <w:p w14:paraId="6B1103EC" w14:textId="5AF4F29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8,404</w:t>
            </w:r>
          </w:p>
        </w:tc>
      </w:tr>
      <w:tr w:rsidR="00922172" w14:paraId="2CDB07F2" w14:textId="77777777" w:rsidTr="00922172">
        <w:trPr>
          <w:trHeight w:val="345"/>
        </w:trPr>
        <w:tc>
          <w:tcPr>
            <w:tcW w:w="2160" w:type="dxa"/>
            <w:tcBorders>
              <w:left w:val="single" w:sz="8" w:space="0" w:color="000000" w:themeColor="text1"/>
            </w:tcBorders>
            <w:vAlign w:val="center"/>
          </w:tcPr>
          <w:p w14:paraId="05C9E7F3"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Jurupa Valley</w:t>
            </w:r>
          </w:p>
        </w:tc>
        <w:tc>
          <w:tcPr>
            <w:tcW w:w="810" w:type="dxa"/>
            <w:tcBorders>
              <w:top w:val="nil"/>
              <w:left w:val="nil"/>
              <w:bottom w:val="single" w:sz="8" w:space="0" w:color="auto"/>
              <w:right w:val="single" w:sz="8" w:space="0" w:color="auto"/>
            </w:tcBorders>
            <w:vAlign w:val="center"/>
          </w:tcPr>
          <w:p w14:paraId="2DD412DF" w14:textId="2D8FDA50"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10,252</w:t>
            </w:r>
          </w:p>
        </w:tc>
        <w:tc>
          <w:tcPr>
            <w:tcW w:w="1085" w:type="dxa"/>
            <w:tcBorders>
              <w:top w:val="nil"/>
              <w:left w:val="nil"/>
              <w:bottom w:val="single" w:sz="8" w:space="0" w:color="auto"/>
              <w:right w:val="single" w:sz="8" w:space="0" w:color="auto"/>
            </w:tcBorders>
            <w:vAlign w:val="center"/>
          </w:tcPr>
          <w:p w14:paraId="3BE4B454" w14:textId="4347C9CF"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4,245</w:t>
            </w:r>
          </w:p>
        </w:tc>
        <w:tc>
          <w:tcPr>
            <w:tcW w:w="1210" w:type="dxa"/>
            <w:tcBorders>
              <w:top w:val="nil"/>
              <w:left w:val="nil"/>
              <w:bottom w:val="single" w:sz="8" w:space="0" w:color="auto"/>
              <w:right w:val="single" w:sz="8" w:space="0" w:color="auto"/>
            </w:tcBorders>
            <w:vAlign w:val="center"/>
          </w:tcPr>
          <w:p w14:paraId="4FE6C0A6" w14:textId="45928B0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62797ABE" w14:textId="2775C51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13,443</w:t>
            </w:r>
          </w:p>
        </w:tc>
        <w:tc>
          <w:tcPr>
            <w:tcW w:w="1218" w:type="dxa"/>
            <w:tcBorders>
              <w:top w:val="nil"/>
              <w:left w:val="nil"/>
              <w:bottom w:val="single" w:sz="8" w:space="0" w:color="auto"/>
              <w:right w:val="single" w:sz="8" w:space="0" w:color="auto"/>
            </w:tcBorders>
            <w:vAlign w:val="center"/>
          </w:tcPr>
          <w:p w14:paraId="6966AE14" w14:textId="673BE535"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2331140D" w14:textId="2D054648"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27,940</w:t>
            </w:r>
          </w:p>
        </w:tc>
      </w:tr>
      <w:tr w:rsidR="00922172" w14:paraId="40BF4B9B" w14:textId="77777777" w:rsidTr="00922172">
        <w:trPr>
          <w:trHeight w:val="345"/>
        </w:trPr>
        <w:tc>
          <w:tcPr>
            <w:tcW w:w="2160" w:type="dxa"/>
            <w:tcBorders>
              <w:left w:val="single" w:sz="8" w:space="0" w:color="000000" w:themeColor="text1"/>
            </w:tcBorders>
            <w:vAlign w:val="center"/>
          </w:tcPr>
          <w:p w14:paraId="69CCA4DB"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Lake Elsinore</w:t>
            </w:r>
          </w:p>
        </w:tc>
        <w:tc>
          <w:tcPr>
            <w:tcW w:w="810" w:type="dxa"/>
            <w:tcBorders>
              <w:top w:val="nil"/>
              <w:left w:val="nil"/>
              <w:bottom w:val="single" w:sz="8" w:space="0" w:color="auto"/>
              <w:right w:val="single" w:sz="8" w:space="0" w:color="auto"/>
            </w:tcBorders>
            <w:vAlign w:val="center"/>
          </w:tcPr>
          <w:p w14:paraId="6ADD4C82" w14:textId="6CFB333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46CD0718" w14:textId="4A2CD0E6"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429604E7" w14:textId="06115A59"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13,261</w:t>
            </w:r>
          </w:p>
        </w:tc>
        <w:tc>
          <w:tcPr>
            <w:tcW w:w="1463" w:type="dxa"/>
            <w:tcBorders>
              <w:top w:val="nil"/>
              <w:left w:val="nil"/>
              <w:bottom w:val="single" w:sz="8" w:space="0" w:color="auto"/>
              <w:right w:val="single" w:sz="8" w:space="0" w:color="auto"/>
            </w:tcBorders>
            <w:vAlign w:val="center"/>
          </w:tcPr>
          <w:p w14:paraId="1046DBF3" w14:textId="09454EAB"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8" w:type="dxa"/>
            <w:tcBorders>
              <w:top w:val="nil"/>
              <w:left w:val="nil"/>
              <w:bottom w:val="single" w:sz="8" w:space="0" w:color="auto"/>
              <w:right w:val="single" w:sz="8" w:space="0" w:color="auto"/>
            </w:tcBorders>
            <w:vAlign w:val="center"/>
          </w:tcPr>
          <w:p w14:paraId="0970BE71" w14:textId="4E1150DB"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45469B44" w14:textId="05051202"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13,261</w:t>
            </w:r>
          </w:p>
        </w:tc>
      </w:tr>
      <w:tr w:rsidR="00922172" w14:paraId="5CC36672" w14:textId="77777777" w:rsidTr="00922172">
        <w:trPr>
          <w:trHeight w:val="345"/>
        </w:trPr>
        <w:tc>
          <w:tcPr>
            <w:tcW w:w="2160" w:type="dxa"/>
            <w:tcBorders>
              <w:left w:val="single" w:sz="8" w:space="0" w:color="000000" w:themeColor="text1"/>
            </w:tcBorders>
            <w:vAlign w:val="center"/>
          </w:tcPr>
          <w:p w14:paraId="05C4533A"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Moreno Valley</w:t>
            </w:r>
          </w:p>
        </w:tc>
        <w:tc>
          <w:tcPr>
            <w:tcW w:w="810" w:type="dxa"/>
            <w:tcBorders>
              <w:top w:val="nil"/>
              <w:left w:val="nil"/>
              <w:bottom w:val="single" w:sz="8" w:space="0" w:color="auto"/>
              <w:right w:val="single" w:sz="8" w:space="0" w:color="auto"/>
            </w:tcBorders>
            <w:vAlign w:val="center"/>
          </w:tcPr>
          <w:p w14:paraId="57B98A59" w14:textId="7949879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03FD4D9B" w14:textId="1CF6A080"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2796DB8C" w14:textId="64523595"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61715217" w14:textId="34C91E6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2,035</w:t>
            </w:r>
          </w:p>
        </w:tc>
        <w:tc>
          <w:tcPr>
            <w:tcW w:w="1218" w:type="dxa"/>
            <w:tcBorders>
              <w:top w:val="nil"/>
              <w:left w:val="nil"/>
              <w:bottom w:val="single" w:sz="8" w:space="0" w:color="auto"/>
              <w:right w:val="single" w:sz="8" w:space="0" w:color="auto"/>
            </w:tcBorders>
            <w:vAlign w:val="center"/>
          </w:tcPr>
          <w:p w14:paraId="53671A17" w14:textId="14F786F2"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3560C71D" w14:textId="6FEC9274"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2,035</w:t>
            </w:r>
          </w:p>
        </w:tc>
      </w:tr>
      <w:tr w:rsidR="00922172" w14:paraId="4E1AEFAA" w14:textId="77777777" w:rsidTr="00922172">
        <w:trPr>
          <w:trHeight w:val="345"/>
        </w:trPr>
        <w:tc>
          <w:tcPr>
            <w:tcW w:w="2160" w:type="dxa"/>
            <w:tcBorders>
              <w:left w:val="single" w:sz="8" w:space="0" w:color="000000" w:themeColor="text1"/>
            </w:tcBorders>
            <w:vAlign w:val="center"/>
          </w:tcPr>
          <w:p w14:paraId="4F3E051F"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Norco</w:t>
            </w:r>
          </w:p>
        </w:tc>
        <w:tc>
          <w:tcPr>
            <w:tcW w:w="810" w:type="dxa"/>
            <w:tcBorders>
              <w:top w:val="nil"/>
              <w:left w:val="nil"/>
              <w:bottom w:val="single" w:sz="8" w:space="0" w:color="auto"/>
              <w:right w:val="single" w:sz="8" w:space="0" w:color="auto"/>
            </w:tcBorders>
            <w:vAlign w:val="center"/>
          </w:tcPr>
          <w:p w14:paraId="19574AB5" w14:textId="6BBFDA2A"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44D9D06E" w14:textId="30B496C1"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6,421</w:t>
            </w:r>
          </w:p>
        </w:tc>
        <w:tc>
          <w:tcPr>
            <w:tcW w:w="1210" w:type="dxa"/>
            <w:tcBorders>
              <w:top w:val="nil"/>
              <w:left w:val="nil"/>
              <w:bottom w:val="single" w:sz="8" w:space="0" w:color="auto"/>
              <w:right w:val="single" w:sz="8" w:space="0" w:color="auto"/>
            </w:tcBorders>
            <w:vAlign w:val="center"/>
          </w:tcPr>
          <w:p w14:paraId="731DDB28" w14:textId="228C0E35"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2,371</w:t>
            </w:r>
          </w:p>
        </w:tc>
        <w:tc>
          <w:tcPr>
            <w:tcW w:w="1463" w:type="dxa"/>
            <w:tcBorders>
              <w:top w:val="nil"/>
              <w:left w:val="nil"/>
              <w:bottom w:val="single" w:sz="8" w:space="0" w:color="auto"/>
              <w:right w:val="single" w:sz="8" w:space="0" w:color="auto"/>
            </w:tcBorders>
            <w:vAlign w:val="center"/>
          </w:tcPr>
          <w:p w14:paraId="5B6D8D82" w14:textId="7F9D0C6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8" w:type="dxa"/>
            <w:tcBorders>
              <w:top w:val="nil"/>
              <w:left w:val="nil"/>
              <w:bottom w:val="single" w:sz="8" w:space="0" w:color="auto"/>
              <w:right w:val="single" w:sz="8" w:space="0" w:color="auto"/>
            </w:tcBorders>
            <w:vAlign w:val="center"/>
          </w:tcPr>
          <w:p w14:paraId="14DA975C" w14:textId="6E64091B"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169</w:t>
            </w:r>
          </w:p>
        </w:tc>
        <w:tc>
          <w:tcPr>
            <w:tcW w:w="1054" w:type="dxa"/>
            <w:tcBorders>
              <w:top w:val="nil"/>
              <w:left w:val="nil"/>
              <w:bottom w:val="single" w:sz="8" w:space="0" w:color="auto"/>
              <w:right w:val="single" w:sz="8" w:space="0" w:color="auto"/>
            </w:tcBorders>
            <w:vAlign w:val="center"/>
          </w:tcPr>
          <w:p w14:paraId="20ED63D0" w14:textId="321D811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8,961</w:t>
            </w:r>
          </w:p>
        </w:tc>
      </w:tr>
      <w:tr w:rsidR="00922172" w14:paraId="257F127B" w14:textId="77777777" w:rsidTr="00922172">
        <w:trPr>
          <w:trHeight w:val="345"/>
        </w:trPr>
        <w:tc>
          <w:tcPr>
            <w:tcW w:w="2160" w:type="dxa"/>
            <w:tcBorders>
              <w:left w:val="single" w:sz="8" w:space="0" w:color="000000" w:themeColor="text1"/>
            </w:tcBorders>
            <w:vAlign w:val="center"/>
          </w:tcPr>
          <w:p w14:paraId="7A692312"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Riverside</w:t>
            </w:r>
          </w:p>
        </w:tc>
        <w:tc>
          <w:tcPr>
            <w:tcW w:w="810" w:type="dxa"/>
            <w:tcBorders>
              <w:top w:val="nil"/>
              <w:left w:val="nil"/>
              <w:bottom w:val="single" w:sz="8" w:space="0" w:color="auto"/>
              <w:right w:val="single" w:sz="8" w:space="0" w:color="auto"/>
            </w:tcBorders>
            <w:vAlign w:val="center"/>
          </w:tcPr>
          <w:p w14:paraId="2E737355" w14:textId="6166A26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23,094</w:t>
            </w:r>
          </w:p>
        </w:tc>
        <w:tc>
          <w:tcPr>
            <w:tcW w:w="1085" w:type="dxa"/>
            <w:tcBorders>
              <w:top w:val="nil"/>
              <w:left w:val="nil"/>
              <w:bottom w:val="single" w:sz="8" w:space="0" w:color="auto"/>
              <w:right w:val="single" w:sz="8" w:space="0" w:color="auto"/>
            </w:tcBorders>
            <w:vAlign w:val="center"/>
          </w:tcPr>
          <w:p w14:paraId="1E1C5F38" w14:textId="6D8972AB"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3,359</w:t>
            </w:r>
          </w:p>
        </w:tc>
        <w:tc>
          <w:tcPr>
            <w:tcW w:w="1210" w:type="dxa"/>
            <w:tcBorders>
              <w:top w:val="nil"/>
              <w:left w:val="nil"/>
              <w:bottom w:val="single" w:sz="8" w:space="0" w:color="auto"/>
              <w:right w:val="single" w:sz="8" w:space="0" w:color="auto"/>
            </w:tcBorders>
            <w:vAlign w:val="center"/>
          </w:tcPr>
          <w:p w14:paraId="417DAAEE" w14:textId="37DCB32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12,013</w:t>
            </w:r>
          </w:p>
        </w:tc>
        <w:tc>
          <w:tcPr>
            <w:tcW w:w="1463" w:type="dxa"/>
            <w:tcBorders>
              <w:top w:val="nil"/>
              <w:left w:val="nil"/>
              <w:bottom w:val="single" w:sz="8" w:space="0" w:color="auto"/>
              <w:right w:val="single" w:sz="8" w:space="0" w:color="auto"/>
            </w:tcBorders>
            <w:vAlign w:val="center"/>
          </w:tcPr>
          <w:p w14:paraId="0D134029" w14:textId="366AC0F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13,137</w:t>
            </w:r>
          </w:p>
        </w:tc>
        <w:tc>
          <w:tcPr>
            <w:tcW w:w="1218" w:type="dxa"/>
            <w:tcBorders>
              <w:top w:val="nil"/>
              <w:left w:val="nil"/>
              <w:bottom w:val="single" w:sz="8" w:space="0" w:color="auto"/>
              <w:right w:val="single" w:sz="8" w:space="0" w:color="auto"/>
            </w:tcBorders>
            <w:vAlign w:val="center"/>
          </w:tcPr>
          <w:p w14:paraId="36911440" w14:textId="55C5C1BB"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76C2AD4B" w14:textId="62859697"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51,602</w:t>
            </w:r>
          </w:p>
        </w:tc>
      </w:tr>
      <w:tr w:rsidR="00922172" w14:paraId="03CD7121" w14:textId="77777777" w:rsidTr="00922172">
        <w:trPr>
          <w:trHeight w:val="345"/>
        </w:trPr>
        <w:tc>
          <w:tcPr>
            <w:tcW w:w="2160" w:type="dxa"/>
            <w:tcBorders>
              <w:left w:val="single" w:sz="8" w:space="0" w:color="000000" w:themeColor="text1"/>
              <w:bottom w:val="single" w:sz="4" w:space="0" w:color="auto"/>
            </w:tcBorders>
            <w:vAlign w:val="center"/>
          </w:tcPr>
          <w:p w14:paraId="16F4B275" w14:textId="0E06D2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Unincorporated</w:t>
            </w:r>
          </w:p>
        </w:tc>
        <w:tc>
          <w:tcPr>
            <w:tcW w:w="810" w:type="dxa"/>
            <w:tcBorders>
              <w:top w:val="nil"/>
              <w:left w:val="nil"/>
              <w:bottom w:val="single" w:sz="8" w:space="0" w:color="auto"/>
              <w:right w:val="single" w:sz="8" w:space="0" w:color="auto"/>
            </w:tcBorders>
            <w:vAlign w:val="center"/>
          </w:tcPr>
          <w:p w14:paraId="446EE7B4" w14:textId="20E9E947"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785</w:t>
            </w:r>
          </w:p>
        </w:tc>
        <w:tc>
          <w:tcPr>
            <w:tcW w:w="1085" w:type="dxa"/>
            <w:tcBorders>
              <w:top w:val="nil"/>
              <w:left w:val="nil"/>
              <w:bottom w:val="single" w:sz="8" w:space="0" w:color="auto"/>
              <w:right w:val="single" w:sz="8" w:space="0" w:color="auto"/>
            </w:tcBorders>
            <w:vAlign w:val="center"/>
          </w:tcPr>
          <w:p w14:paraId="6DBBBCE1" w14:textId="49F4CB8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1,543</w:t>
            </w:r>
          </w:p>
        </w:tc>
        <w:tc>
          <w:tcPr>
            <w:tcW w:w="1210" w:type="dxa"/>
            <w:tcBorders>
              <w:top w:val="nil"/>
              <w:left w:val="nil"/>
              <w:bottom w:val="single" w:sz="8" w:space="0" w:color="auto"/>
              <w:right w:val="single" w:sz="8" w:space="0" w:color="auto"/>
            </w:tcBorders>
            <w:vAlign w:val="center"/>
          </w:tcPr>
          <w:p w14:paraId="5649F16F" w14:textId="498F4F58"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83,537</w:t>
            </w:r>
          </w:p>
        </w:tc>
        <w:tc>
          <w:tcPr>
            <w:tcW w:w="1463" w:type="dxa"/>
            <w:tcBorders>
              <w:top w:val="nil"/>
              <w:left w:val="nil"/>
              <w:bottom w:val="single" w:sz="8" w:space="0" w:color="auto"/>
              <w:right w:val="single" w:sz="8" w:space="0" w:color="auto"/>
            </w:tcBorders>
            <w:vAlign w:val="center"/>
          </w:tcPr>
          <w:p w14:paraId="6DC0062A" w14:textId="5178BB3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35,014</w:t>
            </w:r>
          </w:p>
        </w:tc>
        <w:tc>
          <w:tcPr>
            <w:tcW w:w="1218" w:type="dxa"/>
            <w:tcBorders>
              <w:top w:val="nil"/>
              <w:left w:val="nil"/>
              <w:bottom w:val="single" w:sz="8" w:space="0" w:color="auto"/>
              <w:right w:val="single" w:sz="8" w:space="0" w:color="auto"/>
            </w:tcBorders>
            <w:vAlign w:val="center"/>
          </w:tcPr>
          <w:p w14:paraId="7AB96719" w14:textId="58551F9B"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2,952</w:t>
            </w:r>
          </w:p>
        </w:tc>
        <w:tc>
          <w:tcPr>
            <w:tcW w:w="1054" w:type="dxa"/>
            <w:tcBorders>
              <w:top w:val="nil"/>
              <w:left w:val="nil"/>
              <w:bottom w:val="single" w:sz="8" w:space="0" w:color="auto"/>
              <w:right w:val="single" w:sz="8" w:space="0" w:color="auto"/>
            </w:tcBorders>
            <w:vAlign w:val="center"/>
          </w:tcPr>
          <w:p w14:paraId="35B53560" w14:textId="271D3020"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123,830</w:t>
            </w:r>
          </w:p>
        </w:tc>
      </w:tr>
      <w:tr w:rsidR="009E17FD" w14:paraId="084FDEEE" w14:textId="77777777" w:rsidTr="00922172">
        <w:trPr>
          <w:trHeight w:val="345"/>
        </w:trPr>
        <w:tc>
          <w:tcPr>
            <w:tcW w:w="9000" w:type="dxa"/>
            <w:gridSpan w:val="7"/>
            <w:tcBorders>
              <w:left w:val="single" w:sz="8" w:space="0" w:color="000000" w:themeColor="text1"/>
              <w:right w:val="single" w:sz="8" w:space="0" w:color="000000" w:themeColor="text1"/>
            </w:tcBorders>
            <w:shd w:val="clear" w:color="auto" w:fill="F2F2F2" w:themeFill="background1" w:themeFillShade="F2"/>
            <w:vAlign w:val="center"/>
          </w:tcPr>
          <w:p w14:paraId="7B79BCE0" w14:textId="77777777" w:rsidR="009E17FD" w:rsidRPr="002714B2" w:rsidRDefault="009E17FD" w:rsidP="009E17FD">
            <w:pPr>
              <w:spacing w:line="240" w:lineRule="auto"/>
              <w:jc w:val="center"/>
              <w:rPr>
                <w:rFonts w:ascii="Arial" w:hAnsi="Arial" w:cs="Arial"/>
                <w:b/>
                <w:bCs/>
                <w:sz w:val="18"/>
                <w:szCs w:val="18"/>
              </w:rPr>
            </w:pPr>
            <w:r w:rsidRPr="002714B2">
              <w:rPr>
                <w:rFonts w:ascii="Arial" w:hAnsi="Arial" w:cs="Arial"/>
                <w:b/>
                <w:bCs/>
                <w:sz w:val="18"/>
                <w:szCs w:val="18"/>
              </w:rPr>
              <w:t>Los Angeles County</w:t>
            </w:r>
          </w:p>
        </w:tc>
      </w:tr>
      <w:tr w:rsidR="00922172" w14:paraId="0145EACB" w14:textId="77777777" w:rsidTr="00922172">
        <w:trPr>
          <w:trHeight w:val="345"/>
        </w:trPr>
        <w:tc>
          <w:tcPr>
            <w:tcW w:w="2160" w:type="dxa"/>
            <w:tcBorders>
              <w:left w:val="single" w:sz="8" w:space="0" w:color="000000" w:themeColor="text1"/>
            </w:tcBorders>
            <w:vAlign w:val="center"/>
          </w:tcPr>
          <w:p w14:paraId="7B28062E"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Claremont</w:t>
            </w:r>
          </w:p>
        </w:tc>
        <w:tc>
          <w:tcPr>
            <w:tcW w:w="810" w:type="dxa"/>
            <w:tcBorders>
              <w:top w:val="nil"/>
              <w:left w:val="nil"/>
              <w:bottom w:val="single" w:sz="8" w:space="0" w:color="auto"/>
              <w:right w:val="single" w:sz="8" w:space="0" w:color="auto"/>
            </w:tcBorders>
            <w:vAlign w:val="center"/>
          </w:tcPr>
          <w:p w14:paraId="49821BFB" w14:textId="2EC67499"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1F783D09" w14:textId="0C91E8A6"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62CA355E" w14:textId="397A84D7"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026E52B6" w14:textId="3923E476"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2,882</w:t>
            </w:r>
          </w:p>
        </w:tc>
        <w:tc>
          <w:tcPr>
            <w:tcW w:w="1218" w:type="dxa"/>
            <w:tcBorders>
              <w:top w:val="nil"/>
              <w:left w:val="nil"/>
              <w:bottom w:val="single" w:sz="8" w:space="0" w:color="auto"/>
              <w:right w:val="single" w:sz="8" w:space="0" w:color="auto"/>
            </w:tcBorders>
            <w:vAlign w:val="center"/>
          </w:tcPr>
          <w:p w14:paraId="5D67B162" w14:textId="74CF0A7C"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6E0CEF51" w14:textId="2BAFCEA8"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2,882</w:t>
            </w:r>
          </w:p>
        </w:tc>
      </w:tr>
      <w:tr w:rsidR="009E17FD" w14:paraId="456A91FD" w14:textId="77777777" w:rsidTr="009E17FD">
        <w:trPr>
          <w:trHeight w:val="345"/>
        </w:trPr>
        <w:tc>
          <w:tcPr>
            <w:tcW w:w="2160" w:type="dxa"/>
            <w:tcBorders>
              <w:left w:val="single" w:sz="8" w:space="0" w:color="000000" w:themeColor="text1"/>
            </w:tcBorders>
            <w:vAlign w:val="center"/>
          </w:tcPr>
          <w:p w14:paraId="299529E1" w14:textId="6F977626"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Diamond Bar</w:t>
            </w:r>
          </w:p>
        </w:tc>
        <w:tc>
          <w:tcPr>
            <w:tcW w:w="810" w:type="dxa"/>
            <w:tcBorders>
              <w:top w:val="nil"/>
              <w:left w:val="nil"/>
              <w:bottom w:val="single" w:sz="8" w:space="0" w:color="auto"/>
              <w:right w:val="single" w:sz="8" w:space="0" w:color="auto"/>
            </w:tcBorders>
            <w:vAlign w:val="center"/>
          </w:tcPr>
          <w:p w14:paraId="5A7476F3" w14:textId="66744F05"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519</w:t>
            </w:r>
          </w:p>
        </w:tc>
        <w:tc>
          <w:tcPr>
            <w:tcW w:w="1085" w:type="dxa"/>
            <w:tcBorders>
              <w:top w:val="nil"/>
              <w:left w:val="nil"/>
              <w:bottom w:val="single" w:sz="8" w:space="0" w:color="auto"/>
              <w:right w:val="single" w:sz="8" w:space="0" w:color="auto"/>
            </w:tcBorders>
            <w:vAlign w:val="center"/>
          </w:tcPr>
          <w:p w14:paraId="41043CCB" w14:textId="35E46A05"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5A9CFC87" w14:textId="7D266509"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5390BD81" w14:textId="060E0378"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8" w:type="dxa"/>
            <w:tcBorders>
              <w:top w:val="nil"/>
              <w:left w:val="nil"/>
              <w:bottom w:val="single" w:sz="8" w:space="0" w:color="auto"/>
              <w:right w:val="single" w:sz="8" w:space="0" w:color="auto"/>
            </w:tcBorders>
            <w:vAlign w:val="center"/>
          </w:tcPr>
          <w:p w14:paraId="72C2DE5E" w14:textId="5C2C7244"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38D9BA8E" w14:textId="1DA98C0A"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519</w:t>
            </w:r>
          </w:p>
        </w:tc>
      </w:tr>
      <w:tr w:rsidR="00922172" w14:paraId="3DA03A07" w14:textId="77777777" w:rsidTr="00922172">
        <w:trPr>
          <w:trHeight w:val="345"/>
        </w:trPr>
        <w:tc>
          <w:tcPr>
            <w:tcW w:w="2160" w:type="dxa"/>
            <w:tcBorders>
              <w:left w:val="single" w:sz="8" w:space="0" w:color="000000" w:themeColor="text1"/>
            </w:tcBorders>
            <w:vAlign w:val="center"/>
          </w:tcPr>
          <w:p w14:paraId="724D24AA" w14:textId="77777777"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Pomona</w:t>
            </w:r>
          </w:p>
        </w:tc>
        <w:tc>
          <w:tcPr>
            <w:tcW w:w="810" w:type="dxa"/>
            <w:tcBorders>
              <w:top w:val="nil"/>
              <w:left w:val="nil"/>
              <w:bottom w:val="single" w:sz="8" w:space="0" w:color="auto"/>
              <w:right w:val="single" w:sz="8" w:space="0" w:color="auto"/>
            </w:tcBorders>
            <w:vAlign w:val="center"/>
          </w:tcPr>
          <w:p w14:paraId="1484936F" w14:textId="750A198F"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6,091</w:t>
            </w:r>
          </w:p>
        </w:tc>
        <w:tc>
          <w:tcPr>
            <w:tcW w:w="1085" w:type="dxa"/>
            <w:tcBorders>
              <w:top w:val="nil"/>
              <w:left w:val="nil"/>
              <w:bottom w:val="single" w:sz="8" w:space="0" w:color="auto"/>
              <w:right w:val="single" w:sz="8" w:space="0" w:color="auto"/>
            </w:tcBorders>
            <w:vAlign w:val="center"/>
          </w:tcPr>
          <w:p w14:paraId="3D18CA23" w14:textId="0EF2D2E4"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24</w:t>
            </w:r>
          </w:p>
        </w:tc>
        <w:tc>
          <w:tcPr>
            <w:tcW w:w="1210" w:type="dxa"/>
            <w:tcBorders>
              <w:top w:val="nil"/>
              <w:left w:val="nil"/>
              <w:bottom w:val="single" w:sz="8" w:space="0" w:color="auto"/>
              <w:right w:val="single" w:sz="8" w:space="0" w:color="auto"/>
            </w:tcBorders>
            <w:vAlign w:val="center"/>
          </w:tcPr>
          <w:p w14:paraId="7B0F7F1F" w14:textId="22FD04E5"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1C8CC35F" w14:textId="3757DF52"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418</w:t>
            </w:r>
          </w:p>
        </w:tc>
        <w:tc>
          <w:tcPr>
            <w:tcW w:w="1218" w:type="dxa"/>
            <w:tcBorders>
              <w:top w:val="nil"/>
              <w:left w:val="nil"/>
              <w:bottom w:val="single" w:sz="8" w:space="0" w:color="auto"/>
              <w:right w:val="single" w:sz="8" w:space="0" w:color="auto"/>
            </w:tcBorders>
            <w:vAlign w:val="center"/>
          </w:tcPr>
          <w:p w14:paraId="5F2FD7C5" w14:textId="5F008F5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49758C9D" w14:textId="20DB6ABD"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6,533</w:t>
            </w:r>
          </w:p>
        </w:tc>
      </w:tr>
      <w:tr w:rsidR="00922172" w14:paraId="7912737F" w14:textId="77777777" w:rsidTr="00922172">
        <w:trPr>
          <w:trHeight w:val="345"/>
        </w:trPr>
        <w:tc>
          <w:tcPr>
            <w:tcW w:w="2160" w:type="dxa"/>
            <w:tcBorders>
              <w:left w:val="single" w:sz="8" w:space="0" w:color="000000" w:themeColor="text1"/>
              <w:bottom w:val="single" w:sz="4" w:space="0" w:color="auto"/>
            </w:tcBorders>
            <w:vAlign w:val="center"/>
          </w:tcPr>
          <w:p w14:paraId="46DEF3F6" w14:textId="36C4DFE5"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Unincorporated</w:t>
            </w:r>
          </w:p>
        </w:tc>
        <w:tc>
          <w:tcPr>
            <w:tcW w:w="810" w:type="dxa"/>
            <w:tcBorders>
              <w:top w:val="nil"/>
              <w:left w:val="nil"/>
              <w:bottom w:val="single" w:sz="8" w:space="0" w:color="auto"/>
              <w:right w:val="single" w:sz="8" w:space="0" w:color="auto"/>
            </w:tcBorders>
            <w:vAlign w:val="center"/>
          </w:tcPr>
          <w:p w14:paraId="724200E7" w14:textId="70318F34"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85" w:type="dxa"/>
            <w:tcBorders>
              <w:top w:val="nil"/>
              <w:left w:val="nil"/>
              <w:bottom w:val="single" w:sz="8" w:space="0" w:color="auto"/>
              <w:right w:val="single" w:sz="8" w:space="0" w:color="auto"/>
            </w:tcBorders>
            <w:vAlign w:val="center"/>
          </w:tcPr>
          <w:p w14:paraId="69298445" w14:textId="62907AAE"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78C429B3" w14:textId="538C3FC3"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463" w:type="dxa"/>
            <w:tcBorders>
              <w:top w:val="nil"/>
              <w:left w:val="nil"/>
              <w:bottom w:val="single" w:sz="8" w:space="0" w:color="auto"/>
              <w:right w:val="single" w:sz="8" w:space="0" w:color="auto"/>
            </w:tcBorders>
            <w:vAlign w:val="center"/>
          </w:tcPr>
          <w:p w14:paraId="1880A1AE" w14:textId="60791AD1"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5,913</w:t>
            </w:r>
          </w:p>
        </w:tc>
        <w:tc>
          <w:tcPr>
            <w:tcW w:w="1218" w:type="dxa"/>
            <w:tcBorders>
              <w:top w:val="nil"/>
              <w:left w:val="nil"/>
              <w:bottom w:val="single" w:sz="8" w:space="0" w:color="auto"/>
              <w:right w:val="single" w:sz="8" w:space="0" w:color="auto"/>
            </w:tcBorders>
            <w:vAlign w:val="center"/>
          </w:tcPr>
          <w:p w14:paraId="19C7482F" w14:textId="171E4B86"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0D2900DA" w14:textId="4D3236EF"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5,913</w:t>
            </w:r>
          </w:p>
        </w:tc>
      </w:tr>
      <w:tr w:rsidR="009E17FD" w14:paraId="33F0DB87" w14:textId="77777777" w:rsidTr="00922172">
        <w:trPr>
          <w:trHeight w:val="345"/>
        </w:trPr>
        <w:tc>
          <w:tcPr>
            <w:tcW w:w="9000" w:type="dxa"/>
            <w:gridSpan w:val="7"/>
            <w:tcBorders>
              <w:left w:val="single" w:sz="8" w:space="0" w:color="000000" w:themeColor="text1"/>
              <w:bottom w:val="single" w:sz="4" w:space="0" w:color="auto"/>
              <w:right w:val="single" w:sz="8" w:space="0" w:color="000000" w:themeColor="text1"/>
            </w:tcBorders>
            <w:shd w:val="clear" w:color="auto" w:fill="F2F2F2" w:themeFill="background1" w:themeFillShade="F2"/>
            <w:vAlign w:val="center"/>
          </w:tcPr>
          <w:p w14:paraId="53E5DA34" w14:textId="77777777" w:rsidR="009E17FD" w:rsidRPr="002714B2" w:rsidRDefault="009E17FD" w:rsidP="009E17FD">
            <w:pPr>
              <w:spacing w:line="240" w:lineRule="auto"/>
              <w:jc w:val="center"/>
              <w:rPr>
                <w:rFonts w:ascii="Arial" w:hAnsi="Arial" w:cs="Arial"/>
                <w:b/>
                <w:bCs/>
                <w:sz w:val="18"/>
                <w:szCs w:val="18"/>
              </w:rPr>
            </w:pPr>
            <w:r w:rsidRPr="002714B2">
              <w:rPr>
                <w:rFonts w:ascii="Arial" w:hAnsi="Arial" w:cs="Arial"/>
                <w:b/>
                <w:bCs/>
                <w:sz w:val="18"/>
                <w:szCs w:val="18"/>
              </w:rPr>
              <w:t>Orange County</w:t>
            </w:r>
          </w:p>
        </w:tc>
      </w:tr>
      <w:tr w:rsidR="009E17FD" w14:paraId="30EC0B18" w14:textId="77777777" w:rsidTr="00922172">
        <w:trPr>
          <w:trHeight w:val="345"/>
        </w:trPr>
        <w:tc>
          <w:tcPr>
            <w:tcW w:w="2160" w:type="dxa"/>
            <w:tcBorders>
              <w:left w:val="single" w:sz="8" w:space="0" w:color="000000" w:themeColor="text1"/>
              <w:bottom w:val="single" w:sz="8" w:space="0" w:color="auto"/>
            </w:tcBorders>
            <w:vAlign w:val="center"/>
          </w:tcPr>
          <w:p w14:paraId="3A228D54" w14:textId="39CE24AA" w:rsidR="009E17FD" w:rsidRPr="002714B2" w:rsidRDefault="009E17FD" w:rsidP="009E17FD">
            <w:pPr>
              <w:spacing w:line="240" w:lineRule="auto"/>
              <w:rPr>
                <w:rFonts w:ascii="Arial" w:hAnsi="Arial" w:cs="Arial"/>
                <w:sz w:val="18"/>
                <w:szCs w:val="18"/>
              </w:rPr>
            </w:pPr>
            <w:r w:rsidRPr="002714B2">
              <w:rPr>
                <w:rFonts w:ascii="Arial" w:hAnsi="Arial" w:cs="Arial"/>
                <w:sz w:val="18"/>
                <w:szCs w:val="18"/>
              </w:rPr>
              <w:t>Unincorporated</w:t>
            </w:r>
          </w:p>
        </w:tc>
        <w:tc>
          <w:tcPr>
            <w:tcW w:w="810" w:type="dxa"/>
            <w:tcBorders>
              <w:top w:val="nil"/>
              <w:left w:val="nil"/>
              <w:bottom w:val="single" w:sz="8" w:space="0" w:color="auto"/>
              <w:right w:val="single" w:sz="8" w:space="0" w:color="auto"/>
            </w:tcBorders>
            <w:vAlign w:val="center"/>
          </w:tcPr>
          <w:p w14:paraId="5A94ADB3" w14:textId="226F27DA"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0</w:t>
            </w:r>
          </w:p>
        </w:tc>
        <w:tc>
          <w:tcPr>
            <w:tcW w:w="1085" w:type="dxa"/>
            <w:tcBorders>
              <w:top w:val="nil"/>
              <w:left w:val="nil"/>
              <w:bottom w:val="single" w:sz="8" w:space="0" w:color="auto"/>
              <w:right w:val="single" w:sz="8" w:space="0" w:color="auto"/>
            </w:tcBorders>
            <w:vAlign w:val="center"/>
          </w:tcPr>
          <w:p w14:paraId="14D8923C" w14:textId="69D9EF51"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0" w:type="dxa"/>
            <w:tcBorders>
              <w:top w:val="nil"/>
              <w:left w:val="nil"/>
              <w:bottom w:val="single" w:sz="8" w:space="0" w:color="auto"/>
              <w:right w:val="single" w:sz="8" w:space="0" w:color="auto"/>
            </w:tcBorders>
            <w:vAlign w:val="center"/>
          </w:tcPr>
          <w:p w14:paraId="536EB1FB" w14:textId="7E1FD1A7"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2,151</w:t>
            </w:r>
          </w:p>
        </w:tc>
        <w:tc>
          <w:tcPr>
            <w:tcW w:w="1463" w:type="dxa"/>
            <w:tcBorders>
              <w:top w:val="nil"/>
              <w:left w:val="nil"/>
              <w:bottom w:val="single" w:sz="8" w:space="0" w:color="auto"/>
              <w:right w:val="single" w:sz="8" w:space="0" w:color="auto"/>
            </w:tcBorders>
            <w:vAlign w:val="center"/>
          </w:tcPr>
          <w:p w14:paraId="58AECE23" w14:textId="0F13B062"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218" w:type="dxa"/>
            <w:tcBorders>
              <w:top w:val="nil"/>
              <w:left w:val="nil"/>
              <w:bottom w:val="single" w:sz="8" w:space="0" w:color="auto"/>
              <w:right w:val="single" w:sz="8" w:space="0" w:color="auto"/>
            </w:tcBorders>
            <w:vAlign w:val="center"/>
          </w:tcPr>
          <w:p w14:paraId="4526FA64" w14:textId="32C9A712"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w:t>
            </w:r>
          </w:p>
        </w:tc>
        <w:tc>
          <w:tcPr>
            <w:tcW w:w="1054" w:type="dxa"/>
            <w:tcBorders>
              <w:top w:val="nil"/>
              <w:left w:val="nil"/>
              <w:bottom w:val="single" w:sz="8" w:space="0" w:color="auto"/>
              <w:right w:val="single" w:sz="8" w:space="0" w:color="auto"/>
            </w:tcBorders>
            <w:vAlign w:val="center"/>
          </w:tcPr>
          <w:p w14:paraId="0360BAD4" w14:textId="159BDEC6" w:rsidR="009E17FD" w:rsidRPr="002714B2" w:rsidRDefault="009E17FD" w:rsidP="009E17FD">
            <w:pPr>
              <w:spacing w:line="240" w:lineRule="auto"/>
              <w:jc w:val="center"/>
              <w:rPr>
                <w:rFonts w:ascii="Arial" w:hAnsi="Arial" w:cs="Arial"/>
                <w:sz w:val="18"/>
                <w:szCs w:val="18"/>
              </w:rPr>
            </w:pPr>
            <w:r w:rsidRPr="002714B2">
              <w:rPr>
                <w:rFonts w:ascii="Arial" w:hAnsi="Arial" w:cs="Arial"/>
                <w:sz w:val="18"/>
                <w:szCs w:val="18"/>
              </w:rPr>
              <w:t>2,151</w:t>
            </w:r>
          </w:p>
        </w:tc>
      </w:tr>
      <w:tr w:rsidR="009E17FD" w14:paraId="060CDC0E" w14:textId="77777777" w:rsidTr="00922172">
        <w:trPr>
          <w:trHeight w:val="345"/>
        </w:trPr>
        <w:tc>
          <w:tcPr>
            <w:tcW w:w="2160" w:type="dxa"/>
            <w:tcBorders>
              <w:top w:val="single" w:sz="8" w:space="0" w:color="auto"/>
              <w:left w:val="single" w:sz="8" w:space="0" w:color="000000" w:themeColor="text1"/>
              <w:bottom w:val="single" w:sz="8" w:space="0" w:color="000000" w:themeColor="text1"/>
            </w:tcBorders>
            <w:shd w:val="clear" w:color="auto" w:fill="D9D9D9" w:themeFill="background1" w:themeFillShade="D9"/>
            <w:vAlign w:val="center"/>
          </w:tcPr>
          <w:p w14:paraId="6A725469" w14:textId="77777777" w:rsidR="009E17FD" w:rsidRPr="002714B2" w:rsidRDefault="009E17FD" w:rsidP="009E17FD">
            <w:pPr>
              <w:spacing w:line="240" w:lineRule="auto"/>
              <w:rPr>
                <w:rFonts w:ascii="Arial" w:hAnsi="Arial" w:cs="Arial"/>
                <w:b/>
                <w:sz w:val="18"/>
                <w:szCs w:val="18"/>
              </w:rPr>
            </w:pPr>
            <w:r w:rsidRPr="002714B2">
              <w:rPr>
                <w:rFonts w:ascii="Arial" w:hAnsi="Arial" w:cs="Arial"/>
                <w:b/>
                <w:sz w:val="18"/>
                <w:szCs w:val="18"/>
              </w:rPr>
              <w:t>Grand Total</w:t>
            </w:r>
          </w:p>
        </w:tc>
        <w:tc>
          <w:tcPr>
            <w:tcW w:w="810" w:type="dxa"/>
            <w:tcBorders>
              <w:top w:val="nil"/>
              <w:left w:val="nil"/>
              <w:bottom w:val="single" w:sz="8" w:space="0" w:color="auto"/>
              <w:right w:val="single" w:sz="8" w:space="0" w:color="auto"/>
            </w:tcBorders>
            <w:shd w:val="clear" w:color="auto" w:fill="D9D9D9" w:themeFill="background1" w:themeFillShade="D9"/>
            <w:vAlign w:val="center"/>
          </w:tcPr>
          <w:p w14:paraId="3F1D1EEE" w14:textId="6E7DC87D" w:rsidR="009E17FD" w:rsidRPr="002714B2" w:rsidRDefault="009E17FD" w:rsidP="009E17FD">
            <w:pPr>
              <w:spacing w:line="240" w:lineRule="auto"/>
              <w:jc w:val="center"/>
              <w:rPr>
                <w:rFonts w:ascii="Arial" w:hAnsi="Arial" w:cs="Arial"/>
                <w:b/>
                <w:sz w:val="18"/>
                <w:szCs w:val="18"/>
              </w:rPr>
            </w:pPr>
            <w:r w:rsidRPr="002714B2">
              <w:rPr>
                <w:rFonts w:ascii="Arial" w:hAnsi="Arial" w:cs="Arial"/>
                <w:b/>
                <w:sz w:val="18"/>
                <w:szCs w:val="18"/>
              </w:rPr>
              <w:t>73,287</w:t>
            </w:r>
          </w:p>
        </w:tc>
        <w:tc>
          <w:tcPr>
            <w:tcW w:w="1085" w:type="dxa"/>
            <w:tcBorders>
              <w:top w:val="nil"/>
              <w:left w:val="nil"/>
              <w:bottom w:val="single" w:sz="8" w:space="0" w:color="auto"/>
              <w:right w:val="single" w:sz="8" w:space="0" w:color="auto"/>
            </w:tcBorders>
            <w:shd w:val="clear" w:color="auto" w:fill="D9D9D9" w:themeFill="background1" w:themeFillShade="D9"/>
            <w:vAlign w:val="center"/>
          </w:tcPr>
          <w:p w14:paraId="5B3861AF" w14:textId="7CDDBD8F" w:rsidR="009E17FD" w:rsidRPr="002714B2" w:rsidRDefault="009E17FD" w:rsidP="009E17FD">
            <w:pPr>
              <w:spacing w:line="240" w:lineRule="auto"/>
              <w:jc w:val="center"/>
              <w:rPr>
                <w:rFonts w:ascii="Arial" w:hAnsi="Arial" w:cs="Arial"/>
                <w:b/>
                <w:sz w:val="18"/>
                <w:szCs w:val="18"/>
              </w:rPr>
            </w:pPr>
            <w:r w:rsidRPr="002714B2">
              <w:rPr>
                <w:rFonts w:ascii="Arial" w:hAnsi="Arial" w:cs="Arial"/>
                <w:b/>
                <w:sz w:val="18"/>
                <w:szCs w:val="18"/>
              </w:rPr>
              <w:t>33,853</w:t>
            </w:r>
          </w:p>
        </w:tc>
        <w:tc>
          <w:tcPr>
            <w:tcW w:w="1210" w:type="dxa"/>
            <w:tcBorders>
              <w:top w:val="nil"/>
              <w:left w:val="nil"/>
              <w:bottom w:val="single" w:sz="8" w:space="0" w:color="auto"/>
              <w:right w:val="single" w:sz="8" w:space="0" w:color="auto"/>
            </w:tcBorders>
            <w:shd w:val="clear" w:color="auto" w:fill="D9D9D9" w:themeFill="background1" w:themeFillShade="D9"/>
            <w:vAlign w:val="center"/>
          </w:tcPr>
          <w:p w14:paraId="1D084C85" w14:textId="55AD57C7" w:rsidR="009E17FD" w:rsidRPr="002714B2" w:rsidRDefault="009E17FD" w:rsidP="009E17FD">
            <w:pPr>
              <w:spacing w:line="240" w:lineRule="auto"/>
              <w:jc w:val="center"/>
              <w:rPr>
                <w:rFonts w:ascii="Arial" w:hAnsi="Arial" w:cs="Arial"/>
                <w:b/>
                <w:sz w:val="18"/>
                <w:szCs w:val="18"/>
              </w:rPr>
            </w:pPr>
            <w:r w:rsidRPr="002714B2">
              <w:rPr>
                <w:rFonts w:ascii="Arial" w:hAnsi="Arial" w:cs="Arial"/>
                <w:b/>
                <w:sz w:val="18"/>
                <w:szCs w:val="18"/>
              </w:rPr>
              <w:t>134,703</w:t>
            </w:r>
          </w:p>
        </w:tc>
        <w:tc>
          <w:tcPr>
            <w:tcW w:w="1463" w:type="dxa"/>
            <w:tcBorders>
              <w:top w:val="nil"/>
              <w:left w:val="nil"/>
              <w:bottom w:val="single" w:sz="8" w:space="0" w:color="auto"/>
              <w:right w:val="single" w:sz="8" w:space="0" w:color="auto"/>
            </w:tcBorders>
            <w:shd w:val="clear" w:color="auto" w:fill="D9D9D9" w:themeFill="background1" w:themeFillShade="D9"/>
            <w:vAlign w:val="center"/>
          </w:tcPr>
          <w:p w14:paraId="626C4AE7" w14:textId="773ACBD7" w:rsidR="009E17FD" w:rsidRPr="002714B2" w:rsidRDefault="009E17FD" w:rsidP="009E17FD">
            <w:pPr>
              <w:spacing w:line="240" w:lineRule="auto"/>
              <w:jc w:val="center"/>
              <w:rPr>
                <w:rFonts w:ascii="Arial" w:hAnsi="Arial" w:cs="Arial"/>
                <w:b/>
                <w:sz w:val="18"/>
                <w:szCs w:val="18"/>
              </w:rPr>
            </w:pPr>
            <w:r w:rsidRPr="002714B2">
              <w:rPr>
                <w:rFonts w:ascii="Arial" w:hAnsi="Arial" w:cs="Arial"/>
                <w:b/>
                <w:sz w:val="18"/>
                <w:szCs w:val="18"/>
              </w:rPr>
              <w:t>223,517</w:t>
            </w:r>
          </w:p>
        </w:tc>
        <w:tc>
          <w:tcPr>
            <w:tcW w:w="1218" w:type="dxa"/>
            <w:tcBorders>
              <w:top w:val="nil"/>
              <w:left w:val="nil"/>
              <w:bottom w:val="single" w:sz="8" w:space="0" w:color="auto"/>
              <w:right w:val="single" w:sz="8" w:space="0" w:color="auto"/>
            </w:tcBorders>
            <w:shd w:val="clear" w:color="auto" w:fill="D9D9D9" w:themeFill="background1" w:themeFillShade="D9"/>
            <w:vAlign w:val="center"/>
          </w:tcPr>
          <w:p w14:paraId="6F826FC9" w14:textId="27354D9C" w:rsidR="009E17FD" w:rsidRPr="002714B2" w:rsidRDefault="009E17FD" w:rsidP="009E17FD">
            <w:pPr>
              <w:spacing w:line="240" w:lineRule="auto"/>
              <w:jc w:val="center"/>
              <w:rPr>
                <w:rFonts w:ascii="Arial" w:hAnsi="Arial" w:cs="Arial"/>
                <w:b/>
                <w:sz w:val="18"/>
                <w:szCs w:val="18"/>
              </w:rPr>
            </w:pPr>
            <w:r w:rsidRPr="002714B2">
              <w:rPr>
                <w:rFonts w:ascii="Arial" w:hAnsi="Arial" w:cs="Arial"/>
                <w:b/>
                <w:sz w:val="18"/>
                <w:szCs w:val="18"/>
              </w:rPr>
              <w:t>12,214</w:t>
            </w:r>
          </w:p>
        </w:tc>
        <w:tc>
          <w:tcPr>
            <w:tcW w:w="1054" w:type="dxa"/>
            <w:tcBorders>
              <w:top w:val="nil"/>
              <w:left w:val="nil"/>
              <w:bottom w:val="single" w:sz="8" w:space="0" w:color="auto"/>
              <w:right w:val="single" w:sz="8" w:space="0" w:color="auto"/>
            </w:tcBorders>
            <w:shd w:val="clear" w:color="auto" w:fill="D9D9D9" w:themeFill="background1" w:themeFillShade="D9"/>
            <w:vAlign w:val="center"/>
          </w:tcPr>
          <w:p w14:paraId="7A075320" w14:textId="68EF0FEE" w:rsidR="009E17FD" w:rsidRPr="002714B2" w:rsidRDefault="009E17FD" w:rsidP="009E17FD">
            <w:pPr>
              <w:spacing w:line="240" w:lineRule="auto"/>
              <w:jc w:val="center"/>
              <w:rPr>
                <w:rFonts w:ascii="Arial" w:hAnsi="Arial" w:cs="Arial"/>
                <w:b/>
                <w:sz w:val="18"/>
                <w:szCs w:val="18"/>
              </w:rPr>
            </w:pPr>
            <w:r w:rsidRPr="002714B2">
              <w:rPr>
                <w:rFonts w:ascii="Arial" w:hAnsi="Arial" w:cs="Arial"/>
                <w:b/>
                <w:sz w:val="18"/>
                <w:szCs w:val="18"/>
              </w:rPr>
              <w:t>477,575</w:t>
            </w:r>
          </w:p>
        </w:tc>
      </w:tr>
    </w:tbl>
    <w:p w14:paraId="6A0214E8" w14:textId="77777777" w:rsidR="00D05778" w:rsidRDefault="00D05778" w:rsidP="00524F10">
      <w:pPr>
        <w:pStyle w:val="BodyText"/>
        <w:spacing w:after="120"/>
      </w:pPr>
    </w:p>
    <w:p w14:paraId="72E7482A" w14:textId="4203382E" w:rsidR="00524F10" w:rsidRPr="004F1F0D" w:rsidRDefault="001209BC" w:rsidP="001209BC">
      <w:pPr>
        <w:pStyle w:val="Heading3"/>
      </w:pPr>
      <w:bookmarkStart w:id="65" w:name="_Toc217410156"/>
      <w:r>
        <w:lastRenderedPageBreak/>
        <w:t>Change in DWF Rates</w:t>
      </w:r>
      <w:bookmarkEnd w:id="65"/>
    </w:p>
    <w:p w14:paraId="2DC86886" w14:textId="6F11E38E" w:rsidR="00524F10" w:rsidRDefault="0097242E" w:rsidP="00524F10">
      <w:pPr>
        <w:pStyle w:val="BodyText"/>
        <w:spacing w:after="200"/>
      </w:pPr>
      <w:r w:rsidRPr="004F52E7">
        <w:rPr>
          <w:bCs/>
        </w:rPr>
        <w:t>Although DWF rates increased from 2019 to 2025 at each of the compliance sites,</w:t>
      </w:r>
      <w:r w:rsidR="00CC41FB">
        <w:rPr>
          <w:bCs/>
        </w:rPr>
        <w:t xml:space="preserve"> flow </w:t>
      </w:r>
      <w:r w:rsidRPr="004F52E7">
        <w:rPr>
          <w:bCs/>
        </w:rPr>
        <w:t xml:space="preserve">rates </w:t>
      </w:r>
      <w:r w:rsidR="00CC41FB">
        <w:rPr>
          <w:bCs/>
        </w:rPr>
        <w:t xml:space="preserve">have overall declined </w:t>
      </w:r>
      <w:r w:rsidRPr="004F52E7">
        <w:rPr>
          <w:bCs/>
        </w:rPr>
        <w:t xml:space="preserve">from 2007 to present </w:t>
      </w:r>
      <w:r>
        <w:rPr>
          <w:b/>
        </w:rPr>
        <w:t>(</w:t>
      </w:r>
      <w:r w:rsidR="00524F10" w:rsidRPr="00E16471">
        <w:rPr>
          <w:b/>
        </w:rPr>
        <w:t>Table 3-</w:t>
      </w:r>
      <w:r w:rsidR="00524F10">
        <w:rPr>
          <w:b/>
        </w:rPr>
        <w:t>2</w:t>
      </w:r>
      <w:r w:rsidR="00CC41FB">
        <w:rPr>
          <w:b/>
        </w:rPr>
        <w:t>, Figure 3-2</w:t>
      </w:r>
      <w:r>
        <w:rPr>
          <w:b/>
        </w:rPr>
        <w:t>)</w:t>
      </w:r>
      <w:r w:rsidR="00524F10">
        <w:t xml:space="preserve"> </w:t>
      </w:r>
      <w:r w:rsidR="00EC2773">
        <w:t xml:space="preserve">Individual flow rates per site visit are provided in </w:t>
      </w:r>
      <w:r w:rsidR="00EC2773" w:rsidRPr="004F52E7">
        <w:rPr>
          <w:b/>
          <w:bCs/>
        </w:rPr>
        <w:t>Appendix B</w:t>
      </w:r>
      <w:r w:rsidR="00524F10">
        <w:t xml:space="preserve">. </w:t>
      </w:r>
      <w:r w:rsidR="007F2747">
        <w:t xml:space="preserve">This summary does not include </w:t>
      </w:r>
      <w:r w:rsidR="002705D0">
        <w:t>Mill-</w:t>
      </w:r>
      <w:r w:rsidR="007F2747">
        <w:t xml:space="preserve">Cucamonga Creek </w:t>
      </w:r>
      <w:r w:rsidR="00DC138C" w:rsidRPr="004F52E7">
        <w:t>because the extreme temporal variability of RP1 effluent discharge rate make</w:t>
      </w:r>
      <w:r w:rsidR="002705D0" w:rsidRPr="004F52E7">
        <w:t>s</w:t>
      </w:r>
      <w:r w:rsidR="00DC138C" w:rsidRPr="004F52E7">
        <w:t xml:space="preserve"> it </w:t>
      </w:r>
      <w:r w:rsidR="00103604" w:rsidRPr="004F52E7">
        <w:t xml:space="preserve">infeasible to support a flow balance </w:t>
      </w:r>
      <w:r w:rsidR="00FF12A1" w:rsidRPr="004F52E7">
        <w:t>using singe point in time measurements</w:t>
      </w:r>
      <w:r w:rsidR="003D7117" w:rsidRPr="004F52E7">
        <w:t xml:space="preserve"> (see Section 3.</w:t>
      </w:r>
      <w:r w:rsidR="004F52E7" w:rsidRPr="004F52E7">
        <w:t>2</w:t>
      </w:r>
      <w:r w:rsidR="003D7117" w:rsidRPr="004F52E7">
        <w:t>.</w:t>
      </w:r>
      <w:r w:rsidR="004F52E7" w:rsidRPr="004F52E7">
        <w:t>4</w:t>
      </w:r>
      <w:r w:rsidR="003D7117" w:rsidRPr="004F52E7">
        <w:t xml:space="preserve"> for</w:t>
      </w:r>
      <w:r w:rsidR="003D7117">
        <w:t xml:space="preserve"> more detailed summary of DWF and bacteria in Mill-Cucamonga Creek watershed). </w:t>
      </w:r>
    </w:p>
    <w:tbl>
      <w:tblPr>
        <w:tblW w:w="9090" w:type="dxa"/>
        <w:tblLayout w:type="fixed"/>
        <w:tblLook w:val="04A0" w:firstRow="1" w:lastRow="0" w:firstColumn="1" w:lastColumn="0" w:noHBand="0" w:noVBand="1"/>
      </w:tblPr>
      <w:tblGrid>
        <w:gridCol w:w="1350"/>
        <w:gridCol w:w="3780"/>
        <w:gridCol w:w="990"/>
        <w:gridCol w:w="990"/>
        <w:gridCol w:w="990"/>
        <w:gridCol w:w="990"/>
      </w:tblGrid>
      <w:tr w:rsidR="00EE7F9A" w:rsidRPr="00A05939" w14:paraId="4B2F8E9A" w14:textId="77777777" w:rsidTr="00922172">
        <w:trPr>
          <w:trHeight w:val="270"/>
        </w:trPr>
        <w:tc>
          <w:tcPr>
            <w:tcW w:w="9090" w:type="dxa"/>
            <w:gridSpan w:val="6"/>
            <w:tcBorders>
              <w:bottom w:val="single" w:sz="4" w:space="0" w:color="auto"/>
            </w:tcBorders>
          </w:tcPr>
          <w:p w14:paraId="16E0DA9E" w14:textId="41CB22C2" w:rsidR="00EE7F9A" w:rsidRPr="00A05939" w:rsidRDefault="00223F5D" w:rsidP="00A94C91">
            <w:pPr>
              <w:pStyle w:val="TableTitle"/>
              <w:rPr>
                <w:rFonts w:ascii="Arial" w:hAnsi="Arial" w:cs="Arial"/>
                <w:b w:val="0"/>
                <w:bCs/>
              </w:rPr>
            </w:pPr>
            <w:bookmarkStart w:id="66" w:name="_Toc217391759"/>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2</w:t>
            </w:r>
            <w:r w:rsidR="00FE614C">
              <w:fldChar w:fldCharType="end"/>
            </w:r>
            <w:r>
              <w:t>.</w:t>
            </w:r>
            <w:r w:rsidRPr="00223F5D">
              <w:t xml:space="preserve"> </w:t>
            </w:r>
            <w:r w:rsidRPr="00A94C91">
              <w:t>Comparison of Average DFW Measurements at Tier 1 Sites from 2007–2025</w:t>
            </w:r>
            <w:bookmarkEnd w:id="66"/>
          </w:p>
        </w:tc>
      </w:tr>
      <w:tr w:rsidR="00A05939" w:rsidRPr="008E33BD" w14:paraId="78736389" w14:textId="77777777" w:rsidTr="004F52E7">
        <w:trPr>
          <w:trHeight w:val="360"/>
        </w:trPr>
        <w:tc>
          <w:tcPr>
            <w:tcW w:w="135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7E946A" w14:textId="77777777" w:rsidR="00A05939" w:rsidRPr="008E33BD" w:rsidRDefault="00A05939" w:rsidP="001502AA">
            <w:pPr>
              <w:spacing w:line="240" w:lineRule="auto"/>
              <w:jc w:val="center"/>
              <w:rPr>
                <w:rFonts w:ascii="Arial" w:hAnsi="Arial" w:cs="Arial"/>
                <w:b/>
                <w:bCs/>
                <w:sz w:val="18"/>
                <w:szCs w:val="18"/>
              </w:rPr>
            </w:pPr>
            <w:r w:rsidRPr="008E33BD">
              <w:rPr>
                <w:rFonts w:ascii="Arial" w:hAnsi="Arial" w:cs="Arial"/>
                <w:b/>
                <w:sz w:val="18"/>
                <w:szCs w:val="18"/>
              </w:rPr>
              <w:t>Compliance Site</w:t>
            </w:r>
          </w:p>
        </w:tc>
        <w:tc>
          <w:tcPr>
            <w:tcW w:w="378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10AAFB" w14:textId="77777777" w:rsidR="00A05939" w:rsidRPr="008E33BD" w:rsidRDefault="00A05939" w:rsidP="001502AA">
            <w:pPr>
              <w:spacing w:line="240" w:lineRule="auto"/>
              <w:jc w:val="center"/>
              <w:rPr>
                <w:rFonts w:ascii="Arial" w:hAnsi="Arial" w:cs="Arial"/>
                <w:b/>
                <w:bCs/>
                <w:sz w:val="18"/>
                <w:szCs w:val="18"/>
              </w:rPr>
            </w:pPr>
            <w:r w:rsidRPr="008E33BD">
              <w:rPr>
                <w:rFonts w:ascii="Arial" w:hAnsi="Arial" w:cs="Arial"/>
                <w:b/>
                <w:bCs/>
                <w:sz w:val="18"/>
                <w:szCs w:val="18"/>
              </w:rPr>
              <w:t>Tier 1 Site</w:t>
            </w:r>
          </w:p>
        </w:tc>
        <w:tc>
          <w:tcPr>
            <w:tcW w:w="396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7C3E6B" w14:textId="56699DE5" w:rsidR="00A05939" w:rsidRPr="008E33BD" w:rsidRDefault="00A05939" w:rsidP="001502AA">
            <w:pPr>
              <w:spacing w:line="240" w:lineRule="auto"/>
              <w:jc w:val="center"/>
              <w:rPr>
                <w:rFonts w:ascii="Arial" w:hAnsi="Arial" w:cs="Arial"/>
                <w:b/>
                <w:bCs/>
                <w:sz w:val="18"/>
                <w:szCs w:val="18"/>
              </w:rPr>
            </w:pPr>
            <w:r w:rsidRPr="008E33BD">
              <w:rPr>
                <w:rFonts w:ascii="Arial" w:hAnsi="Arial" w:cs="Arial"/>
                <w:b/>
                <w:bCs/>
                <w:sz w:val="18"/>
                <w:szCs w:val="18"/>
              </w:rPr>
              <w:t>Average MS4 Dry Weather Flow (cfs)</w:t>
            </w:r>
          </w:p>
        </w:tc>
      </w:tr>
      <w:tr w:rsidR="00A05939" w:rsidRPr="008E33BD" w14:paraId="000F7EF0" w14:textId="77777777" w:rsidTr="004F52E7">
        <w:trPr>
          <w:trHeight w:val="360"/>
        </w:trPr>
        <w:tc>
          <w:tcPr>
            <w:tcW w:w="135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BE88B6" w14:textId="77777777" w:rsidR="00A05939" w:rsidRPr="008E33BD" w:rsidRDefault="00A05939" w:rsidP="00A05939">
            <w:pPr>
              <w:spacing w:line="240" w:lineRule="auto"/>
              <w:rPr>
                <w:rFonts w:ascii="Arial" w:hAnsi="Arial" w:cs="Arial"/>
                <w:b/>
                <w:bCs/>
                <w:sz w:val="18"/>
                <w:szCs w:val="18"/>
              </w:rPr>
            </w:pPr>
          </w:p>
        </w:tc>
        <w:tc>
          <w:tcPr>
            <w:tcW w:w="378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8F9765" w14:textId="77777777" w:rsidR="00A05939" w:rsidRPr="008E33BD" w:rsidRDefault="00A05939" w:rsidP="00A05939">
            <w:pPr>
              <w:spacing w:line="240" w:lineRule="auto"/>
              <w:rPr>
                <w:rFonts w:ascii="Arial" w:hAnsi="Arial" w:cs="Arial"/>
                <w:b/>
                <w:bCs/>
                <w:sz w:val="18"/>
                <w:szCs w:val="18"/>
              </w:rPr>
            </w:pP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AFB91C" w14:textId="77777777" w:rsidR="00A05939" w:rsidRPr="008E33BD" w:rsidRDefault="00A05939" w:rsidP="00A05939">
            <w:pPr>
              <w:spacing w:line="240" w:lineRule="auto"/>
              <w:jc w:val="center"/>
              <w:rPr>
                <w:rFonts w:ascii="Arial" w:hAnsi="Arial" w:cs="Arial"/>
                <w:b/>
                <w:bCs/>
                <w:sz w:val="18"/>
                <w:szCs w:val="18"/>
              </w:rPr>
            </w:pPr>
            <w:r w:rsidRPr="008E33BD">
              <w:rPr>
                <w:rFonts w:ascii="Arial" w:hAnsi="Arial" w:cs="Arial"/>
                <w:b/>
                <w:bCs/>
                <w:sz w:val="18"/>
                <w:szCs w:val="18"/>
              </w:rPr>
              <w:t>2007</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5D4296" w14:textId="5EF2754A" w:rsidR="00A05939" w:rsidRPr="008E33BD" w:rsidRDefault="00A05939" w:rsidP="00A05939">
            <w:pPr>
              <w:spacing w:line="240" w:lineRule="auto"/>
              <w:jc w:val="center"/>
              <w:rPr>
                <w:rFonts w:ascii="Arial" w:hAnsi="Arial" w:cs="Arial"/>
                <w:b/>
                <w:bCs/>
                <w:sz w:val="18"/>
                <w:szCs w:val="18"/>
              </w:rPr>
            </w:pPr>
            <w:r w:rsidRPr="008E33BD">
              <w:rPr>
                <w:rFonts w:ascii="Arial" w:hAnsi="Arial" w:cs="Arial"/>
                <w:b/>
                <w:bCs/>
                <w:sz w:val="18"/>
                <w:szCs w:val="18"/>
              </w:rPr>
              <w:t>201</w:t>
            </w:r>
            <w:r w:rsidR="009652B6">
              <w:rPr>
                <w:rFonts w:ascii="Arial" w:hAnsi="Arial" w:cs="Arial"/>
                <w:b/>
                <w:bCs/>
                <w:sz w:val="18"/>
                <w:szCs w:val="18"/>
              </w:rPr>
              <w:t>2</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2EB5D7" w14:textId="4622095F" w:rsidR="00A05939" w:rsidRPr="008E33BD" w:rsidRDefault="00A05939" w:rsidP="00A05939">
            <w:pPr>
              <w:spacing w:line="240" w:lineRule="auto"/>
              <w:jc w:val="center"/>
              <w:rPr>
                <w:rFonts w:ascii="Arial" w:hAnsi="Arial" w:cs="Arial"/>
                <w:b/>
                <w:bCs/>
                <w:sz w:val="18"/>
                <w:szCs w:val="18"/>
              </w:rPr>
            </w:pPr>
            <w:r w:rsidRPr="008E33BD">
              <w:rPr>
                <w:rFonts w:ascii="Arial" w:hAnsi="Arial" w:cs="Arial"/>
                <w:b/>
                <w:bCs/>
                <w:sz w:val="18"/>
                <w:szCs w:val="18"/>
              </w:rPr>
              <w:t>2019</w:t>
            </w:r>
          </w:p>
        </w:tc>
        <w:tc>
          <w:tcPr>
            <w:tcW w:w="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0D03F0B" w14:textId="5B1E693F" w:rsidR="00A05939" w:rsidRPr="008E33BD" w:rsidRDefault="00A05939" w:rsidP="00A05939">
            <w:pPr>
              <w:spacing w:line="240" w:lineRule="auto"/>
              <w:jc w:val="center"/>
              <w:rPr>
                <w:rFonts w:ascii="Arial" w:hAnsi="Arial" w:cs="Arial"/>
                <w:b/>
                <w:bCs/>
                <w:sz w:val="18"/>
                <w:szCs w:val="18"/>
              </w:rPr>
            </w:pPr>
            <w:r w:rsidRPr="008E33BD">
              <w:rPr>
                <w:rFonts w:ascii="Arial" w:hAnsi="Arial" w:cs="Arial"/>
                <w:b/>
                <w:bCs/>
                <w:sz w:val="18"/>
                <w:szCs w:val="18"/>
              </w:rPr>
              <w:t>20</w:t>
            </w:r>
            <w:r w:rsidR="00373941" w:rsidRPr="008E33BD">
              <w:rPr>
                <w:rFonts w:ascii="Arial" w:hAnsi="Arial" w:cs="Arial"/>
                <w:b/>
                <w:bCs/>
                <w:sz w:val="18"/>
                <w:szCs w:val="18"/>
              </w:rPr>
              <w:t>25</w:t>
            </w:r>
          </w:p>
        </w:tc>
      </w:tr>
      <w:tr w:rsidR="00A05939" w:rsidRPr="008E33BD" w14:paraId="49DB3443" w14:textId="77777777" w:rsidTr="00D82992">
        <w:trPr>
          <w:trHeight w:val="382"/>
        </w:trPr>
        <w:tc>
          <w:tcPr>
            <w:tcW w:w="1350" w:type="dxa"/>
            <w:vMerge w:val="restart"/>
            <w:tcBorders>
              <w:top w:val="single" w:sz="4" w:space="0" w:color="auto"/>
              <w:left w:val="single" w:sz="4" w:space="0" w:color="auto"/>
              <w:right w:val="single" w:sz="4" w:space="0" w:color="auto"/>
            </w:tcBorders>
            <w:vAlign w:val="center"/>
          </w:tcPr>
          <w:p w14:paraId="6D856D10" w14:textId="77777777" w:rsidR="00A05939" w:rsidRPr="008E33BD" w:rsidRDefault="00A05939" w:rsidP="00A05939">
            <w:pPr>
              <w:spacing w:line="240" w:lineRule="auto"/>
              <w:jc w:val="center"/>
              <w:rPr>
                <w:rFonts w:ascii="Arial" w:hAnsi="Arial" w:cs="Arial"/>
                <w:b/>
                <w:sz w:val="18"/>
                <w:szCs w:val="18"/>
              </w:rPr>
            </w:pPr>
            <w:r w:rsidRPr="008E33BD">
              <w:rPr>
                <w:rFonts w:ascii="Arial" w:hAnsi="Arial" w:cs="Arial"/>
                <w:b/>
                <w:sz w:val="18"/>
                <w:szCs w:val="18"/>
              </w:rPr>
              <w:t>Chino Creek at Central Avenue (WW-C7)</w:t>
            </w: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32B601A4" w14:textId="18713AD3"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 CHINOCRK - Chino Creek above S</w:t>
            </w:r>
            <w:r w:rsidR="009E4476" w:rsidRPr="008E33BD">
              <w:rPr>
                <w:rFonts w:ascii="Arial" w:hAnsi="Arial" w:cs="Arial"/>
                <w:sz w:val="18"/>
                <w:szCs w:val="18"/>
              </w:rPr>
              <w:t>ACH</w:t>
            </w:r>
          </w:p>
        </w:tc>
        <w:tc>
          <w:tcPr>
            <w:tcW w:w="990" w:type="dxa"/>
            <w:tcBorders>
              <w:top w:val="single" w:sz="4" w:space="0" w:color="auto"/>
              <w:left w:val="single" w:sz="4" w:space="0" w:color="auto"/>
              <w:bottom w:val="single" w:sz="4" w:space="0" w:color="auto"/>
              <w:right w:val="single" w:sz="4" w:space="0" w:color="auto"/>
            </w:tcBorders>
            <w:vAlign w:val="center"/>
          </w:tcPr>
          <w:p w14:paraId="0B69B764" w14:textId="0F2144FA" w:rsidR="00A05939" w:rsidRPr="008E33BD" w:rsidRDefault="009E4476" w:rsidP="00A05939">
            <w:pPr>
              <w:spacing w:line="240" w:lineRule="auto"/>
              <w:jc w:val="center"/>
              <w:rPr>
                <w:rFonts w:ascii="Arial" w:hAnsi="Arial" w:cs="Arial"/>
                <w:sz w:val="18"/>
                <w:szCs w:val="18"/>
              </w:rPr>
            </w:pPr>
            <w:r w:rsidRPr="008E33BD">
              <w:rPr>
                <w:rFonts w:ascii="Arial" w:hAnsi="Arial" w:cs="Arial"/>
                <w:sz w:val="18"/>
                <w:szCs w:val="18"/>
              </w:rPr>
              <w:t>NM</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1AD1D64" w14:textId="4864610C" w:rsidR="00A05939" w:rsidRPr="008E33BD" w:rsidRDefault="009652B6" w:rsidP="00A05939">
            <w:pPr>
              <w:spacing w:line="240" w:lineRule="auto"/>
              <w:jc w:val="center"/>
              <w:rPr>
                <w:rFonts w:ascii="Arial" w:hAnsi="Arial" w:cs="Arial"/>
                <w:sz w:val="18"/>
                <w:szCs w:val="18"/>
              </w:rPr>
            </w:pPr>
            <w:r>
              <w:rPr>
                <w:rFonts w:ascii="Arial" w:hAnsi="Arial" w:cs="Arial"/>
                <w:sz w:val="18"/>
                <w:szCs w:val="18"/>
              </w:rPr>
              <w:t>1.70</w:t>
            </w:r>
          </w:p>
        </w:tc>
        <w:tc>
          <w:tcPr>
            <w:tcW w:w="990" w:type="dxa"/>
            <w:tcBorders>
              <w:top w:val="single" w:sz="4" w:space="0" w:color="auto"/>
              <w:bottom w:val="single" w:sz="4" w:space="0" w:color="auto"/>
            </w:tcBorders>
            <w:vAlign w:val="center"/>
          </w:tcPr>
          <w:p w14:paraId="7F4945F5" w14:textId="22CE53EF"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0.53</w:t>
            </w:r>
          </w:p>
        </w:tc>
        <w:tc>
          <w:tcPr>
            <w:tcW w:w="990" w:type="dxa"/>
            <w:tcBorders>
              <w:top w:val="single" w:sz="4" w:space="0" w:color="auto"/>
              <w:left w:val="single" w:sz="4" w:space="0" w:color="auto"/>
              <w:bottom w:val="single" w:sz="4" w:space="0" w:color="auto"/>
              <w:right w:val="single" w:sz="4" w:space="0" w:color="auto"/>
            </w:tcBorders>
            <w:noWrap/>
            <w:vAlign w:val="center"/>
          </w:tcPr>
          <w:p w14:paraId="194D69A9" w14:textId="0C591416" w:rsidR="00A05939" w:rsidRPr="009652B6" w:rsidRDefault="00403DC0" w:rsidP="00A05939">
            <w:pPr>
              <w:spacing w:line="240" w:lineRule="auto"/>
              <w:jc w:val="center"/>
              <w:rPr>
                <w:rFonts w:ascii="Arial" w:hAnsi="Arial" w:cs="Arial"/>
                <w:b/>
                <w:bCs/>
                <w:sz w:val="18"/>
                <w:szCs w:val="18"/>
              </w:rPr>
            </w:pPr>
            <w:r w:rsidRPr="009652B6">
              <w:rPr>
                <w:rFonts w:ascii="Arial" w:hAnsi="Arial" w:cs="Arial"/>
                <w:b/>
                <w:bCs/>
                <w:sz w:val="18"/>
                <w:szCs w:val="18"/>
              </w:rPr>
              <w:t>0.91</w:t>
            </w:r>
          </w:p>
        </w:tc>
      </w:tr>
      <w:tr w:rsidR="00A05939" w:rsidRPr="008E33BD" w14:paraId="3F614C6A" w14:textId="77777777" w:rsidTr="00D82992">
        <w:trPr>
          <w:trHeight w:val="382"/>
        </w:trPr>
        <w:tc>
          <w:tcPr>
            <w:tcW w:w="1350" w:type="dxa"/>
            <w:vMerge/>
            <w:tcBorders>
              <w:left w:val="single" w:sz="4" w:space="0" w:color="auto"/>
              <w:right w:val="single" w:sz="4" w:space="0" w:color="auto"/>
            </w:tcBorders>
            <w:vAlign w:val="center"/>
          </w:tcPr>
          <w:p w14:paraId="7970CD32"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777CF5B7"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 BRSC - Boys Republic South Channel</w:t>
            </w:r>
          </w:p>
        </w:tc>
        <w:tc>
          <w:tcPr>
            <w:tcW w:w="990" w:type="dxa"/>
            <w:tcBorders>
              <w:top w:val="single" w:sz="4" w:space="0" w:color="auto"/>
              <w:left w:val="single" w:sz="4" w:space="0" w:color="auto"/>
              <w:bottom w:val="single" w:sz="4" w:space="0" w:color="auto"/>
              <w:right w:val="single" w:sz="4" w:space="0" w:color="auto"/>
            </w:tcBorders>
            <w:vAlign w:val="center"/>
          </w:tcPr>
          <w:p w14:paraId="0FEB65BE" w14:textId="430C5444" w:rsidR="00A05939" w:rsidRPr="008E33BD" w:rsidRDefault="009E4476" w:rsidP="00A05939">
            <w:pPr>
              <w:spacing w:line="240" w:lineRule="auto"/>
              <w:jc w:val="center"/>
              <w:rPr>
                <w:rFonts w:ascii="Arial" w:hAnsi="Arial" w:cs="Arial"/>
                <w:sz w:val="18"/>
                <w:szCs w:val="18"/>
              </w:rPr>
            </w:pPr>
            <w:r w:rsidRPr="008E33BD">
              <w:rPr>
                <w:rFonts w:ascii="Arial" w:hAnsi="Arial" w:cs="Arial"/>
                <w:sz w:val="18"/>
                <w:szCs w:val="18"/>
              </w:rPr>
              <w:t>NM</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4AAF207" w14:textId="4DEBF495"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w:t>
            </w:r>
            <w:r w:rsidR="009652B6">
              <w:rPr>
                <w:rFonts w:ascii="Arial" w:hAnsi="Arial" w:cs="Arial"/>
                <w:sz w:val="18"/>
                <w:szCs w:val="18"/>
              </w:rPr>
              <w:t>.44</w:t>
            </w:r>
          </w:p>
        </w:tc>
        <w:tc>
          <w:tcPr>
            <w:tcW w:w="990" w:type="dxa"/>
            <w:tcBorders>
              <w:top w:val="single" w:sz="4" w:space="0" w:color="auto"/>
              <w:bottom w:val="single" w:sz="4" w:space="0" w:color="auto"/>
            </w:tcBorders>
            <w:vAlign w:val="center"/>
          </w:tcPr>
          <w:p w14:paraId="1236B8B2" w14:textId="6076CA2B"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0.13</w:t>
            </w:r>
          </w:p>
        </w:tc>
        <w:tc>
          <w:tcPr>
            <w:tcW w:w="990" w:type="dxa"/>
            <w:tcBorders>
              <w:top w:val="single" w:sz="4" w:space="0" w:color="auto"/>
              <w:left w:val="single" w:sz="4" w:space="0" w:color="auto"/>
              <w:bottom w:val="single" w:sz="4" w:space="0" w:color="auto"/>
              <w:right w:val="single" w:sz="4" w:space="0" w:color="auto"/>
            </w:tcBorders>
            <w:noWrap/>
            <w:vAlign w:val="center"/>
          </w:tcPr>
          <w:p w14:paraId="3D13E5BD" w14:textId="2157CCE0" w:rsidR="00A05939" w:rsidRPr="008E33BD" w:rsidRDefault="004C25F7" w:rsidP="00A05939">
            <w:pPr>
              <w:spacing w:line="240" w:lineRule="auto"/>
              <w:jc w:val="center"/>
              <w:rPr>
                <w:rFonts w:ascii="Arial" w:hAnsi="Arial" w:cs="Arial"/>
                <w:sz w:val="18"/>
                <w:szCs w:val="18"/>
              </w:rPr>
            </w:pPr>
            <w:r w:rsidRPr="008E33BD">
              <w:rPr>
                <w:rFonts w:ascii="Arial" w:hAnsi="Arial" w:cs="Arial"/>
                <w:sz w:val="18"/>
                <w:szCs w:val="18"/>
              </w:rPr>
              <w:t>0.08</w:t>
            </w:r>
          </w:p>
        </w:tc>
      </w:tr>
      <w:tr w:rsidR="00A05939" w:rsidRPr="008E33BD" w14:paraId="6D520687" w14:textId="77777777" w:rsidTr="00D82992">
        <w:trPr>
          <w:trHeight w:val="382"/>
        </w:trPr>
        <w:tc>
          <w:tcPr>
            <w:tcW w:w="1350" w:type="dxa"/>
            <w:vMerge/>
            <w:tcBorders>
              <w:left w:val="single" w:sz="4" w:space="0" w:color="auto"/>
              <w:right w:val="single" w:sz="4" w:space="0" w:color="auto"/>
            </w:tcBorders>
            <w:vAlign w:val="center"/>
          </w:tcPr>
          <w:p w14:paraId="12BD66A9"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0718274E"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T1-CCCH - Carbon Canyon Creek</w:t>
            </w:r>
          </w:p>
        </w:tc>
        <w:tc>
          <w:tcPr>
            <w:tcW w:w="990" w:type="dxa"/>
            <w:tcBorders>
              <w:top w:val="single" w:sz="4" w:space="0" w:color="auto"/>
              <w:left w:val="single" w:sz="4" w:space="0" w:color="auto"/>
              <w:bottom w:val="single" w:sz="4" w:space="0" w:color="auto"/>
              <w:right w:val="single" w:sz="4" w:space="0" w:color="auto"/>
            </w:tcBorders>
            <w:vAlign w:val="center"/>
          </w:tcPr>
          <w:p w14:paraId="44A8A0DF" w14:textId="7012CF31"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6.</w:t>
            </w:r>
            <w:r w:rsidR="00A47B82">
              <w:rPr>
                <w:rFonts w:ascii="Arial" w:hAnsi="Arial" w:cs="Arial"/>
                <w:sz w:val="18"/>
                <w:szCs w:val="18"/>
              </w:rPr>
              <w:t>50</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14305412" w14:textId="1CA38D8E" w:rsidR="00A05939" w:rsidRPr="008E33BD" w:rsidRDefault="009652B6" w:rsidP="00A05939">
            <w:pPr>
              <w:spacing w:line="240" w:lineRule="auto"/>
              <w:jc w:val="center"/>
              <w:rPr>
                <w:rFonts w:ascii="Arial" w:hAnsi="Arial" w:cs="Arial"/>
                <w:sz w:val="18"/>
                <w:szCs w:val="18"/>
              </w:rPr>
            </w:pPr>
            <w:r>
              <w:rPr>
                <w:rFonts w:ascii="Arial" w:hAnsi="Arial" w:cs="Arial"/>
                <w:sz w:val="18"/>
                <w:szCs w:val="18"/>
              </w:rPr>
              <w:t>4.52</w:t>
            </w:r>
          </w:p>
        </w:tc>
        <w:tc>
          <w:tcPr>
            <w:tcW w:w="990" w:type="dxa"/>
            <w:tcBorders>
              <w:top w:val="single" w:sz="4" w:space="0" w:color="auto"/>
              <w:bottom w:val="single" w:sz="4" w:space="0" w:color="auto"/>
            </w:tcBorders>
            <w:vAlign w:val="center"/>
          </w:tcPr>
          <w:p w14:paraId="08596D10" w14:textId="4836C55D"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0.46</w:t>
            </w:r>
          </w:p>
        </w:tc>
        <w:tc>
          <w:tcPr>
            <w:tcW w:w="990" w:type="dxa"/>
            <w:tcBorders>
              <w:top w:val="single" w:sz="4" w:space="0" w:color="auto"/>
              <w:left w:val="single" w:sz="4" w:space="0" w:color="auto"/>
              <w:bottom w:val="single" w:sz="4" w:space="0" w:color="auto"/>
              <w:right w:val="single" w:sz="4" w:space="0" w:color="auto"/>
            </w:tcBorders>
            <w:noWrap/>
            <w:vAlign w:val="center"/>
          </w:tcPr>
          <w:p w14:paraId="1D15EDD7" w14:textId="3524615F" w:rsidR="00A05939" w:rsidRPr="009652B6" w:rsidRDefault="004C25F7" w:rsidP="00A05939">
            <w:pPr>
              <w:spacing w:line="240" w:lineRule="auto"/>
              <w:jc w:val="center"/>
              <w:rPr>
                <w:rFonts w:ascii="Arial" w:hAnsi="Arial" w:cs="Arial"/>
                <w:b/>
                <w:bCs/>
                <w:sz w:val="18"/>
                <w:szCs w:val="18"/>
              </w:rPr>
            </w:pPr>
            <w:r w:rsidRPr="009652B6">
              <w:rPr>
                <w:rFonts w:ascii="Arial" w:hAnsi="Arial" w:cs="Arial"/>
                <w:b/>
                <w:bCs/>
                <w:sz w:val="18"/>
                <w:szCs w:val="18"/>
              </w:rPr>
              <w:t>0.81</w:t>
            </w:r>
          </w:p>
        </w:tc>
      </w:tr>
      <w:tr w:rsidR="00A05939" w:rsidRPr="008E33BD" w14:paraId="1D5F5F04" w14:textId="77777777" w:rsidTr="00D82992">
        <w:trPr>
          <w:trHeight w:val="382"/>
        </w:trPr>
        <w:tc>
          <w:tcPr>
            <w:tcW w:w="1350" w:type="dxa"/>
            <w:vMerge/>
            <w:tcBorders>
              <w:left w:val="single" w:sz="4" w:space="0" w:color="auto"/>
              <w:right w:val="single" w:sz="4" w:space="0" w:color="auto"/>
            </w:tcBorders>
            <w:vAlign w:val="center"/>
          </w:tcPr>
          <w:p w14:paraId="7ED1566F"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3FEDE805"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T1-SACH - San Antonio Channel</w:t>
            </w:r>
            <w:r w:rsidRPr="008E33BD">
              <w:rPr>
                <w:rFonts w:ascii="Arial" w:hAnsi="Arial" w:cs="Arial"/>
                <w:sz w:val="18"/>
                <w:szCs w:val="18"/>
                <w:vertAlign w:val="superscript"/>
              </w:rPr>
              <w:t>1</w:t>
            </w:r>
          </w:p>
        </w:tc>
        <w:tc>
          <w:tcPr>
            <w:tcW w:w="990" w:type="dxa"/>
            <w:tcBorders>
              <w:top w:val="single" w:sz="4" w:space="0" w:color="auto"/>
              <w:left w:val="single" w:sz="4" w:space="0" w:color="auto"/>
              <w:bottom w:val="single" w:sz="4" w:space="0" w:color="auto"/>
              <w:right w:val="single" w:sz="4" w:space="0" w:color="auto"/>
            </w:tcBorders>
            <w:vAlign w:val="center"/>
          </w:tcPr>
          <w:p w14:paraId="24EADFDC" w14:textId="497A32B6"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w:t>
            </w:r>
            <w:r w:rsidR="00A47B82">
              <w:rPr>
                <w:rFonts w:ascii="Arial" w:hAnsi="Arial" w:cs="Arial"/>
                <w:sz w:val="18"/>
                <w:szCs w:val="18"/>
              </w:rPr>
              <w:t>70</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19ABECE" w14:textId="20C6D428"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0.01</w:t>
            </w:r>
          </w:p>
        </w:tc>
        <w:tc>
          <w:tcPr>
            <w:tcW w:w="990" w:type="dxa"/>
            <w:tcBorders>
              <w:top w:val="single" w:sz="4" w:space="0" w:color="auto"/>
              <w:bottom w:val="single" w:sz="4" w:space="0" w:color="auto"/>
            </w:tcBorders>
            <w:vAlign w:val="center"/>
          </w:tcPr>
          <w:p w14:paraId="3708980E" w14:textId="783E5048"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0.01</w:t>
            </w:r>
          </w:p>
        </w:tc>
        <w:tc>
          <w:tcPr>
            <w:tcW w:w="990" w:type="dxa"/>
            <w:tcBorders>
              <w:top w:val="single" w:sz="4" w:space="0" w:color="auto"/>
              <w:left w:val="single" w:sz="4" w:space="0" w:color="auto"/>
              <w:bottom w:val="single" w:sz="4" w:space="0" w:color="auto"/>
              <w:right w:val="single" w:sz="4" w:space="0" w:color="auto"/>
            </w:tcBorders>
            <w:noWrap/>
            <w:vAlign w:val="center"/>
          </w:tcPr>
          <w:p w14:paraId="0896D468" w14:textId="4860ECF6" w:rsidR="00A05939" w:rsidRPr="009652B6" w:rsidRDefault="004C25F7" w:rsidP="00A05939">
            <w:pPr>
              <w:spacing w:line="240" w:lineRule="auto"/>
              <w:jc w:val="center"/>
              <w:rPr>
                <w:rFonts w:ascii="Arial" w:hAnsi="Arial" w:cs="Arial"/>
                <w:b/>
                <w:bCs/>
                <w:sz w:val="18"/>
                <w:szCs w:val="18"/>
              </w:rPr>
            </w:pPr>
            <w:r w:rsidRPr="009652B6">
              <w:rPr>
                <w:rFonts w:ascii="Arial" w:hAnsi="Arial" w:cs="Arial"/>
                <w:b/>
                <w:bCs/>
                <w:sz w:val="18"/>
                <w:szCs w:val="18"/>
              </w:rPr>
              <w:t>0.06</w:t>
            </w:r>
          </w:p>
        </w:tc>
      </w:tr>
      <w:tr w:rsidR="00A05939" w:rsidRPr="008E33BD" w14:paraId="2CFFB8B4" w14:textId="77777777" w:rsidTr="00D82992">
        <w:trPr>
          <w:trHeight w:val="382"/>
        </w:trPr>
        <w:tc>
          <w:tcPr>
            <w:tcW w:w="1350" w:type="dxa"/>
            <w:vMerge/>
            <w:tcBorders>
              <w:left w:val="single" w:sz="4" w:space="0" w:color="auto"/>
              <w:right w:val="single" w:sz="4" w:space="0" w:color="auto"/>
            </w:tcBorders>
            <w:vAlign w:val="center"/>
          </w:tcPr>
          <w:p w14:paraId="6ECCEFFF"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471FF7C8"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T1-LLSC – Lake Los Serranos Channel</w:t>
            </w:r>
          </w:p>
        </w:tc>
        <w:tc>
          <w:tcPr>
            <w:tcW w:w="990" w:type="dxa"/>
            <w:tcBorders>
              <w:top w:val="single" w:sz="4" w:space="0" w:color="auto"/>
              <w:left w:val="single" w:sz="4" w:space="0" w:color="auto"/>
              <w:bottom w:val="single" w:sz="4" w:space="0" w:color="auto"/>
              <w:right w:val="single" w:sz="4" w:space="0" w:color="auto"/>
            </w:tcBorders>
            <w:vAlign w:val="center"/>
          </w:tcPr>
          <w:p w14:paraId="30718E19" w14:textId="765CCE4E" w:rsidR="00A05939" w:rsidRPr="008E33BD" w:rsidRDefault="009E4476" w:rsidP="00A05939">
            <w:pPr>
              <w:spacing w:line="240" w:lineRule="auto"/>
              <w:jc w:val="center"/>
              <w:rPr>
                <w:rFonts w:ascii="Arial" w:hAnsi="Arial" w:cs="Arial"/>
                <w:sz w:val="18"/>
                <w:szCs w:val="18"/>
              </w:rPr>
            </w:pPr>
            <w:r w:rsidRPr="008E33BD">
              <w:rPr>
                <w:rFonts w:ascii="Arial" w:hAnsi="Arial" w:cs="Arial"/>
                <w:sz w:val="18"/>
                <w:szCs w:val="18"/>
              </w:rPr>
              <w:t>NM</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0F6511C7" w14:textId="6FF85DCF"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0.0</w:t>
            </w:r>
            <w:r w:rsidR="009652B6">
              <w:rPr>
                <w:rFonts w:ascii="Arial" w:hAnsi="Arial" w:cs="Arial"/>
                <w:sz w:val="18"/>
                <w:szCs w:val="18"/>
              </w:rPr>
              <w:t>2</w:t>
            </w:r>
          </w:p>
        </w:tc>
        <w:tc>
          <w:tcPr>
            <w:tcW w:w="990" w:type="dxa"/>
            <w:tcBorders>
              <w:top w:val="single" w:sz="4" w:space="0" w:color="auto"/>
              <w:bottom w:val="single" w:sz="4" w:space="0" w:color="auto"/>
            </w:tcBorders>
            <w:vAlign w:val="center"/>
          </w:tcPr>
          <w:p w14:paraId="0C531EB2" w14:textId="305718AA"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0.00</w:t>
            </w:r>
            <w:r w:rsidR="009652B6">
              <w:rPr>
                <w:rFonts w:ascii="Arial" w:hAnsi="Arial" w:cs="Arial"/>
                <w:sz w:val="18"/>
                <w:szCs w:val="18"/>
              </w:rPr>
              <w:t>3</w:t>
            </w:r>
          </w:p>
        </w:tc>
        <w:tc>
          <w:tcPr>
            <w:tcW w:w="990" w:type="dxa"/>
            <w:tcBorders>
              <w:top w:val="single" w:sz="4" w:space="0" w:color="auto"/>
              <w:left w:val="single" w:sz="4" w:space="0" w:color="auto"/>
              <w:bottom w:val="single" w:sz="4" w:space="0" w:color="auto"/>
              <w:right w:val="single" w:sz="4" w:space="0" w:color="auto"/>
            </w:tcBorders>
            <w:noWrap/>
            <w:vAlign w:val="center"/>
          </w:tcPr>
          <w:p w14:paraId="3367B7B7" w14:textId="014379F6" w:rsidR="00A05939" w:rsidRPr="004F52E7" w:rsidRDefault="00142A54" w:rsidP="00A05939">
            <w:pPr>
              <w:spacing w:line="240" w:lineRule="auto"/>
              <w:jc w:val="center"/>
              <w:rPr>
                <w:rFonts w:ascii="Arial" w:hAnsi="Arial" w:cs="Arial"/>
                <w:sz w:val="18"/>
                <w:szCs w:val="18"/>
              </w:rPr>
            </w:pPr>
            <w:r w:rsidRPr="004F52E7">
              <w:rPr>
                <w:rFonts w:ascii="Arial" w:hAnsi="Arial" w:cs="Arial"/>
                <w:sz w:val="18"/>
                <w:szCs w:val="18"/>
              </w:rPr>
              <w:t>0.002</w:t>
            </w:r>
          </w:p>
        </w:tc>
      </w:tr>
      <w:tr w:rsidR="00A05939" w:rsidRPr="008E33BD" w14:paraId="5B27377D" w14:textId="77777777" w:rsidTr="00D82992">
        <w:trPr>
          <w:trHeight w:val="382"/>
        </w:trPr>
        <w:tc>
          <w:tcPr>
            <w:tcW w:w="1350" w:type="dxa"/>
            <w:vMerge/>
            <w:tcBorders>
              <w:left w:val="single" w:sz="4" w:space="0" w:color="auto"/>
              <w:bottom w:val="single" w:sz="4" w:space="0" w:color="auto"/>
              <w:right w:val="single" w:sz="4" w:space="0" w:color="auto"/>
            </w:tcBorders>
            <w:vAlign w:val="center"/>
          </w:tcPr>
          <w:p w14:paraId="695DA755"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tcPr>
          <w:p w14:paraId="48E94ED5" w14:textId="2633CB68" w:rsidR="00A05939" w:rsidRPr="008E33BD" w:rsidRDefault="00A05939" w:rsidP="00A05939">
            <w:pPr>
              <w:spacing w:line="240" w:lineRule="auto"/>
              <w:rPr>
                <w:rFonts w:ascii="Arial" w:hAnsi="Arial" w:cs="Arial"/>
                <w:sz w:val="18"/>
                <w:szCs w:val="18"/>
                <w:vertAlign w:val="superscript"/>
              </w:rPr>
            </w:pPr>
            <w:r w:rsidRPr="008E33BD">
              <w:rPr>
                <w:rFonts w:ascii="Arial" w:hAnsi="Arial" w:cs="Arial"/>
                <w:sz w:val="18"/>
                <w:szCs w:val="18"/>
              </w:rPr>
              <w:t>OTHER (2007 estimate)</w:t>
            </w:r>
            <w:r w:rsidR="00CC41FB">
              <w:rPr>
                <w:rFonts w:ascii="Arial" w:hAnsi="Arial" w:cs="Arial"/>
                <w:sz w:val="18"/>
                <w:szCs w:val="18"/>
                <w:vertAlign w:val="superscript"/>
              </w:rPr>
              <w:t>2</w:t>
            </w:r>
          </w:p>
        </w:tc>
        <w:tc>
          <w:tcPr>
            <w:tcW w:w="990" w:type="dxa"/>
            <w:tcBorders>
              <w:top w:val="single" w:sz="4" w:space="0" w:color="auto"/>
              <w:left w:val="single" w:sz="4" w:space="0" w:color="auto"/>
              <w:bottom w:val="single" w:sz="4" w:space="0" w:color="auto"/>
              <w:right w:val="single" w:sz="4" w:space="0" w:color="auto"/>
            </w:tcBorders>
            <w:vAlign w:val="center"/>
          </w:tcPr>
          <w:p w14:paraId="39820AE2" w14:textId="15FDB6ED"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1.7</w:t>
            </w:r>
            <w:r w:rsidR="009652B6">
              <w:rPr>
                <w:rFonts w:ascii="Arial" w:hAnsi="Arial" w:cs="Arial"/>
                <w:sz w:val="18"/>
                <w:szCs w:val="18"/>
              </w:rPr>
              <w:t>0</w:t>
            </w:r>
          </w:p>
        </w:tc>
        <w:tc>
          <w:tcPr>
            <w:tcW w:w="990" w:type="dxa"/>
            <w:tcBorders>
              <w:top w:val="single" w:sz="4" w:space="0" w:color="auto"/>
              <w:left w:val="single" w:sz="4" w:space="0" w:color="auto"/>
              <w:bottom w:val="single" w:sz="4" w:space="0" w:color="auto"/>
              <w:right w:val="single" w:sz="4" w:space="0" w:color="auto"/>
            </w:tcBorders>
            <w:noWrap/>
            <w:vAlign w:val="center"/>
          </w:tcPr>
          <w:p w14:paraId="4CE86135" w14:textId="3717133F"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N/A</w:t>
            </w:r>
          </w:p>
        </w:tc>
        <w:tc>
          <w:tcPr>
            <w:tcW w:w="990" w:type="dxa"/>
            <w:tcBorders>
              <w:top w:val="single" w:sz="4" w:space="0" w:color="auto"/>
              <w:bottom w:val="single" w:sz="4" w:space="0" w:color="auto"/>
            </w:tcBorders>
            <w:vAlign w:val="center"/>
          </w:tcPr>
          <w:p w14:paraId="42A1B228" w14:textId="131CBF97"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N/A</w:t>
            </w:r>
          </w:p>
        </w:tc>
        <w:tc>
          <w:tcPr>
            <w:tcW w:w="990" w:type="dxa"/>
            <w:tcBorders>
              <w:top w:val="single" w:sz="4" w:space="0" w:color="auto"/>
              <w:left w:val="single" w:sz="4" w:space="0" w:color="auto"/>
              <w:bottom w:val="single" w:sz="4" w:space="0" w:color="auto"/>
              <w:right w:val="single" w:sz="4" w:space="0" w:color="auto"/>
            </w:tcBorders>
            <w:noWrap/>
            <w:vAlign w:val="center"/>
          </w:tcPr>
          <w:p w14:paraId="09E617AE" w14:textId="5918F3B9" w:rsidR="00A05939" w:rsidRPr="008E33BD" w:rsidRDefault="00142A54" w:rsidP="00A05939">
            <w:pPr>
              <w:spacing w:line="240" w:lineRule="auto"/>
              <w:jc w:val="center"/>
              <w:rPr>
                <w:rFonts w:ascii="Arial" w:hAnsi="Arial" w:cs="Arial"/>
                <w:sz w:val="18"/>
                <w:szCs w:val="18"/>
              </w:rPr>
            </w:pPr>
            <w:r w:rsidRPr="008E33BD">
              <w:rPr>
                <w:rFonts w:ascii="Arial" w:hAnsi="Arial" w:cs="Arial"/>
                <w:sz w:val="18"/>
                <w:szCs w:val="18"/>
              </w:rPr>
              <w:t>N/A</w:t>
            </w:r>
          </w:p>
        </w:tc>
      </w:tr>
      <w:tr w:rsidR="00A05939" w:rsidRPr="008E33BD" w14:paraId="07107F20" w14:textId="77777777" w:rsidTr="00D82992">
        <w:trPr>
          <w:trHeight w:val="382"/>
        </w:trPr>
        <w:tc>
          <w:tcPr>
            <w:tcW w:w="1350" w:type="dxa"/>
            <w:vMerge/>
            <w:tcBorders>
              <w:left w:val="single" w:sz="4" w:space="0" w:color="auto"/>
              <w:bottom w:val="single" w:sz="4" w:space="0" w:color="auto"/>
              <w:right w:val="single" w:sz="4" w:space="0" w:color="auto"/>
            </w:tcBorders>
            <w:vAlign w:val="center"/>
          </w:tcPr>
          <w:p w14:paraId="0A88A8FB"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7C74E3F" w14:textId="77777777" w:rsidR="00A05939" w:rsidRPr="008E33BD" w:rsidRDefault="00A05939" w:rsidP="00A05939">
            <w:pPr>
              <w:spacing w:line="240" w:lineRule="auto"/>
              <w:rPr>
                <w:rFonts w:ascii="Arial" w:hAnsi="Arial" w:cs="Arial"/>
                <w:b/>
                <w:sz w:val="18"/>
                <w:szCs w:val="18"/>
              </w:rPr>
            </w:pPr>
            <w:r w:rsidRPr="008E33BD">
              <w:rPr>
                <w:rFonts w:ascii="Arial" w:hAnsi="Arial" w:cs="Arial"/>
                <w:b/>
                <w:sz w:val="18"/>
                <w:szCs w:val="18"/>
              </w:rPr>
              <w:t>Subtotal (WW-C7)</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118F0A" w14:textId="4EBF1A70" w:rsidR="00A05939" w:rsidRPr="008E33BD" w:rsidRDefault="00A05939" w:rsidP="00A05939">
            <w:pPr>
              <w:spacing w:line="240" w:lineRule="auto"/>
              <w:jc w:val="center"/>
              <w:rPr>
                <w:rFonts w:ascii="Arial" w:hAnsi="Arial" w:cs="Arial"/>
                <w:b/>
                <w:sz w:val="18"/>
                <w:szCs w:val="18"/>
              </w:rPr>
            </w:pPr>
            <w:r w:rsidRPr="008E33BD">
              <w:rPr>
                <w:rFonts w:ascii="Arial" w:hAnsi="Arial" w:cs="Arial"/>
                <w:b/>
                <w:sz w:val="18"/>
                <w:szCs w:val="18"/>
              </w:rPr>
              <w:t>9.1</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0A96FC3" w14:textId="2C0F1C57" w:rsidR="00A05939" w:rsidRPr="008E33BD" w:rsidRDefault="009652B6" w:rsidP="00A05939">
            <w:pPr>
              <w:spacing w:line="240" w:lineRule="auto"/>
              <w:jc w:val="center"/>
              <w:rPr>
                <w:rFonts w:ascii="Arial" w:hAnsi="Arial" w:cs="Arial"/>
                <w:b/>
                <w:sz w:val="18"/>
                <w:szCs w:val="18"/>
              </w:rPr>
            </w:pPr>
            <w:r>
              <w:rPr>
                <w:rFonts w:ascii="Arial" w:hAnsi="Arial" w:cs="Arial"/>
                <w:b/>
                <w:sz w:val="18"/>
                <w:szCs w:val="18"/>
              </w:rPr>
              <w:t>6.68</w:t>
            </w:r>
          </w:p>
        </w:tc>
        <w:tc>
          <w:tcPr>
            <w:tcW w:w="990" w:type="dxa"/>
            <w:tcBorders>
              <w:top w:val="single" w:sz="4" w:space="0" w:color="auto"/>
              <w:bottom w:val="single" w:sz="4" w:space="0" w:color="auto"/>
            </w:tcBorders>
            <w:shd w:val="clear" w:color="auto" w:fill="F2F2F2" w:themeFill="background1" w:themeFillShade="F2"/>
            <w:vAlign w:val="center"/>
          </w:tcPr>
          <w:p w14:paraId="524C4B95" w14:textId="50EEC4BE" w:rsidR="00A05939" w:rsidRPr="008E33BD" w:rsidRDefault="00A05939" w:rsidP="00A05939">
            <w:pPr>
              <w:spacing w:line="240" w:lineRule="auto"/>
              <w:jc w:val="center"/>
              <w:rPr>
                <w:rFonts w:ascii="Arial" w:hAnsi="Arial" w:cs="Arial"/>
                <w:b/>
                <w:sz w:val="18"/>
                <w:szCs w:val="18"/>
              </w:rPr>
            </w:pPr>
            <w:r w:rsidRPr="008E33BD">
              <w:rPr>
                <w:rFonts w:ascii="Arial" w:hAnsi="Arial" w:cs="Arial"/>
                <w:b/>
                <w:sz w:val="18"/>
                <w:szCs w:val="18"/>
              </w:rPr>
              <w:t>1.13</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F3172DD" w14:textId="2CC68070" w:rsidR="00A05939" w:rsidRPr="008E33BD" w:rsidRDefault="000318CA" w:rsidP="00A05939">
            <w:pPr>
              <w:spacing w:line="240" w:lineRule="auto"/>
              <w:jc w:val="center"/>
              <w:rPr>
                <w:rFonts w:ascii="Arial" w:hAnsi="Arial" w:cs="Arial"/>
                <w:b/>
                <w:sz w:val="18"/>
                <w:szCs w:val="18"/>
              </w:rPr>
            </w:pPr>
            <w:r w:rsidRPr="008E33BD">
              <w:rPr>
                <w:rFonts w:ascii="Arial" w:hAnsi="Arial" w:cs="Arial"/>
                <w:b/>
                <w:sz w:val="18"/>
                <w:szCs w:val="18"/>
              </w:rPr>
              <w:t>1.86</w:t>
            </w:r>
          </w:p>
        </w:tc>
      </w:tr>
      <w:tr w:rsidR="00A05939" w:rsidRPr="008E33BD" w14:paraId="37251925" w14:textId="77777777" w:rsidTr="00D82992">
        <w:trPr>
          <w:trHeight w:val="382"/>
        </w:trPr>
        <w:tc>
          <w:tcPr>
            <w:tcW w:w="1350" w:type="dxa"/>
            <w:vMerge w:val="restart"/>
            <w:tcBorders>
              <w:top w:val="nil"/>
              <w:left w:val="single" w:sz="4" w:space="0" w:color="auto"/>
              <w:right w:val="single" w:sz="4" w:space="0" w:color="auto"/>
            </w:tcBorders>
            <w:vAlign w:val="center"/>
          </w:tcPr>
          <w:p w14:paraId="1EE9A540" w14:textId="77777777" w:rsidR="00A05939" w:rsidRPr="008E33BD" w:rsidRDefault="00A05939" w:rsidP="00A05939">
            <w:pPr>
              <w:spacing w:line="240" w:lineRule="auto"/>
              <w:jc w:val="center"/>
              <w:rPr>
                <w:rFonts w:ascii="Arial" w:hAnsi="Arial" w:cs="Arial"/>
                <w:b/>
                <w:sz w:val="18"/>
                <w:szCs w:val="18"/>
              </w:rPr>
            </w:pPr>
            <w:r w:rsidRPr="008E33BD">
              <w:rPr>
                <w:rFonts w:ascii="Arial" w:hAnsi="Arial" w:cs="Arial"/>
                <w:b/>
                <w:sz w:val="18"/>
                <w:szCs w:val="18"/>
              </w:rPr>
              <w:t>Santa Ana River at MWD Crossing</w:t>
            </w:r>
            <w:r w:rsidRPr="008E33BD">
              <w:rPr>
                <w:rFonts w:ascii="Arial" w:hAnsi="Arial" w:cs="Arial"/>
                <w:b/>
                <w:sz w:val="18"/>
                <w:szCs w:val="18"/>
              </w:rPr>
              <w:br/>
              <w:t>(WW-S1)</w:t>
            </w: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04754BB0" w14:textId="77777777" w:rsidR="00A05939" w:rsidRPr="008A193F" w:rsidRDefault="00A05939" w:rsidP="00A05939">
            <w:pPr>
              <w:spacing w:line="240" w:lineRule="auto"/>
              <w:rPr>
                <w:rFonts w:ascii="Arial" w:hAnsi="Arial" w:cs="Arial"/>
                <w:sz w:val="18"/>
                <w:szCs w:val="18"/>
                <w:lang w:val="fr-FR"/>
              </w:rPr>
            </w:pPr>
            <w:r w:rsidRPr="008A193F">
              <w:rPr>
                <w:rFonts w:ascii="Arial" w:hAnsi="Arial" w:cs="Arial"/>
                <w:sz w:val="18"/>
                <w:szCs w:val="18"/>
                <w:lang w:val="fr-FR"/>
              </w:rPr>
              <w:t>T1-MCSD – Magnolia Center Storm Drain</w:t>
            </w:r>
          </w:p>
        </w:tc>
        <w:tc>
          <w:tcPr>
            <w:tcW w:w="990" w:type="dxa"/>
            <w:tcBorders>
              <w:top w:val="single" w:sz="4" w:space="0" w:color="auto"/>
              <w:left w:val="single" w:sz="4" w:space="0" w:color="auto"/>
              <w:bottom w:val="single" w:sz="4" w:space="0" w:color="auto"/>
              <w:right w:val="single" w:sz="4" w:space="0" w:color="auto"/>
            </w:tcBorders>
            <w:vAlign w:val="center"/>
          </w:tcPr>
          <w:p w14:paraId="22E564B3" w14:textId="5A6B7EB8" w:rsidR="00A05939" w:rsidRPr="008E33BD" w:rsidRDefault="009E4476" w:rsidP="00A05939">
            <w:pPr>
              <w:spacing w:line="240" w:lineRule="auto"/>
              <w:jc w:val="center"/>
              <w:rPr>
                <w:rFonts w:ascii="Arial" w:hAnsi="Arial" w:cs="Arial"/>
                <w:sz w:val="18"/>
                <w:szCs w:val="18"/>
              </w:rPr>
            </w:pPr>
            <w:r w:rsidRPr="008E33BD">
              <w:rPr>
                <w:rFonts w:ascii="Arial" w:hAnsi="Arial" w:cs="Arial"/>
                <w:sz w:val="18"/>
                <w:szCs w:val="18"/>
              </w:rPr>
              <w:t>NM</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554DEA0" w14:textId="5ABEFAFD"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w:t>
            </w:r>
            <w:r w:rsidR="0097242E">
              <w:rPr>
                <w:rFonts w:ascii="Arial" w:hAnsi="Arial" w:cs="Arial"/>
                <w:sz w:val="18"/>
                <w:szCs w:val="18"/>
              </w:rPr>
              <w:t>91</w:t>
            </w:r>
          </w:p>
        </w:tc>
        <w:tc>
          <w:tcPr>
            <w:tcW w:w="990" w:type="dxa"/>
            <w:tcBorders>
              <w:top w:val="single" w:sz="4" w:space="0" w:color="auto"/>
              <w:bottom w:val="single" w:sz="4" w:space="0" w:color="auto"/>
            </w:tcBorders>
            <w:vAlign w:val="center"/>
          </w:tcPr>
          <w:p w14:paraId="45A1FDBC" w14:textId="72FE9266"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0.33</w:t>
            </w:r>
          </w:p>
        </w:tc>
        <w:tc>
          <w:tcPr>
            <w:tcW w:w="990" w:type="dxa"/>
            <w:tcBorders>
              <w:top w:val="single" w:sz="4" w:space="0" w:color="auto"/>
              <w:left w:val="single" w:sz="4" w:space="0" w:color="auto"/>
              <w:bottom w:val="single" w:sz="4" w:space="0" w:color="auto"/>
              <w:right w:val="single" w:sz="4" w:space="0" w:color="auto"/>
            </w:tcBorders>
            <w:noWrap/>
            <w:vAlign w:val="center"/>
          </w:tcPr>
          <w:p w14:paraId="33ED716C" w14:textId="4AD761D2" w:rsidR="00A05939" w:rsidRPr="008E33BD" w:rsidRDefault="000318CA" w:rsidP="00A05939">
            <w:pPr>
              <w:spacing w:line="240" w:lineRule="auto"/>
              <w:jc w:val="center"/>
              <w:rPr>
                <w:rFonts w:ascii="Arial" w:hAnsi="Arial" w:cs="Arial"/>
                <w:sz w:val="18"/>
                <w:szCs w:val="18"/>
              </w:rPr>
            </w:pPr>
            <w:r w:rsidRPr="008E33BD">
              <w:rPr>
                <w:rFonts w:ascii="Arial" w:hAnsi="Arial" w:cs="Arial"/>
                <w:sz w:val="18"/>
                <w:szCs w:val="18"/>
              </w:rPr>
              <w:t>0.31</w:t>
            </w:r>
          </w:p>
        </w:tc>
      </w:tr>
      <w:tr w:rsidR="00A05939" w:rsidRPr="008E33BD" w14:paraId="02937413" w14:textId="77777777" w:rsidTr="00D82992">
        <w:trPr>
          <w:trHeight w:val="382"/>
        </w:trPr>
        <w:tc>
          <w:tcPr>
            <w:tcW w:w="1350" w:type="dxa"/>
            <w:vMerge/>
            <w:tcBorders>
              <w:left w:val="single" w:sz="4" w:space="0" w:color="auto"/>
              <w:right w:val="single" w:sz="4" w:space="0" w:color="auto"/>
            </w:tcBorders>
            <w:vAlign w:val="center"/>
          </w:tcPr>
          <w:p w14:paraId="25428346"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03B2DE50"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T1-SNCH – Sunnyslope Channel</w:t>
            </w:r>
          </w:p>
        </w:tc>
        <w:tc>
          <w:tcPr>
            <w:tcW w:w="990" w:type="dxa"/>
            <w:tcBorders>
              <w:top w:val="single" w:sz="4" w:space="0" w:color="auto"/>
              <w:left w:val="single" w:sz="4" w:space="0" w:color="auto"/>
              <w:bottom w:val="single" w:sz="4" w:space="0" w:color="auto"/>
              <w:right w:val="single" w:sz="4" w:space="0" w:color="auto"/>
            </w:tcBorders>
            <w:vAlign w:val="center"/>
          </w:tcPr>
          <w:p w14:paraId="00075A4A" w14:textId="6BAF9D64" w:rsidR="00A05939" w:rsidRPr="008E33BD" w:rsidRDefault="00A47B82" w:rsidP="00A05939">
            <w:pPr>
              <w:spacing w:line="240" w:lineRule="auto"/>
              <w:jc w:val="center"/>
              <w:rPr>
                <w:rFonts w:ascii="Arial" w:hAnsi="Arial" w:cs="Arial"/>
                <w:sz w:val="18"/>
                <w:szCs w:val="18"/>
              </w:rPr>
            </w:pPr>
            <w:r>
              <w:rPr>
                <w:rFonts w:ascii="Arial" w:hAnsi="Arial" w:cs="Arial"/>
                <w:sz w:val="18"/>
                <w:szCs w:val="18"/>
              </w:rPr>
              <w:t>2.00</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51F7757" w14:textId="4B35EB3B" w:rsidR="00A05939" w:rsidRPr="008E33BD" w:rsidRDefault="0097242E" w:rsidP="00A05939">
            <w:pPr>
              <w:spacing w:line="240" w:lineRule="auto"/>
              <w:jc w:val="center"/>
              <w:rPr>
                <w:rFonts w:ascii="Arial" w:hAnsi="Arial" w:cs="Arial"/>
                <w:sz w:val="18"/>
                <w:szCs w:val="18"/>
              </w:rPr>
            </w:pPr>
            <w:r>
              <w:rPr>
                <w:rFonts w:ascii="Arial" w:hAnsi="Arial" w:cs="Arial"/>
                <w:sz w:val="18"/>
                <w:szCs w:val="18"/>
              </w:rPr>
              <w:t>2.42</w:t>
            </w:r>
          </w:p>
        </w:tc>
        <w:tc>
          <w:tcPr>
            <w:tcW w:w="990" w:type="dxa"/>
            <w:tcBorders>
              <w:top w:val="single" w:sz="4" w:space="0" w:color="auto"/>
              <w:bottom w:val="single" w:sz="4" w:space="0" w:color="auto"/>
            </w:tcBorders>
            <w:vAlign w:val="center"/>
          </w:tcPr>
          <w:p w14:paraId="479B8723" w14:textId="2B434A0B"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0.39</w:t>
            </w:r>
          </w:p>
        </w:tc>
        <w:tc>
          <w:tcPr>
            <w:tcW w:w="990" w:type="dxa"/>
            <w:tcBorders>
              <w:top w:val="single" w:sz="4" w:space="0" w:color="auto"/>
              <w:left w:val="single" w:sz="4" w:space="0" w:color="auto"/>
              <w:bottom w:val="single" w:sz="4" w:space="0" w:color="auto"/>
              <w:right w:val="single" w:sz="4" w:space="0" w:color="auto"/>
            </w:tcBorders>
            <w:noWrap/>
            <w:vAlign w:val="center"/>
          </w:tcPr>
          <w:p w14:paraId="13320FC3" w14:textId="6E8E1178" w:rsidR="00A05939" w:rsidRPr="009652B6" w:rsidRDefault="00AA1253" w:rsidP="00A05939">
            <w:pPr>
              <w:spacing w:line="240" w:lineRule="auto"/>
              <w:jc w:val="center"/>
              <w:rPr>
                <w:rFonts w:ascii="Arial" w:hAnsi="Arial" w:cs="Arial"/>
                <w:b/>
                <w:bCs/>
                <w:sz w:val="18"/>
                <w:szCs w:val="18"/>
              </w:rPr>
            </w:pPr>
            <w:r>
              <w:rPr>
                <w:rFonts w:ascii="Arial" w:hAnsi="Arial" w:cs="Arial"/>
                <w:b/>
                <w:bCs/>
                <w:sz w:val="18"/>
                <w:szCs w:val="18"/>
              </w:rPr>
              <w:t>1.10</w:t>
            </w:r>
          </w:p>
        </w:tc>
      </w:tr>
      <w:tr w:rsidR="00A05939" w:rsidRPr="008E33BD" w14:paraId="60029064" w14:textId="77777777" w:rsidTr="00D82992">
        <w:trPr>
          <w:trHeight w:val="382"/>
        </w:trPr>
        <w:tc>
          <w:tcPr>
            <w:tcW w:w="1350" w:type="dxa"/>
            <w:vMerge/>
            <w:tcBorders>
              <w:left w:val="single" w:sz="4" w:space="0" w:color="auto"/>
              <w:right w:val="single" w:sz="4" w:space="0" w:color="auto"/>
            </w:tcBorders>
            <w:vAlign w:val="center"/>
          </w:tcPr>
          <w:p w14:paraId="6DD8B446"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2D88C430" w14:textId="5B411D08"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T1-BXSP – Box Springs Channel</w:t>
            </w:r>
            <w:r w:rsidR="00CC41FB">
              <w:rPr>
                <w:rFonts w:ascii="Arial" w:hAnsi="Arial" w:cs="Arial"/>
                <w:sz w:val="18"/>
                <w:szCs w:val="18"/>
                <w:vertAlign w:val="superscript"/>
              </w:rPr>
              <w:t>3</w:t>
            </w:r>
          </w:p>
        </w:tc>
        <w:tc>
          <w:tcPr>
            <w:tcW w:w="990" w:type="dxa"/>
            <w:tcBorders>
              <w:top w:val="single" w:sz="4" w:space="0" w:color="auto"/>
              <w:left w:val="single" w:sz="4" w:space="0" w:color="auto"/>
              <w:bottom w:val="single" w:sz="4" w:space="0" w:color="auto"/>
              <w:right w:val="single" w:sz="4" w:space="0" w:color="auto"/>
            </w:tcBorders>
            <w:vAlign w:val="center"/>
          </w:tcPr>
          <w:p w14:paraId="72DB3F6C" w14:textId="6C03A03C" w:rsidR="00A05939" w:rsidRPr="008E33BD" w:rsidRDefault="00A47B82" w:rsidP="00A05939">
            <w:pPr>
              <w:spacing w:line="240" w:lineRule="auto"/>
              <w:jc w:val="center"/>
              <w:rPr>
                <w:rFonts w:ascii="Arial" w:hAnsi="Arial" w:cs="Arial"/>
                <w:sz w:val="18"/>
                <w:szCs w:val="18"/>
              </w:rPr>
            </w:pPr>
            <w:r>
              <w:rPr>
                <w:rFonts w:ascii="Arial" w:hAnsi="Arial" w:cs="Arial"/>
                <w:sz w:val="18"/>
                <w:szCs w:val="18"/>
              </w:rPr>
              <w:t>1.80</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601D1834" w14:textId="6226FFF4" w:rsidR="00A05939" w:rsidRPr="008E33BD" w:rsidRDefault="0097242E" w:rsidP="00A05939">
            <w:pPr>
              <w:spacing w:line="240" w:lineRule="auto"/>
              <w:jc w:val="center"/>
              <w:rPr>
                <w:rFonts w:ascii="Arial" w:hAnsi="Arial" w:cs="Arial"/>
                <w:sz w:val="18"/>
                <w:szCs w:val="18"/>
              </w:rPr>
            </w:pPr>
            <w:r>
              <w:rPr>
                <w:rFonts w:ascii="Arial" w:hAnsi="Arial" w:cs="Arial"/>
                <w:sz w:val="18"/>
                <w:szCs w:val="18"/>
              </w:rPr>
              <w:t>1.19</w:t>
            </w:r>
          </w:p>
        </w:tc>
        <w:tc>
          <w:tcPr>
            <w:tcW w:w="990" w:type="dxa"/>
            <w:tcBorders>
              <w:top w:val="single" w:sz="4" w:space="0" w:color="auto"/>
              <w:bottom w:val="single" w:sz="4" w:space="0" w:color="auto"/>
            </w:tcBorders>
            <w:vAlign w:val="center"/>
          </w:tcPr>
          <w:p w14:paraId="224A2304" w14:textId="0D360BAF" w:rsidR="00A05939" w:rsidRPr="00A47B82" w:rsidRDefault="00A05939" w:rsidP="00A05939">
            <w:pPr>
              <w:spacing w:line="240" w:lineRule="auto"/>
              <w:jc w:val="center"/>
              <w:rPr>
                <w:rFonts w:ascii="Arial" w:hAnsi="Arial" w:cs="Arial"/>
                <w:sz w:val="18"/>
                <w:szCs w:val="18"/>
              </w:rPr>
            </w:pPr>
            <w:r w:rsidRPr="00A47B82">
              <w:rPr>
                <w:rFonts w:ascii="Arial" w:hAnsi="Arial" w:cs="Arial"/>
                <w:sz w:val="18"/>
                <w:szCs w:val="18"/>
              </w:rPr>
              <w:t>0.1</w:t>
            </w:r>
            <w:r w:rsidR="00A47B82" w:rsidRPr="00A47B82">
              <w:rPr>
                <w:rFonts w:ascii="Arial" w:hAnsi="Arial" w:cs="Arial"/>
                <w:sz w:val="18"/>
                <w:szCs w:val="18"/>
              </w:rPr>
              <w:t>3</w:t>
            </w:r>
          </w:p>
        </w:tc>
        <w:tc>
          <w:tcPr>
            <w:tcW w:w="990" w:type="dxa"/>
            <w:tcBorders>
              <w:top w:val="single" w:sz="4" w:space="0" w:color="auto"/>
              <w:left w:val="single" w:sz="4" w:space="0" w:color="auto"/>
              <w:bottom w:val="single" w:sz="4" w:space="0" w:color="auto"/>
              <w:right w:val="single" w:sz="4" w:space="0" w:color="auto"/>
            </w:tcBorders>
            <w:noWrap/>
            <w:vAlign w:val="center"/>
          </w:tcPr>
          <w:p w14:paraId="57367A66" w14:textId="3C640413" w:rsidR="00A05939" w:rsidRPr="009652B6" w:rsidRDefault="0097242E" w:rsidP="00A05939">
            <w:pPr>
              <w:spacing w:line="240" w:lineRule="auto"/>
              <w:jc w:val="center"/>
              <w:rPr>
                <w:rFonts w:ascii="Arial" w:hAnsi="Arial" w:cs="Arial"/>
                <w:b/>
                <w:bCs/>
                <w:sz w:val="18"/>
                <w:szCs w:val="18"/>
              </w:rPr>
            </w:pPr>
            <w:r>
              <w:rPr>
                <w:rFonts w:ascii="Arial" w:hAnsi="Arial" w:cs="Arial"/>
                <w:b/>
                <w:bCs/>
                <w:sz w:val="18"/>
                <w:szCs w:val="18"/>
              </w:rPr>
              <w:t>1.57</w:t>
            </w:r>
          </w:p>
        </w:tc>
      </w:tr>
      <w:tr w:rsidR="00A05939" w:rsidRPr="008E33BD" w14:paraId="00274747" w14:textId="77777777" w:rsidTr="00D82992">
        <w:trPr>
          <w:trHeight w:val="382"/>
        </w:trPr>
        <w:tc>
          <w:tcPr>
            <w:tcW w:w="1350" w:type="dxa"/>
            <w:vMerge/>
            <w:tcBorders>
              <w:left w:val="single" w:sz="4" w:space="0" w:color="auto"/>
              <w:bottom w:val="single" w:sz="4" w:space="0" w:color="auto"/>
              <w:right w:val="single" w:sz="4" w:space="0" w:color="auto"/>
            </w:tcBorders>
            <w:vAlign w:val="center"/>
          </w:tcPr>
          <w:p w14:paraId="13BC29E7"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tcPr>
          <w:p w14:paraId="34A05065" w14:textId="63FD1236" w:rsidR="00A05939" w:rsidRPr="008E33BD" w:rsidRDefault="00A05939" w:rsidP="00A05939">
            <w:pPr>
              <w:spacing w:line="240" w:lineRule="auto"/>
              <w:rPr>
                <w:rFonts w:ascii="Arial" w:hAnsi="Arial" w:cs="Arial"/>
                <w:sz w:val="18"/>
                <w:szCs w:val="18"/>
                <w:vertAlign w:val="superscript"/>
              </w:rPr>
            </w:pPr>
            <w:r w:rsidRPr="008E33BD">
              <w:rPr>
                <w:rFonts w:ascii="Arial" w:hAnsi="Arial" w:cs="Arial"/>
                <w:sz w:val="18"/>
                <w:szCs w:val="18"/>
              </w:rPr>
              <w:t>OTHER (2007 estimate)</w:t>
            </w:r>
            <w:r w:rsidR="00CC41FB">
              <w:rPr>
                <w:rFonts w:ascii="Arial" w:hAnsi="Arial" w:cs="Arial"/>
                <w:sz w:val="18"/>
                <w:szCs w:val="18"/>
                <w:vertAlign w:val="superscript"/>
              </w:rPr>
              <w:t>2</w:t>
            </w:r>
          </w:p>
        </w:tc>
        <w:tc>
          <w:tcPr>
            <w:tcW w:w="990" w:type="dxa"/>
            <w:tcBorders>
              <w:top w:val="single" w:sz="4" w:space="0" w:color="auto"/>
              <w:left w:val="single" w:sz="4" w:space="0" w:color="auto"/>
              <w:bottom w:val="single" w:sz="4" w:space="0" w:color="auto"/>
              <w:right w:val="single" w:sz="4" w:space="0" w:color="auto"/>
            </w:tcBorders>
            <w:vAlign w:val="center"/>
          </w:tcPr>
          <w:p w14:paraId="0539057E" w14:textId="77777777"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0.9</w:t>
            </w:r>
          </w:p>
        </w:tc>
        <w:tc>
          <w:tcPr>
            <w:tcW w:w="990" w:type="dxa"/>
            <w:tcBorders>
              <w:top w:val="single" w:sz="4" w:space="0" w:color="auto"/>
              <w:left w:val="single" w:sz="4" w:space="0" w:color="auto"/>
              <w:bottom w:val="single" w:sz="4" w:space="0" w:color="auto"/>
              <w:right w:val="single" w:sz="4" w:space="0" w:color="auto"/>
            </w:tcBorders>
            <w:noWrap/>
            <w:vAlign w:val="center"/>
          </w:tcPr>
          <w:p w14:paraId="77945B3B" w14:textId="2197D03D"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N/A</w:t>
            </w:r>
          </w:p>
        </w:tc>
        <w:tc>
          <w:tcPr>
            <w:tcW w:w="990" w:type="dxa"/>
            <w:tcBorders>
              <w:top w:val="single" w:sz="4" w:space="0" w:color="auto"/>
              <w:bottom w:val="single" w:sz="4" w:space="0" w:color="auto"/>
            </w:tcBorders>
            <w:vAlign w:val="center"/>
          </w:tcPr>
          <w:p w14:paraId="12AED5A2" w14:textId="6944E2F2" w:rsidR="00A05939" w:rsidRPr="00A47B82" w:rsidRDefault="00A05939" w:rsidP="00A05939">
            <w:pPr>
              <w:spacing w:line="240" w:lineRule="auto"/>
              <w:jc w:val="center"/>
              <w:rPr>
                <w:rFonts w:ascii="Arial" w:hAnsi="Arial" w:cs="Arial"/>
                <w:sz w:val="18"/>
                <w:szCs w:val="18"/>
              </w:rPr>
            </w:pPr>
            <w:r w:rsidRPr="00A47B82">
              <w:rPr>
                <w:rFonts w:ascii="Arial" w:hAnsi="Arial" w:cs="Arial"/>
                <w:sz w:val="18"/>
                <w:szCs w:val="18"/>
              </w:rPr>
              <w:t>N/A</w:t>
            </w:r>
          </w:p>
        </w:tc>
        <w:tc>
          <w:tcPr>
            <w:tcW w:w="990" w:type="dxa"/>
            <w:tcBorders>
              <w:top w:val="single" w:sz="4" w:space="0" w:color="auto"/>
              <w:left w:val="single" w:sz="4" w:space="0" w:color="auto"/>
              <w:bottom w:val="single" w:sz="4" w:space="0" w:color="auto"/>
              <w:right w:val="single" w:sz="4" w:space="0" w:color="auto"/>
            </w:tcBorders>
            <w:noWrap/>
            <w:vAlign w:val="center"/>
          </w:tcPr>
          <w:p w14:paraId="117CE9F0" w14:textId="715ACA5A" w:rsidR="00A05939" w:rsidRPr="008E33BD" w:rsidRDefault="006C45A4" w:rsidP="00A05939">
            <w:pPr>
              <w:spacing w:line="240" w:lineRule="auto"/>
              <w:jc w:val="center"/>
              <w:rPr>
                <w:rFonts w:ascii="Arial" w:hAnsi="Arial" w:cs="Arial"/>
                <w:sz w:val="18"/>
                <w:szCs w:val="18"/>
              </w:rPr>
            </w:pPr>
            <w:r w:rsidRPr="008E33BD">
              <w:rPr>
                <w:rFonts w:ascii="Arial" w:hAnsi="Arial" w:cs="Arial"/>
                <w:sz w:val="18"/>
                <w:szCs w:val="18"/>
              </w:rPr>
              <w:t>N/A</w:t>
            </w:r>
          </w:p>
        </w:tc>
      </w:tr>
      <w:tr w:rsidR="00A05939" w:rsidRPr="008E33BD" w14:paraId="0D70BF93" w14:textId="77777777" w:rsidTr="00D82992">
        <w:trPr>
          <w:trHeight w:val="382"/>
        </w:trPr>
        <w:tc>
          <w:tcPr>
            <w:tcW w:w="1350" w:type="dxa"/>
            <w:vMerge/>
            <w:tcBorders>
              <w:left w:val="single" w:sz="4" w:space="0" w:color="auto"/>
              <w:bottom w:val="single" w:sz="4" w:space="0" w:color="auto"/>
              <w:right w:val="single" w:sz="4" w:space="0" w:color="auto"/>
            </w:tcBorders>
            <w:vAlign w:val="center"/>
          </w:tcPr>
          <w:p w14:paraId="7DE60CE9"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D8A4798" w14:textId="77777777" w:rsidR="00A05939" w:rsidRPr="008E33BD" w:rsidRDefault="00A05939" w:rsidP="00A05939">
            <w:pPr>
              <w:spacing w:line="240" w:lineRule="auto"/>
              <w:rPr>
                <w:rFonts w:ascii="Arial" w:hAnsi="Arial" w:cs="Arial"/>
                <w:b/>
                <w:sz w:val="18"/>
                <w:szCs w:val="18"/>
              </w:rPr>
            </w:pPr>
            <w:r w:rsidRPr="008E33BD">
              <w:rPr>
                <w:rFonts w:ascii="Arial" w:hAnsi="Arial" w:cs="Arial"/>
                <w:b/>
                <w:sz w:val="18"/>
                <w:szCs w:val="18"/>
              </w:rPr>
              <w:t>Subtotal (WW-S1)</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E991AC" w14:textId="7EB07C21" w:rsidR="00A05939" w:rsidRPr="008E33BD" w:rsidRDefault="00A47B82" w:rsidP="00A05939">
            <w:pPr>
              <w:spacing w:line="240" w:lineRule="auto"/>
              <w:jc w:val="center"/>
              <w:rPr>
                <w:rFonts w:ascii="Arial" w:hAnsi="Arial" w:cs="Arial"/>
                <w:b/>
                <w:sz w:val="18"/>
                <w:szCs w:val="18"/>
              </w:rPr>
            </w:pPr>
            <w:r>
              <w:rPr>
                <w:rFonts w:ascii="Arial" w:hAnsi="Arial" w:cs="Arial"/>
                <w:b/>
                <w:sz w:val="18"/>
                <w:szCs w:val="18"/>
              </w:rPr>
              <w:t>4.70</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7864C46" w14:textId="5396E803" w:rsidR="00A05939" w:rsidRPr="008E33BD" w:rsidRDefault="0097242E" w:rsidP="00A05939">
            <w:pPr>
              <w:spacing w:line="240" w:lineRule="auto"/>
              <w:jc w:val="center"/>
              <w:rPr>
                <w:rFonts w:ascii="Arial" w:hAnsi="Arial" w:cs="Arial"/>
                <w:b/>
                <w:sz w:val="18"/>
                <w:szCs w:val="18"/>
              </w:rPr>
            </w:pPr>
            <w:r>
              <w:rPr>
                <w:rFonts w:ascii="Arial" w:hAnsi="Arial" w:cs="Arial"/>
                <w:b/>
                <w:sz w:val="18"/>
                <w:szCs w:val="18"/>
              </w:rPr>
              <w:t>4.52</w:t>
            </w:r>
          </w:p>
        </w:tc>
        <w:tc>
          <w:tcPr>
            <w:tcW w:w="990" w:type="dxa"/>
            <w:tcBorders>
              <w:top w:val="single" w:sz="4" w:space="0" w:color="auto"/>
              <w:bottom w:val="single" w:sz="4" w:space="0" w:color="auto"/>
            </w:tcBorders>
            <w:shd w:val="clear" w:color="auto" w:fill="F2F2F2" w:themeFill="background1" w:themeFillShade="F2"/>
            <w:vAlign w:val="center"/>
          </w:tcPr>
          <w:p w14:paraId="47A7CCC2" w14:textId="5F4F95D4" w:rsidR="00A05939" w:rsidRPr="00A47B82" w:rsidRDefault="00A05939" w:rsidP="00A05939">
            <w:pPr>
              <w:spacing w:line="240" w:lineRule="auto"/>
              <w:jc w:val="center"/>
              <w:rPr>
                <w:rFonts w:ascii="Arial" w:hAnsi="Arial" w:cs="Arial"/>
                <w:b/>
                <w:sz w:val="18"/>
                <w:szCs w:val="18"/>
              </w:rPr>
            </w:pPr>
            <w:r w:rsidRPr="00A47B82">
              <w:rPr>
                <w:rFonts w:ascii="Arial" w:hAnsi="Arial" w:cs="Arial"/>
                <w:b/>
                <w:sz w:val="18"/>
                <w:szCs w:val="18"/>
              </w:rPr>
              <w:t>0.8</w:t>
            </w:r>
            <w:r w:rsidR="00A47B82" w:rsidRPr="00A47B82">
              <w:rPr>
                <w:rFonts w:ascii="Arial" w:hAnsi="Arial" w:cs="Arial"/>
                <w:b/>
                <w:sz w:val="18"/>
                <w:szCs w:val="18"/>
              </w:rPr>
              <w:t>6</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628FCA3" w14:textId="0B33BE96" w:rsidR="00A05939" w:rsidRPr="008E33BD" w:rsidRDefault="0097242E" w:rsidP="00A05939">
            <w:pPr>
              <w:spacing w:line="240" w:lineRule="auto"/>
              <w:jc w:val="center"/>
              <w:rPr>
                <w:rFonts w:ascii="Arial" w:hAnsi="Arial" w:cs="Arial"/>
                <w:b/>
                <w:sz w:val="18"/>
                <w:szCs w:val="18"/>
              </w:rPr>
            </w:pPr>
            <w:r>
              <w:rPr>
                <w:rFonts w:ascii="Arial" w:hAnsi="Arial" w:cs="Arial"/>
                <w:b/>
                <w:sz w:val="18"/>
                <w:szCs w:val="18"/>
              </w:rPr>
              <w:t>2.</w:t>
            </w:r>
            <w:r w:rsidR="00AA1253">
              <w:rPr>
                <w:rFonts w:ascii="Arial" w:hAnsi="Arial" w:cs="Arial"/>
                <w:b/>
                <w:sz w:val="18"/>
                <w:szCs w:val="18"/>
              </w:rPr>
              <w:t>98</w:t>
            </w:r>
          </w:p>
        </w:tc>
      </w:tr>
      <w:tr w:rsidR="00A05939" w:rsidRPr="008E33BD" w14:paraId="7485E7FD" w14:textId="77777777" w:rsidTr="00D82992">
        <w:trPr>
          <w:trHeight w:val="382"/>
        </w:trPr>
        <w:tc>
          <w:tcPr>
            <w:tcW w:w="1350" w:type="dxa"/>
            <w:vMerge w:val="restart"/>
            <w:tcBorders>
              <w:top w:val="nil"/>
              <w:left w:val="single" w:sz="4" w:space="0" w:color="auto"/>
              <w:right w:val="single" w:sz="4" w:space="0" w:color="auto"/>
            </w:tcBorders>
            <w:vAlign w:val="center"/>
          </w:tcPr>
          <w:p w14:paraId="39723362" w14:textId="77777777" w:rsidR="00A05939" w:rsidRPr="008E33BD" w:rsidRDefault="00A05939" w:rsidP="00A05939">
            <w:pPr>
              <w:spacing w:line="240" w:lineRule="auto"/>
              <w:jc w:val="center"/>
              <w:rPr>
                <w:rFonts w:ascii="Arial" w:hAnsi="Arial" w:cs="Arial"/>
                <w:b/>
                <w:sz w:val="18"/>
                <w:szCs w:val="18"/>
              </w:rPr>
            </w:pPr>
            <w:r w:rsidRPr="008E33BD">
              <w:rPr>
                <w:rFonts w:ascii="Arial" w:hAnsi="Arial" w:cs="Arial"/>
                <w:b/>
                <w:sz w:val="18"/>
                <w:szCs w:val="18"/>
              </w:rPr>
              <w:t>Santa Ana River at Pedley Avenue</w:t>
            </w:r>
            <w:r w:rsidRPr="008E33BD">
              <w:rPr>
                <w:rFonts w:ascii="Arial" w:hAnsi="Arial" w:cs="Arial"/>
                <w:b/>
                <w:sz w:val="18"/>
                <w:szCs w:val="18"/>
              </w:rPr>
              <w:br/>
              <w:t>(WW-S4)</w:t>
            </w: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6D2A0D4B"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T1-ANZA – Anza Drain</w:t>
            </w:r>
          </w:p>
        </w:tc>
        <w:tc>
          <w:tcPr>
            <w:tcW w:w="990" w:type="dxa"/>
            <w:tcBorders>
              <w:top w:val="single" w:sz="4" w:space="0" w:color="auto"/>
              <w:left w:val="single" w:sz="4" w:space="0" w:color="auto"/>
              <w:bottom w:val="single" w:sz="4" w:space="0" w:color="auto"/>
              <w:right w:val="single" w:sz="4" w:space="0" w:color="auto"/>
            </w:tcBorders>
            <w:vAlign w:val="center"/>
          </w:tcPr>
          <w:p w14:paraId="014CD629" w14:textId="5B23286D" w:rsidR="00A05939" w:rsidRPr="008E33BD" w:rsidRDefault="00A47B82" w:rsidP="00A05939">
            <w:pPr>
              <w:spacing w:line="240" w:lineRule="auto"/>
              <w:jc w:val="center"/>
              <w:rPr>
                <w:rFonts w:ascii="Arial" w:hAnsi="Arial" w:cs="Arial"/>
                <w:sz w:val="18"/>
                <w:szCs w:val="18"/>
              </w:rPr>
            </w:pPr>
            <w:r>
              <w:rPr>
                <w:rFonts w:ascii="Arial" w:hAnsi="Arial" w:cs="Arial"/>
                <w:sz w:val="18"/>
                <w:szCs w:val="18"/>
              </w:rPr>
              <w:t>2.60</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7BC0832F" w14:textId="6ED2D6AE" w:rsidR="00A05939" w:rsidRPr="008E33BD" w:rsidRDefault="0097242E" w:rsidP="00A05939">
            <w:pPr>
              <w:spacing w:line="240" w:lineRule="auto"/>
              <w:jc w:val="center"/>
              <w:rPr>
                <w:rFonts w:ascii="Arial" w:hAnsi="Arial" w:cs="Arial"/>
                <w:sz w:val="18"/>
                <w:szCs w:val="18"/>
              </w:rPr>
            </w:pPr>
            <w:r>
              <w:rPr>
                <w:rFonts w:ascii="Arial" w:hAnsi="Arial" w:cs="Arial"/>
                <w:sz w:val="18"/>
                <w:szCs w:val="18"/>
              </w:rPr>
              <w:t>3.29</w:t>
            </w:r>
          </w:p>
        </w:tc>
        <w:tc>
          <w:tcPr>
            <w:tcW w:w="990" w:type="dxa"/>
            <w:tcBorders>
              <w:top w:val="single" w:sz="4" w:space="0" w:color="auto"/>
              <w:bottom w:val="single" w:sz="4" w:space="0" w:color="auto"/>
            </w:tcBorders>
            <w:vAlign w:val="center"/>
          </w:tcPr>
          <w:p w14:paraId="430F9679" w14:textId="6B913B7B"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1.35</w:t>
            </w:r>
          </w:p>
        </w:tc>
        <w:tc>
          <w:tcPr>
            <w:tcW w:w="990" w:type="dxa"/>
            <w:tcBorders>
              <w:top w:val="single" w:sz="4" w:space="0" w:color="auto"/>
              <w:left w:val="single" w:sz="4" w:space="0" w:color="auto"/>
              <w:bottom w:val="single" w:sz="4" w:space="0" w:color="auto"/>
              <w:right w:val="single" w:sz="4" w:space="0" w:color="auto"/>
            </w:tcBorders>
            <w:noWrap/>
            <w:vAlign w:val="center"/>
          </w:tcPr>
          <w:p w14:paraId="2375AD4B" w14:textId="074D5A2A" w:rsidR="00A05939" w:rsidRPr="009652B6" w:rsidRDefault="005338C8" w:rsidP="00A05939">
            <w:pPr>
              <w:spacing w:line="240" w:lineRule="auto"/>
              <w:jc w:val="center"/>
              <w:rPr>
                <w:rFonts w:ascii="Arial" w:hAnsi="Arial" w:cs="Arial"/>
                <w:b/>
                <w:bCs/>
                <w:sz w:val="18"/>
                <w:szCs w:val="18"/>
              </w:rPr>
            </w:pPr>
            <w:r w:rsidRPr="009652B6">
              <w:rPr>
                <w:rFonts w:ascii="Arial" w:hAnsi="Arial" w:cs="Arial"/>
                <w:b/>
                <w:bCs/>
                <w:sz w:val="18"/>
                <w:szCs w:val="18"/>
              </w:rPr>
              <w:t>1.60</w:t>
            </w:r>
          </w:p>
        </w:tc>
      </w:tr>
      <w:tr w:rsidR="00A05939" w:rsidRPr="008E33BD" w14:paraId="43E7F873" w14:textId="77777777" w:rsidTr="00D82992">
        <w:trPr>
          <w:trHeight w:val="382"/>
        </w:trPr>
        <w:tc>
          <w:tcPr>
            <w:tcW w:w="1350" w:type="dxa"/>
            <w:vMerge/>
            <w:tcBorders>
              <w:left w:val="single" w:sz="4" w:space="0" w:color="auto"/>
              <w:right w:val="single" w:sz="4" w:space="0" w:color="auto"/>
            </w:tcBorders>
            <w:vAlign w:val="center"/>
          </w:tcPr>
          <w:p w14:paraId="5021DBA1"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3DF3A01B"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T1-SSCH – San Sevaine Channel</w:t>
            </w:r>
          </w:p>
        </w:tc>
        <w:tc>
          <w:tcPr>
            <w:tcW w:w="990" w:type="dxa"/>
            <w:tcBorders>
              <w:top w:val="single" w:sz="4" w:space="0" w:color="auto"/>
              <w:left w:val="single" w:sz="4" w:space="0" w:color="auto"/>
              <w:bottom w:val="single" w:sz="4" w:space="0" w:color="auto"/>
              <w:right w:val="single" w:sz="4" w:space="0" w:color="auto"/>
            </w:tcBorders>
            <w:vAlign w:val="center"/>
          </w:tcPr>
          <w:p w14:paraId="465205DF" w14:textId="2982BF6F" w:rsidR="00A05939" w:rsidRPr="008E33BD" w:rsidRDefault="00A47B82" w:rsidP="00A05939">
            <w:pPr>
              <w:spacing w:line="240" w:lineRule="auto"/>
              <w:jc w:val="center"/>
              <w:rPr>
                <w:rFonts w:ascii="Arial" w:hAnsi="Arial" w:cs="Arial"/>
                <w:sz w:val="18"/>
                <w:szCs w:val="18"/>
              </w:rPr>
            </w:pPr>
            <w:r>
              <w:rPr>
                <w:rFonts w:ascii="Arial" w:hAnsi="Arial" w:cs="Arial"/>
                <w:sz w:val="18"/>
                <w:szCs w:val="18"/>
              </w:rPr>
              <w:t>1.30</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53B82296" w14:textId="17F6C04C"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w:t>
            </w:r>
            <w:r w:rsidR="0097242E">
              <w:rPr>
                <w:rFonts w:ascii="Arial" w:hAnsi="Arial" w:cs="Arial"/>
                <w:sz w:val="18"/>
                <w:szCs w:val="18"/>
              </w:rPr>
              <w:t>50</w:t>
            </w:r>
          </w:p>
        </w:tc>
        <w:tc>
          <w:tcPr>
            <w:tcW w:w="990" w:type="dxa"/>
            <w:tcBorders>
              <w:top w:val="single" w:sz="4" w:space="0" w:color="auto"/>
              <w:bottom w:val="single" w:sz="4" w:space="0" w:color="auto"/>
            </w:tcBorders>
            <w:vAlign w:val="center"/>
          </w:tcPr>
          <w:p w14:paraId="5F9933A9" w14:textId="3DA3E095"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0.36</w:t>
            </w:r>
          </w:p>
        </w:tc>
        <w:tc>
          <w:tcPr>
            <w:tcW w:w="990" w:type="dxa"/>
            <w:tcBorders>
              <w:top w:val="single" w:sz="4" w:space="0" w:color="auto"/>
              <w:left w:val="single" w:sz="4" w:space="0" w:color="auto"/>
              <w:bottom w:val="single" w:sz="4" w:space="0" w:color="auto"/>
              <w:right w:val="single" w:sz="4" w:space="0" w:color="auto"/>
            </w:tcBorders>
            <w:noWrap/>
            <w:vAlign w:val="center"/>
          </w:tcPr>
          <w:p w14:paraId="5A13C7E1" w14:textId="0782A26C" w:rsidR="00A05939" w:rsidRPr="009652B6" w:rsidRDefault="001440CF" w:rsidP="00A05939">
            <w:pPr>
              <w:spacing w:line="240" w:lineRule="auto"/>
              <w:jc w:val="center"/>
              <w:rPr>
                <w:rFonts w:ascii="Arial" w:hAnsi="Arial" w:cs="Arial"/>
                <w:b/>
                <w:bCs/>
                <w:sz w:val="18"/>
                <w:szCs w:val="18"/>
              </w:rPr>
            </w:pPr>
            <w:r w:rsidRPr="009652B6">
              <w:rPr>
                <w:rFonts w:ascii="Arial" w:hAnsi="Arial" w:cs="Arial"/>
                <w:b/>
                <w:bCs/>
                <w:sz w:val="18"/>
                <w:szCs w:val="18"/>
              </w:rPr>
              <w:t>0.45</w:t>
            </w:r>
          </w:p>
        </w:tc>
      </w:tr>
      <w:tr w:rsidR="00A05939" w:rsidRPr="008E33BD" w14:paraId="13BB0C29" w14:textId="77777777" w:rsidTr="00D82992">
        <w:trPr>
          <w:trHeight w:val="382"/>
        </w:trPr>
        <w:tc>
          <w:tcPr>
            <w:tcW w:w="1350" w:type="dxa"/>
            <w:vMerge/>
            <w:tcBorders>
              <w:left w:val="single" w:sz="4" w:space="0" w:color="auto"/>
              <w:right w:val="single" w:sz="4" w:space="0" w:color="auto"/>
            </w:tcBorders>
            <w:vAlign w:val="center"/>
          </w:tcPr>
          <w:p w14:paraId="35333B54"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hideMark/>
          </w:tcPr>
          <w:p w14:paraId="0977E068" w14:textId="77777777" w:rsidR="00A05939" w:rsidRPr="008E33BD" w:rsidRDefault="00A05939" w:rsidP="00A05939">
            <w:pPr>
              <w:spacing w:line="240" w:lineRule="auto"/>
              <w:rPr>
                <w:rFonts w:ascii="Arial" w:hAnsi="Arial" w:cs="Arial"/>
                <w:sz w:val="18"/>
                <w:szCs w:val="18"/>
              </w:rPr>
            </w:pPr>
            <w:r w:rsidRPr="008E33BD">
              <w:rPr>
                <w:rFonts w:ascii="Arial" w:hAnsi="Arial" w:cs="Arial"/>
                <w:sz w:val="18"/>
                <w:szCs w:val="18"/>
              </w:rPr>
              <w:t>T1-DAY – Day Creek</w:t>
            </w:r>
          </w:p>
        </w:tc>
        <w:tc>
          <w:tcPr>
            <w:tcW w:w="990" w:type="dxa"/>
            <w:tcBorders>
              <w:top w:val="single" w:sz="4" w:space="0" w:color="auto"/>
              <w:left w:val="single" w:sz="4" w:space="0" w:color="auto"/>
              <w:bottom w:val="single" w:sz="4" w:space="0" w:color="auto"/>
              <w:right w:val="single" w:sz="4" w:space="0" w:color="auto"/>
            </w:tcBorders>
            <w:vAlign w:val="center"/>
          </w:tcPr>
          <w:p w14:paraId="56E8B5EB" w14:textId="703BD536" w:rsidR="00A05939" w:rsidRPr="008E33BD" w:rsidRDefault="00A47B82" w:rsidP="00A05939">
            <w:pPr>
              <w:spacing w:line="240" w:lineRule="auto"/>
              <w:jc w:val="center"/>
              <w:rPr>
                <w:rFonts w:ascii="Arial" w:hAnsi="Arial" w:cs="Arial"/>
                <w:sz w:val="18"/>
                <w:szCs w:val="18"/>
              </w:rPr>
            </w:pPr>
            <w:r>
              <w:rPr>
                <w:rFonts w:ascii="Arial" w:hAnsi="Arial" w:cs="Arial"/>
                <w:sz w:val="18"/>
                <w:szCs w:val="18"/>
              </w:rPr>
              <w:t>0.5</w:t>
            </w:r>
          </w:p>
        </w:tc>
        <w:tc>
          <w:tcPr>
            <w:tcW w:w="990" w:type="dxa"/>
            <w:tcBorders>
              <w:top w:val="single" w:sz="4" w:space="0" w:color="auto"/>
              <w:left w:val="single" w:sz="4" w:space="0" w:color="auto"/>
              <w:bottom w:val="single" w:sz="4" w:space="0" w:color="auto"/>
              <w:right w:val="single" w:sz="4" w:space="0" w:color="auto"/>
            </w:tcBorders>
            <w:noWrap/>
            <w:vAlign w:val="center"/>
            <w:hideMark/>
          </w:tcPr>
          <w:p w14:paraId="3897E4CB" w14:textId="426F5BE6"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w:t>
            </w:r>
            <w:r w:rsidR="0097242E">
              <w:rPr>
                <w:rFonts w:ascii="Arial" w:hAnsi="Arial" w:cs="Arial"/>
                <w:sz w:val="18"/>
                <w:szCs w:val="18"/>
              </w:rPr>
              <w:t>22</w:t>
            </w:r>
          </w:p>
        </w:tc>
        <w:tc>
          <w:tcPr>
            <w:tcW w:w="990" w:type="dxa"/>
            <w:tcBorders>
              <w:top w:val="single" w:sz="4" w:space="0" w:color="auto"/>
              <w:bottom w:val="single" w:sz="4" w:space="0" w:color="auto"/>
            </w:tcBorders>
            <w:vAlign w:val="center"/>
          </w:tcPr>
          <w:p w14:paraId="47DA6686" w14:textId="52EB9A8E"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0.19</w:t>
            </w:r>
          </w:p>
        </w:tc>
        <w:tc>
          <w:tcPr>
            <w:tcW w:w="990" w:type="dxa"/>
            <w:tcBorders>
              <w:top w:val="single" w:sz="4" w:space="0" w:color="auto"/>
              <w:left w:val="single" w:sz="4" w:space="0" w:color="auto"/>
              <w:bottom w:val="single" w:sz="4" w:space="0" w:color="auto"/>
              <w:right w:val="single" w:sz="4" w:space="0" w:color="auto"/>
            </w:tcBorders>
            <w:noWrap/>
            <w:vAlign w:val="center"/>
          </w:tcPr>
          <w:p w14:paraId="36311338" w14:textId="214B50BA" w:rsidR="00A05939" w:rsidRPr="008E33BD" w:rsidRDefault="001440CF" w:rsidP="00A05939">
            <w:pPr>
              <w:spacing w:line="240" w:lineRule="auto"/>
              <w:jc w:val="center"/>
              <w:rPr>
                <w:rFonts w:ascii="Arial" w:hAnsi="Arial" w:cs="Arial"/>
                <w:sz w:val="18"/>
                <w:szCs w:val="18"/>
              </w:rPr>
            </w:pPr>
            <w:r w:rsidRPr="008E33BD">
              <w:rPr>
                <w:rFonts w:ascii="Arial" w:hAnsi="Arial" w:cs="Arial"/>
                <w:sz w:val="18"/>
                <w:szCs w:val="18"/>
              </w:rPr>
              <w:t>0.08</w:t>
            </w:r>
          </w:p>
        </w:tc>
      </w:tr>
      <w:tr w:rsidR="00A05939" w:rsidRPr="008E33BD" w14:paraId="57AB061E" w14:textId="77777777" w:rsidTr="00D82992">
        <w:trPr>
          <w:trHeight w:val="382"/>
        </w:trPr>
        <w:tc>
          <w:tcPr>
            <w:tcW w:w="1350" w:type="dxa"/>
            <w:vMerge/>
            <w:tcBorders>
              <w:left w:val="single" w:sz="4" w:space="0" w:color="auto"/>
              <w:right w:val="single" w:sz="4" w:space="0" w:color="auto"/>
            </w:tcBorders>
            <w:vAlign w:val="center"/>
          </w:tcPr>
          <w:p w14:paraId="09CE38F2"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noWrap/>
            <w:vAlign w:val="center"/>
          </w:tcPr>
          <w:p w14:paraId="476B4A4B" w14:textId="452553F5" w:rsidR="00A05939" w:rsidRPr="008E33BD" w:rsidRDefault="00A05939" w:rsidP="00A05939">
            <w:pPr>
              <w:spacing w:line="240" w:lineRule="auto"/>
              <w:rPr>
                <w:rFonts w:ascii="Arial" w:hAnsi="Arial" w:cs="Arial"/>
                <w:sz w:val="18"/>
                <w:szCs w:val="18"/>
                <w:vertAlign w:val="superscript"/>
              </w:rPr>
            </w:pPr>
            <w:r w:rsidRPr="008E33BD">
              <w:rPr>
                <w:rFonts w:ascii="Arial" w:hAnsi="Arial" w:cs="Arial"/>
                <w:sz w:val="18"/>
                <w:szCs w:val="18"/>
              </w:rPr>
              <w:t>OTHER (2007 estimate)</w:t>
            </w:r>
            <w:r w:rsidR="00CC41FB">
              <w:rPr>
                <w:rFonts w:ascii="Arial" w:hAnsi="Arial" w:cs="Arial"/>
                <w:sz w:val="18"/>
                <w:szCs w:val="18"/>
                <w:vertAlign w:val="superscript"/>
              </w:rPr>
              <w:t>2</w:t>
            </w:r>
          </w:p>
        </w:tc>
        <w:tc>
          <w:tcPr>
            <w:tcW w:w="990" w:type="dxa"/>
            <w:tcBorders>
              <w:top w:val="single" w:sz="4" w:space="0" w:color="auto"/>
              <w:left w:val="single" w:sz="4" w:space="0" w:color="auto"/>
              <w:bottom w:val="single" w:sz="4" w:space="0" w:color="auto"/>
              <w:right w:val="single" w:sz="4" w:space="0" w:color="auto"/>
            </w:tcBorders>
            <w:vAlign w:val="center"/>
          </w:tcPr>
          <w:p w14:paraId="7A0E09CA" w14:textId="6E81BD0B"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1.0</w:t>
            </w:r>
            <w:r w:rsidR="0097242E">
              <w:rPr>
                <w:rFonts w:ascii="Arial" w:hAnsi="Arial" w:cs="Arial"/>
                <w:sz w:val="18"/>
                <w:szCs w:val="18"/>
              </w:rPr>
              <w:t>0</w:t>
            </w:r>
          </w:p>
        </w:tc>
        <w:tc>
          <w:tcPr>
            <w:tcW w:w="990" w:type="dxa"/>
            <w:tcBorders>
              <w:top w:val="single" w:sz="4" w:space="0" w:color="auto"/>
              <w:left w:val="single" w:sz="4" w:space="0" w:color="auto"/>
              <w:bottom w:val="single" w:sz="4" w:space="0" w:color="auto"/>
              <w:right w:val="single" w:sz="4" w:space="0" w:color="auto"/>
            </w:tcBorders>
            <w:noWrap/>
            <w:vAlign w:val="center"/>
          </w:tcPr>
          <w:p w14:paraId="079A95D4" w14:textId="18218DE0"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N/A</w:t>
            </w:r>
          </w:p>
        </w:tc>
        <w:tc>
          <w:tcPr>
            <w:tcW w:w="990" w:type="dxa"/>
            <w:tcBorders>
              <w:top w:val="single" w:sz="4" w:space="0" w:color="auto"/>
              <w:bottom w:val="single" w:sz="4" w:space="0" w:color="auto"/>
            </w:tcBorders>
            <w:vAlign w:val="center"/>
          </w:tcPr>
          <w:p w14:paraId="1078D7E1" w14:textId="33951F0A" w:rsidR="00A05939" w:rsidRPr="008E33BD" w:rsidRDefault="00A05939" w:rsidP="00A05939">
            <w:pPr>
              <w:spacing w:line="240" w:lineRule="auto"/>
              <w:jc w:val="center"/>
              <w:rPr>
                <w:rFonts w:ascii="Arial" w:hAnsi="Arial" w:cs="Arial"/>
                <w:sz w:val="18"/>
                <w:szCs w:val="18"/>
              </w:rPr>
            </w:pPr>
            <w:r w:rsidRPr="008E33BD">
              <w:rPr>
                <w:rFonts w:ascii="Arial" w:hAnsi="Arial" w:cs="Arial"/>
                <w:sz w:val="18"/>
                <w:szCs w:val="18"/>
              </w:rPr>
              <w:t>N/A</w:t>
            </w:r>
          </w:p>
        </w:tc>
        <w:tc>
          <w:tcPr>
            <w:tcW w:w="990" w:type="dxa"/>
            <w:tcBorders>
              <w:top w:val="single" w:sz="4" w:space="0" w:color="auto"/>
              <w:left w:val="single" w:sz="4" w:space="0" w:color="auto"/>
              <w:bottom w:val="single" w:sz="4" w:space="0" w:color="auto"/>
              <w:right w:val="single" w:sz="4" w:space="0" w:color="auto"/>
            </w:tcBorders>
            <w:noWrap/>
            <w:vAlign w:val="center"/>
          </w:tcPr>
          <w:p w14:paraId="50729AD7" w14:textId="47351666" w:rsidR="00A05939" w:rsidRPr="008E33BD" w:rsidRDefault="001440CF" w:rsidP="00A05939">
            <w:pPr>
              <w:spacing w:line="240" w:lineRule="auto"/>
              <w:jc w:val="center"/>
              <w:rPr>
                <w:rFonts w:ascii="Arial" w:hAnsi="Arial" w:cs="Arial"/>
                <w:sz w:val="18"/>
                <w:szCs w:val="18"/>
              </w:rPr>
            </w:pPr>
            <w:r w:rsidRPr="008E33BD">
              <w:rPr>
                <w:rFonts w:ascii="Arial" w:hAnsi="Arial" w:cs="Arial"/>
                <w:sz w:val="18"/>
                <w:szCs w:val="18"/>
              </w:rPr>
              <w:t>N/A</w:t>
            </w:r>
          </w:p>
        </w:tc>
      </w:tr>
      <w:tr w:rsidR="00A05939" w:rsidRPr="008E33BD" w14:paraId="04CECF5D" w14:textId="77777777" w:rsidTr="00D82992">
        <w:trPr>
          <w:trHeight w:val="382"/>
        </w:trPr>
        <w:tc>
          <w:tcPr>
            <w:tcW w:w="1350" w:type="dxa"/>
            <w:vMerge/>
            <w:tcBorders>
              <w:left w:val="single" w:sz="4" w:space="0" w:color="auto"/>
              <w:bottom w:val="single" w:sz="4" w:space="0" w:color="auto"/>
              <w:right w:val="single" w:sz="4" w:space="0" w:color="auto"/>
            </w:tcBorders>
            <w:vAlign w:val="center"/>
          </w:tcPr>
          <w:p w14:paraId="571688D6" w14:textId="77777777" w:rsidR="00A05939" w:rsidRPr="008E33BD" w:rsidRDefault="00A05939" w:rsidP="00A05939">
            <w:pPr>
              <w:spacing w:line="240" w:lineRule="auto"/>
              <w:jc w:val="center"/>
              <w:rPr>
                <w:rFonts w:ascii="Arial" w:hAnsi="Arial" w:cs="Arial"/>
                <w:b/>
                <w:sz w:val="18"/>
                <w:szCs w:val="18"/>
              </w:rPr>
            </w:pPr>
          </w:p>
        </w:tc>
        <w:tc>
          <w:tcPr>
            <w:tcW w:w="37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68C4EB7" w14:textId="77777777" w:rsidR="00A05939" w:rsidRPr="008E33BD" w:rsidRDefault="00A05939" w:rsidP="00A05939">
            <w:pPr>
              <w:spacing w:line="240" w:lineRule="auto"/>
              <w:rPr>
                <w:rFonts w:ascii="Arial" w:hAnsi="Arial" w:cs="Arial"/>
                <w:b/>
                <w:sz w:val="18"/>
                <w:szCs w:val="18"/>
              </w:rPr>
            </w:pPr>
            <w:r w:rsidRPr="008E33BD">
              <w:rPr>
                <w:rFonts w:ascii="Arial" w:hAnsi="Arial" w:cs="Arial"/>
                <w:b/>
                <w:sz w:val="18"/>
                <w:szCs w:val="18"/>
              </w:rPr>
              <w:t>Subtotal (WW-S4)</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B47536" w14:textId="4412A9D5" w:rsidR="00A05939" w:rsidRPr="008E33BD" w:rsidRDefault="0097242E" w:rsidP="00A05939">
            <w:pPr>
              <w:spacing w:line="240" w:lineRule="auto"/>
              <w:jc w:val="center"/>
              <w:rPr>
                <w:rFonts w:ascii="Arial" w:hAnsi="Arial" w:cs="Arial"/>
                <w:b/>
                <w:sz w:val="18"/>
                <w:szCs w:val="18"/>
              </w:rPr>
            </w:pPr>
            <w:r>
              <w:rPr>
                <w:rFonts w:ascii="Arial" w:hAnsi="Arial" w:cs="Arial"/>
                <w:b/>
                <w:sz w:val="18"/>
                <w:szCs w:val="18"/>
              </w:rPr>
              <w:t>6</w:t>
            </w:r>
            <w:r w:rsidR="00A47B82">
              <w:rPr>
                <w:rFonts w:ascii="Arial" w:hAnsi="Arial" w:cs="Arial"/>
                <w:b/>
                <w:sz w:val="18"/>
                <w:szCs w:val="18"/>
              </w:rPr>
              <w:t>.00</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9014AF8" w14:textId="1B0A2354" w:rsidR="00A05939" w:rsidRPr="008E33BD" w:rsidRDefault="0097242E" w:rsidP="00A05939">
            <w:pPr>
              <w:spacing w:line="240" w:lineRule="auto"/>
              <w:jc w:val="center"/>
              <w:rPr>
                <w:rFonts w:ascii="Arial" w:hAnsi="Arial" w:cs="Arial"/>
                <w:b/>
                <w:sz w:val="18"/>
                <w:szCs w:val="18"/>
              </w:rPr>
            </w:pPr>
            <w:r>
              <w:rPr>
                <w:rFonts w:ascii="Arial" w:hAnsi="Arial" w:cs="Arial"/>
                <w:b/>
                <w:sz w:val="18"/>
                <w:szCs w:val="18"/>
              </w:rPr>
              <w:t>4.02</w:t>
            </w:r>
          </w:p>
        </w:tc>
        <w:tc>
          <w:tcPr>
            <w:tcW w:w="990" w:type="dxa"/>
            <w:tcBorders>
              <w:top w:val="single" w:sz="4" w:space="0" w:color="auto"/>
              <w:bottom w:val="single" w:sz="4" w:space="0" w:color="auto"/>
            </w:tcBorders>
            <w:shd w:val="clear" w:color="auto" w:fill="F2F2F2" w:themeFill="background1" w:themeFillShade="F2"/>
            <w:vAlign w:val="center"/>
          </w:tcPr>
          <w:p w14:paraId="6EDFD93C" w14:textId="6EFA03E9" w:rsidR="00A05939" w:rsidRPr="008E33BD" w:rsidRDefault="00A05939" w:rsidP="00A05939">
            <w:pPr>
              <w:spacing w:line="240" w:lineRule="auto"/>
              <w:jc w:val="center"/>
              <w:rPr>
                <w:rFonts w:ascii="Arial" w:hAnsi="Arial" w:cs="Arial"/>
                <w:b/>
                <w:sz w:val="18"/>
                <w:szCs w:val="18"/>
              </w:rPr>
            </w:pPr>
            <w:r w:rsidRPr="008E33BD">
              <w:rPr>
                <w:rFonts w:ascii="Arial" w:hAnsi="Arial" w:cs="Arial"/>
                <w:b/>
                <w:sz w:val="18"/>
                <w:szCs w:val="18"/>
              </w:rPr>
              <w:t>1.9</w:t>
            </w:r>
            <w:r w:rsidR="0097242E">
              <w:rPr>
                <w:rFonts w:ascii="Arial" w:hAnsi="Arial" w:cs="Arial"/>
                <w:b/>
                <w:sz w:val="18"/>
                <w:szCs w:val="18"/>
              </w:rPr>
              <w:t>1</w:t>
            </w:r>
          </w:p>
        </w:tc>
        <w:tc>
          <w:tcPr>
            <w:tcW w:w="99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1A5E854" w14:textId="6D1895D2" w:rsidR="00A05939" w:rsidRPr="008E33BD" w:rsidRDefault="001440CF" w:rsidP="00A05939">
            <w:pPr>
              <w:spacing w:line="240" w:lineRule="auto"/>
              <w:jc w:val="center"/>
              <w:rPr>
                <w:rFonts w:ascii="Arial" w:hAnsi="Arial" w:cs="Arial"/>
                <w:b/>
                <w:sz w:val="18"/>
                <w:szCs w:val="18"/>
              </w:rPr>
            </w:pPr>
            <w:r w:rsidRPr="008E33BD">
              <w:rPr>
                <w:rFonts w:ascii="Arial" w:hAnsi="Arial" w:cs="Arial"/>
                <w:b/>
                <w:sz w:val="18"/>
                <w:szCs w:val="18"/>
              </w:rPr>
              <w:t>2.13</w:t>
            </w:r>
          </w:p>
        </w:tc>
      </w:tr>
      <w:tr w:rsidR="00373941" w:rsidRPr="00BE2BAC" w14:paraId="0EA162EB" w14:textId="77777777" w:rsidTr="00922172">
        <w:trPr>
          <w:trHeight w:val="1214"/>
        </w:trPr>
        <w:tc>
          <w:tcPr>
            <w:tcW w:w="9090" w:type="dxa"/>
            <w:gridSpan w:val="6"/>
          </w:tcPr>
          <w:p w14:paraId="54EBBFFD" w14:textId="210B8B59" w:rsidR="00CC41FB" w:rsidRDefault="00373941" w:rsidP="00CC41FB">
            <w:pPr>
              <w:spacing w:after="20" w:line="259" w:lineRule="auto"/>
              <w:ind w:left="144" w:hanging="144"/>
              <w:rPr>
                <w:rFonts w:ascii="Arial" w:hAnsi="Arial" w:cs="Arial"/>
                <w:sz w:val="16"/>
                <w:szCs w:val="16"/>
              </w:rPr>
            </w:pPr>
            <w:r w:rsidRPr="00BE2BAC">
              <w:rPr>
                <w:rFonts w:ascii="Arial" w:hAnsi="Arial" w:cs="Arial"/>
                <w:sz w:val="16"/>
                <w:szCs w:val="16"/>
                <w:vertAlign w:val="superscript"/>
              </w:rPr>
              <w:t>1</w:t>
            </w:r>
            <w:r w:rsidRPr="00BE2BAC">
              <w:rPr>
                <w:rFonts w:ascii="Arial" w:hAnsi="Arial" w:cs="Arial"/>
                <w:sz w:val="16"/>
                <w:szCs w:val="16"/>
              </w:rPr>
              <w:t xml:space="preserve"> Values from the September 3, </w:t>
            </w:r>
            <w:proofErr w:type="gramStart"/>
            <w:r w:rsidRPr="00BE2BAC">
              <w:rPr>
                <w:rFonts w:ascii="Arial" w:hAnsi="Arial" w:cs="Arial"/>
                <w:sz w:val="16"/>
                <w:szCs w:val="16"/>
              </w:rPr>
              <w:t>2019</w:t>
            </w:r>
            <w:proofErr w:type="gramEnd"/>
            <w:r w:rsidRPr="00BE2BAC">
              <w:rPr>
                <w:rFonts w:ascii="Arial" w:hAnsi="Arial" w:cs="Arial"/>
                <w:sz w:val="16"/>
                <w:szCs w:val="16"/>
              </w:rPr>
              <w:t xml:space="preserve"> sampling event were excluded from the average because an upstream valve to capture recycled water for groundwater recharge was not functioning properly on this date.</w:t>
            </w:r>
          </w:p>
          <w:p w14:paraId="2E84CC90" w14:textId="7B98E404" w:rsidR="00CC41FB" w:rsidRPr="00BE2BAC" w:rsidRDefault="00CC41FB" w:rsidP="00CC41FB">
            <w:pPr>
              <w:spacing w:after="20" w:line="259" w:lineRule="auto"/>
              <w:ind w:left="144" w:hanging="144"/>
              <w:rPr>
                <w:rFonts w:ascii="Arial" w:hAnsi="Arial" w:cs="Arial"/>
                <w:sz w:val="16"/>
                <w:szCs w:val="16"/>
              </w:rPr>
            </w:pPr>
            <w:r>
              <w:rPr>
                <w:rFonts w:ascii="Arial" w:hAnsi="Arial" w:cs="Arial"/>
                <w:sz w:val="16"/>
                <w:szCs w:val="16"/>
                <w:vertAlign w:val="superscript"/>
              </w:rPr>
              <w:t>2</w:t>
            </w:r>
            <w:r w:rsidRPr="00BE2BAC">
              <w:rPr>
                <w:rFonts w:ascii="Arial" w:hAnsi="Arial" w:cs="Arial"/>
                <w:sz w:val="16"/>
                <w:szCs w:val="16"/>
              </w:rPr>
              <w:t xml:space="preserve"> 2007 estimate for unmonitored areas was based on an assumed DWF rate of 100 gallons/acre/day.</w:t>
            </w:r>
          </w:p>
          <w:p w14:paraId="2B73A583" w14:textId="55CB9E71" w:rsidR="00373941" w:rsidRPr="00BE2BAC" w:rsidRDefault="00CC41FB" w:rsidP="00CC41FB">
            <w:pPr>
              <w:spacing w:after="20" w:line="259" w:lineRule="auto"/>
              <w:ind w:left="144" w:hanging="144"/>
              <w:rPr>
                <w:rFonts w:ascii="Arial" w:hAnsi="Arial" w:cs="Arial"/>
                <w:sz w:val="16"/>
                <w:szCs w:val="16"/>
              </w:rPr>
            </w:pPr>
            <w:r>
              <w:rPr>
                <w:rFonts w:ascii="Arial" w:hAnsi="Arial" w:cs="Arial"/>
                <w:sz w:val="16"/>
                <w:szCs w:val="16"/>
                <w:vertAlign w:val="superscript"/>
              </w:rPr>
              <w:t>3</w:t>
            </w:r>
            <w:r w:rsidR="00F226B3" w:rsidRPr="00BE2BAC">
              <w:rPr>
                <w:rFonts w:ascii="Arial" w:hAnsi="Arial" w:cs="Arial"/>
                <w:sz w:val="16"/>
                <w:szCs w:val="16"/>
                <w:vertAlign w:val="superscript"/>
              </w:rPr>
              <w:t xml:space="preserve"> </w:t>
            </w:r>
            <w:r w:rsidR="00F226B3" w:rsidRPr="00BE2BAC">
              <w:rPr>
                <w:rFonts w:ascii="Arial" w:hAnsi="Arial" w:cs="Arial"/>
                <w:sz w:val="16"/>
                <w:szCs w:val="16"/>
              </w:rPr>
              <w:t xml:space="preserve">Values from September 2, </w:t>
            </w:r>
            <w:proofErr w:type="gramStart"/>
            <w:r w:rsidR="00F226B3" w:rsidRPr="00BE2BAC">
              <w:rPr>
                <w:rFonts w:ascii="Arial" w:hAnsi="Arial" w:cs="Arial"/>
                <w:sz w:val="16"/>
                <w:szCs w:val="16"/>
              </w:rPr>
              <w:t>2025</w:t>
            </w:r>
            <w:proofErr w:type="gramEnd"/>
            <w:r w:rsidR="00F226B3" w:rsidRPr="00BE2BAC">
              <w:rPr>
                <w:rFonts w:ascii="Arial" w:hAnsi="Arial" w:cs="Arial"/>
                <w:sz w:val="16"/>
                <w:szCs w:val="16"/>
              </w:rPr>
              <w:t xml:space="preserve"> sampling event were excluded from the average due to apparent release of </w:t>
            </w:r>
            <w:r w:rsidR="00A42FBE" w:rsidRPr="00BE2BAC">
              <w:rPr>
                <w:rFonts w:ascii="Arial" w:hAnsi="Arial" w:cs="Arial"/>
                <w:sz w:val="16"/>
                <w:szCs w:val="16"/>
              </w:rPr>
              <w:t>water during the site visit.</w:t>
            </w:r>
            <w:r w:rsidR="00EC2773">
              <w:rPr>
                <w:rFonts w:ascii="Arial" w:hAnsi="Arial" w:cs="Arial"/>
                <w:sz w:val="16"/>
                <w:szCs w:val="16"/>
              </w:rPr>
              <w:t xml:space="preserve"> Investigation into this flow source is ongoing and City of Riverside</w:t>
            </w:r>
            <w:r w:rsidR="00A42FBE" w:rsidRPr="00BE2BAC">
              <w:rPr>
                <w:rFonts w:ascii="Arial" w:hAnsi="Arial" w:cs="Arial"/>
                <w:sz w:val="16"/>
                <w:szCs w:val="16"/>
              </w:rPr>
              <w:t xml:space="preserve"> Flow measured during a </w:t>
            </w:r>
            <w:r w:rsidR="00141526" w:rsidRPr="00BE2BAC">
              <w:rPr>
                <w:rFonts w:ascii="Arial" w:hAnsi="Arial" w:cs="Arial"/>
                <w:sz w:val="16"/>
                <w:szCs w:val="16"/>
              </w:rPr>
              <w:t>supplemental site visit on September 4 was instead used in estimated average</w:t>
            </w:r>
            <w:r w:rsidR="005A4DFA" w:rsidRPr="00BE2BAC">
              <w:rPr>
                <w:rFonts w:ascii="Arial" w:hAnsi="Arial" w:cs="Arial"/>
                <w:sz w:val="16"/>
                <w:szCs w:val="16"/>
              </w:rPr>
              <w:t xml:space="preserve"> for T1-BXSP</w:t>
            </w:r>
            <w:r w:rsidR="00141526" w:rsidRPr="00BE2BAC">
              <w:rPr>
                <w:rFonts w:ascii="Arial" w:hAnsi="Arial" w:cs="Arial"/>
                <w:sz w:val="16"/>
                <w:szCs w:val="16"/>
              </w:rPr>
              <w:t>.</w:t>
            </w:r>
          </w:p>
        </w:tc>
      </w:tr>
    </w:tbl>
    <w:p w14:paraId="792F174A" w14:textId="14222BAD" w:rsidR="00873B9F" w:rsidRDefault="00CC41FB" w:rsidP="004F52E7">
      <w:pPr>
        <w:pStyle w:val="BodyText"/>
        <w:spacing w:before="240" w:after="200"/>
      </w:pPr>
      <w:r w:rsidRPr="004F52E7">
        <w:rPr>
          <w:bCs/>
        </w:rPr>
        <w:lastRenderedPageBreak/>
        <w:t>DWF</w:t>
      </w:r>
      <w:r>
        <w:rPr>
          <w:b/>
        </w:rPr>
        <w:t xml:space="preserve"> </w:t>
      </w:r>
      <w:r w:rsidR="00BE2BAC">
        <w:t xml:space="preserve">reductions achieved </w:t>
      </w:r>
      <w:r>
        <w:t xml:space="preserve">over the past 18 years continue to </w:t>
      </w:r>
      <w:r w:rsidR="00BE2BAC">
        <w:t>exceed the targeted DWF reduction needed to comply with WLAs for MS4s</w:t>
      </w:r>
      <w:r>
        <w:t xml:space="preserve"> </w:t>
      </w:r>
      <w:r>
        <w:rPr>
          <w:rStyle w:val="FootnoteReference"/>
        </w:rPr>
        <w:footnoteReference w:id="16"/>
      </w:r>
      <w:r>
        <w:t xml:space="preserve"> (</w:t>
      </w:r>
      <w:r w:rsidRPr="004F52E7">
        <w:rPr>
          <w:b/>
        </w:rPr>
        <w:t>Figure 3-2</w:t>
      </w:r>
      <w:r w:rsidR="001A74D1" w:rsidRPr="004F52E7">
        <w:rPr>
          <w:b/>
        </w:rPr>
        <w:t>,</w:t>
      </w:r>
      <w:r w:rsidR="001A74D1">
        <w:t xml:space="preserve"> </w:t>
      </w:r>
      <w:r w:rsidR="00BE2BAC" w:rsidRPr="00A747C6">
        <w:rPr>
          <w:b/>
        </w:rPr>
        <w:t>Table 3-</w:t>
      </w:r>
      <w:r w:rsidR="00BE2BAC">
        <w:rPr>
          <w:b/>
        </w:rPr>
        <w:t>3</w:t>
      </w:r>
      <w:r w:rsidR="00BE2BAC">
        <w:t xml:space="preserve">). </w:t>
      </w:r>
      <w:r w:rsidR="00BE2BAC" w:rsidRPr="008C75E5">
        <w:t>Th</w:t>
      </w:r>
      <w:r w:rsidR="00BE2BAC">
        <w:t>e observed decline in DWF at the Tier 1 MS4 outfalls is t</w:t>
      </w:r>
      <w:r w:rsidR="00BE2BAC" w:rsidRPr="008C75E5">
        <w:t>he result of better water management</w:t>
      </w:r>
      <w:r w:rsidR="00BE2BAC">
        <w:t>/conservation</w:t>
      </w:r>
      <w:r w:rsidR="00BE2BAC" w:rsidRPr="008C75E5">
        <w:t xml:space="preserve"> </w:t>
      </w:r>
      <w:r w:rsidR="00BE2BAC">
        <w:t>and coordination between</w:t>
      </w:r>
      <w:r w:rsidR="00BE2BAC" w:rsidRPr="008C75E5">
        <w:t xml:space="preserve"> water purveyor and stormwater agenc</w:t>
      </w:r>
      <w:r w:rsidR="00BE2BAC">
        <w:t>ies.</w:t>
      </w:r>
    </w:p>
    <w:p w14:paraId="06D17A11" w14:textId="1867A040" w:rsidR="00873B9F" w:rsidRDefault="00B8555D" w:rsidP="00F608A8">
      <w:pPr>
        <w:pStyle w:val="BodyText"/>
        <w:spacing w:after="40"/>
      </w:pPr>
      <w:r>
        <w:rPr>
          <w:noProof/>
        </w:rPr>
        <w:drawing>
          <wp:inline distT="0" distB="0" distL="0" distR="0" wp14:anchorId="4B58939A" wp14:editId="31728AAA">
            <wp:extent cx="5534025" cy="3136605"/>
            <wp:effectExtent l="0" t="0" r="9525" b="6985"/>
            <wp:docPr id="2139253999" name="Chart 1">
              <a:extLst xmlns:a="http://schemas.openxmlformats.org/drawingml/2006/main">
                <a:ext uri="{FF2B5EF4-FFF2-40B4-BE49-F238E27FC236}">
                  <a16:creationId xmlns:a16="http://schemas.microsoft.com/office/drawing/2014/main" id="{C2F7209E-1A61-4F7A-B169-1E38263A59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FC3D6AA" w14:textId="5C3FC29D" w:rsidR="00F33FD0" w:rsidRPr="00F33FD0" w:rsidRDefault="00F33FD0" w:rsidP="00F33FD0">
      <w:pPr>
        <w:pStyle w:val="Caption"/>
        <w:spacing w:after="240"/>
      </w:pPr>
      <w:bookmarkStart w:id="67" w:name="_Toc217394560"/>
      <w:bookmarkStart w:id="68" w:name="_Toc217394755"/>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w:t>
      </w:r>
      <w:r w:rsidR="0023167A">
        <w:fldChar w:fldCharType="end"/>
      </w:r>
      <w:r>
        <w:t xml:space="preserve">. </w:t>
      </w:r>
      <w:r w:rsidRPr="00F33FD0">
        <w:t>Change i</w:t>
      </w:r>
      <w:r>
        <w:t>n</w:t>
      </w:r>
      <w:r w:rsidRPr="00F33FD0">
        <w:t xml:space="preserve"> Measured DWF Rate</w:t>
      </w:r>
      <w:r>
        <w:t>s</w:t>
      </w:r>
      <w:r w:rsidRPr="00F33FD0">
        <w:t xml:space="preserve"> from MS4 Outfalls Upstream of the Chino Creek and the Santa Ana River Compliance Monitoring Sites.</w:t>
      </w:r>
      <w:bookmarkEnd w:id="67"/>
      <w:bookmarkEnd w:id="68"/>
    </w:p>
    <w:tbl>
      <w:tblPr>
        <w:tblStyle w:val="TableGrid"/>
        <w:tblW w:w="0" w:type="auto"/>
        <w:jc w:val="center"/>
        <w:tblLook w:val="04A0" w:firstRow="1" w:lastRow="0" w:firstColumn="1" w:lastColumn="0" w:noHBand="0" w:noVBand="1"/>
      </w:tblPr>
      <w:tblGrid>
        <w:gridCol w:w="2970"/>
        <w:gridCol w:w="3330"/>
        <w:gridCol w:w="2430"/>
        <w:gridCol w:w="260"/>
      </w:tblGrid>
      <w:tr w:rsidR="00524F10" w:rsidRPr="008E33BD" w14:paraId="473E9D5D" w14:textId="77777777" w:rsidTr="00436444">
        <w:trPr>
          <w:trHeight w:val="504"/>
          <w:jc w:val="center"/>
        </w:trPr>
        <w:tc>
          <w:tcPr>
            <w:tcW w:w="8990" w:type="dxa"/>
            <w:gridSpan w:val="4"/>
            <w:tcBorders>
              <w:top w:val="nil"/>
              <w:left w:val="nil"/>
              <w:bottom w:val="single" w:sz="4" w:space="0" w:color="auto"/>
              <w:right w:val="nil"/>
            </w:tcBorders>
          </w:tcPr>
          <w:p w14:paraId="2F72193A" w14:textId="7AD425D4" w:rsidR="00524F10" w:rsidRPr="008E33BD" w:rsidRDefault="00223F5D" w:rsidP="00223F5D">
            <w:pPr>
              <w:pStyle w:val="Caption"/>
              <w:keepNext/>
              <w:rPr>
                <w:rFonts w:ascii="Arial" w:hAnsi="Arial" w:cs="Arial"/>
                <w:b w:val="0"/>
                <w:szCs w:val="20"/>
              </w:rPr>
            </w:pPr>
            <w:bookmarkStart w:id="69" w:name="_Toc217391760"/>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3</w:t>
            </w:r>
            <w:r w:rsidR="00FE614C">
              <w:fldChar w:fldCharType="end"/>
            </w:r>
            <w:r>
              <w:t xml:space="preserve">. </w:t>
            </w:r>
            <w:r w:rsidRPr="00A94C91">
              <w:t>CBRP Estimate of Required DWF Reduction Compared to Observed DWF Reduction Since 2007</w:t>
            </w:r>
            <w:bookmarkEnd w:id="69"/>
          </w:p>
        </w:tc>
      </w:tr>
      <w:tr w:rsidR="008E33BD" w:rsidRPr="008E33BD" w14:paraId="650F005F" w14:textId="77777777" w:rsidTr="002714B2">
        <w:trPr>
          <w:gridAfter w:val="1"/>
          <w:wAfter w:w="260" w:type="dxa"/>
          <w:trHeight w:val="827"/>
          <w:jc w:val="center"/>
        </w:trPr>
        <w:tc>
          <w:tcPr>
            <w:tcW w:w="29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27C3B7" w14:textId="39CDEBDF" w:rsidR="00DD38FA" w:rsidRPr="002714B2" w:rsidRDefault="00DD38FA" w:rsidP="008E33BD">
            <w:pPr>
              <w:pStyle w:val="LFTBody"/>
              <w:spacing w:after="0" w:line="240" w:lineRule="auto"/>
              <w:jc w:val="center"/>
              <w:rPr>
                <w:rFonts w:ascii="Arial" w:hAnsi="Arial" w:cs="Arial"/>
                <w:b/>
                <w:bCs/>
                <w:sz w:val="18"/>
                <w:szCs w:val="18"/>
                <w:lang w:bidi="ar-SA"/>
              </w:rPr>
            </w:pPr>
            <w:r w:rsidRPr="002714B2">
              <w:rPr>
                <w:rFonts w:ascii="Arial" w:hAnsi="Arial" w:cs="Arial"/>
                <w:b/>
                <w:bCs/>
                <w:sz w:val="18"/>
                <w:szCs w:val="18"/>
              </w:rPr>
              <w:t>MSAR Watershed Compliance Site</w:t>
            </w:r>
            <w:r w:rsidR="001A7FFA" w:rsidRPr="002714B2">
              <w:rPr>
                <w:rFonts w:ascii="Arial" w:hAnsi="Arial" w:cs="Arial"/>
                <w:b/>
                <w:bCs/>
                <w:sz w:val="18"/>
                <w:szCs w:val="18"/>
              </w:rPr>
              <w:t xml:space="preserve"> </w:t>
            </w:r>
            <w:r w:rsidR="001A7FFA" w:rsidRPr="002714B2">
              <w:rPr>
                <w:rFonts w:ascii="Arial" w:hAnsi="Arial" w:cs="Arial"/>
                <w:b/>
                <w:bCs/>
                <w:sz w:val="18"/>
                <w:szCs w:val="18"/>
                <w:vertAlign w:val="superscript"/>
              </w:rPr>
              <w:t>1</w:t>
            </w:r>
          </w:p>
        </w:tc>
        <w:tc>
          <w:tcPr>
            <w:tcW w:w="33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C0F89" w14:textId="22361EFD" w:rsidR="00DD38FA" w:rsidRPr="002714B2" w:rsidRDefault="00DD38FA" w:rsidP="008E33BD">
            <w:pPr>
              <w:pStyle w:val="LFTBody"/>
              <w:spacing w:after="0" w:line="240" w:lineRule="auto"/>
              <w:jc w:val="center"/>
              <w:rPr>
                <w:rFonts w:ascii="Arial" w:hAnsi="Arial" w:cs="Arial"/>
                <w:b/>
                <w:bCs/>
                <w:sz w:val="18"/>
                <w:szCs w:val="18"/>
                <w:lang w:bidi="ar-SA"/>
              </w:rPr>
            </w:pPr>
            <w:r w:rsidRPr="002714B2">
              <w:rPr>
                <w:rFonts w:ascii="Arial" w:hAnsi="Arial" w:cs="Arial"/>
                <w:b/>
                <w:bCs/>
                <w:sz w:val="18"/>
                <w:szCs w:val="18"/>
              </w:rPr>
              <w:t xml:space="preserve">CBRP – Estimated DWF Reduction </w:t>
            </w:r>
            <w:r w:rsidR="004E68FC" w:rsidRPr="002714B2">
              <w:rPr>
                <w:rFonts w:ascii="Arial" w:hAnsi="Arial" w:cs="Arial"/>
                <w:b/>
                <w:bCs/>
                <w:sz w:val="18"/>
                <w:szCs w:val="18"/>
              </w:rPr>
              <w:t xml:space="preserve">from 2007 Rates </w:t>
            </w:r>
            <w:r w:rsidRPr="002714B2">
              <w:rPr>
                <w:rFonts w:ascii="Arial" w:hAnsi="Arial" w:cs="Arial"/>
                <w:b/>
                <w:bCs/>
                <w:sz w:val="18"/>
                <w:szCs w:val="18"/>
              </w:rPr>
              <w:t>to Comply with WLAs</w:t>
            </w:r>
            <w:r w:rsidR="0051600B" w:rsidRPr="002714B2">
              <w:rPr>
                <w:rFonts w:ascii="Arial" w:hAnsi="Arial" w:cs="Arial"/>
                <w:b/>
                <w:bCs/>
                <w:sz w:val="18"/>
                <w:szCs w:val="18"/>
              </w:rPr>
              <w:t xml:space="preserve"> (cfs)</w:t>
            </w:r>
          </w:p>
        </w:tc>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3CBC41" w14:textId="5CB6BB19" w:rsidR="00DD38FA" w:rsidRPr="002714B2" w:rsidRDefault="00267EDD" w:rsidP="008E33BD">
            <w:pPr>
              <w:pStyle w:val="LFTBody"/>
              <w:spacing w:after="0" w:line="240" w:lineRule="auto"/>
              <w:jc w:val="center"/>
              <w:rPr>
                <w:rFonts w:ascii="Arial" w:hAnsi="Arial" w:cs="Arial"/>
                <w:b/>
                <w:bCs/>
                <w:sz w:val="18"/>
                <w:szCs w:val="18"/>
                <w:vertAlign w:val="superscript"/>
                <w:lang w:bidi="ar-SA"/>
              </w:rPr>
            </w:pPr>
            <w:r w:rsidRPr="002714B2">
              <w:rPr>
                <w:rFonts w:ascii="Arial" w:hAnsi="Arial" w:cs="Arial"/>
                <w:b/>
                <w:bCs/>
                <w:sz w:val="18"/>
                <w:szCs w:val="18"/>
              </w:rPr>
              <w:t xml:space="preserve">Measured </w:t>
            </w:r>
            <w:r w:rsidR="00DD38FA" w:rsidRPr="002714B2">
              <w:rPr>
                <w:rFonts w:ascii="Arial" w:hAnsi="Arial" w:cs="Arial"/>
                <w:b/>
                <w:bCs/>
                <w:sz w:val="18"/>
                <w:szCs w:val="18"/>
              </w:rPr>
              <w:t xml:space="preserve">DWF Reduction </w:t>
            </w:r>
            <w:r w:rsidR="004E68FC" w:rsidRPr="002714B2">
              <w:rPr>
                <w:rFonts w:ascii="Arial" w:hAnsi="Arial" w:cs="Arial"/>
                <w:b/>
                <w:bCs/>
                <w:sz w:val="18"/>
                <w:szCs w:val="18"/>
              </w:rPr>
              <w:t xml:space="preserve">in 2025 </w:t>
            </w:r>
            <w:r w:rsidR="00A32008" w:rsidRPr="002714B2">
              <w:rPr>
                <w:rFonts w:ascii="Arial" w:hAnsi="Arial" w:cs="Arial"/>
                <w:b/>
                <w:bCs/>
                <w:sz w:val="18"/>
                <w:szCs w:val="18"/>
              </w:rPr>
              <w:t xml:space="preserve">from </w:t>
            </w:r>
            <w:r w:rsidR="00DD38FA" w:rsidRPr="002714B2">
              <w:rPr>
                <w:rFonts w:ascii="Arial" w:hAnsi="Arial" w:cs="Arial"/>
                <w:b/>
                <w:bCs/>
                <w:sz w:val="18"/>
                <w:szCs w:val="18"/>
              </w:rPr>
              <w:t xml:space="preserve">2007 </w:t>
            </w:r>
            <w:r w:rsidR="00A32008" w:rsidRPr="002714B2">
              <w:rPr>
                <w:rFonts w:ascii="Arial" w:hAnsi="Arial" w:cs="Arial"/>
                <w:b/>
                <w:bCs/>
                <w:sz w:val="18"/>
                <w:szCs w:val="18"/>
              </w:rPr>
              <w:t xml:space="preserve">Rates </w:t>
            </w:r>
            <w:r w:rsidR="00DD38FA" w:rsidRPr="002714B2">
              <w:rPr>
                <w:rFonts w:ascii="Arial" w:hAnsi="Arial" w:cs="Arial"/>
                <w:b/>
                <w:bCs/>
                <w:sz w:val="18"/>
                <w:szCs w:val="18"/>
              </w:rPr>
              <w:t>(cfs)</w:t>
            </w:r>
          </w:p>
        </w:tc>
      </w:tr>
      <w:tr w:rsidR="003F6616" w:rsidRPr="00535D6A" w14:paraId="10C56DFD" w14:textId="77777777" w:rsidTr="002714B2">
        <w:trPr>
          <w:gridAfter w:val="1"/>
          <w:wAfter w:w="260" w:type="dxa"/>
          <w:trHeight w:val="576"/>
          <w:jc w:val="center"/>
        </w:trPr>
        <w:tc>
          <w:tcPr>
            <w:tcW w:w="2970" w:type="dxa"/>
            <w:tcBorders>
              <w:top w:val="single" w:sz="4" w:space="0" w:color="000000" w:themeColor="text1"/>
              <w:bottom w:val="single" w:sz="4" w:space="0" w:color="000000" w:themeColor="text1"/>
              <w:right w:val="single" w:sz="4" w:space="0" w:color="000000" w:themeColor="text1"/>
            </w:tcBorders>
            <w:vAlign w:val="center"/>
          </w:tcPr>
          <w:p w14:paraId="1AB0B8AA" w14:textId="346D9AD3" w:rsidR="003F6616" w:rsidRPr="002714B2" w:rsidRDefault="003F6616" w:rsidP="003F6616">
            <w:pPr>
              <w:pStyle w:val="LFTBody"/>
              <w:spacing w:after="0"/>
              <w:rPr>
                <w:rFonts w:ascii="Arial" w:hAnsi="Arial" w:cs="Arial"/>
                <w:sz w:val="18"/>
                <w:szCs w:val="18"/>
              </w:rPr>
            </w:pPr>
            <w:r w:rsidRPr="002714B2">
              <w:rPr>
                <w:rFonts w:ascii="Arial" w:hAnsi="Arial" w:cs="Arial"/>
                <w:sz w:val="18"/>
                <w:szCs w:val="18"/>
              </w:rPr>
              <w:t>Chino Creek (WW-C7)</w:t>
            </w:r>
          </w:p>
        </w:tc>
        <w:tc>
          <w:tcPr>
            <w:tcW w:w="33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A90A08" w14:textId="6BD96EFC" w:rsidR="003F6616" w:rsidRPr="002714B2" w:rsidRDefault="003F6616" w:rsidP="003F6616">
            <w:pPr>
              <w:pStyle w:val="LFTBody"/>
              <w:spacing w:after="0"/>
              <w:jc w:val="center"/>
              <w:rPr>
                <w:rFonts w:ascii="Arial" w:hAnsi="Arial" w:cs="Arial"/>
                <w:sz w:val="18"/>
                <w:szCs w:val="18"/>
              </w:rPr>
            </w:pPr>
            <w:r w:rsidRPr="002714B2">
              <w:rPr>
                <w:rFonts w:ascii="Arial" w:hAnsi="Arial" w:cs="Arial"/>
                <w:sz w:val="18"/>
                <w:szCs w:val="18"/>
              </w:rPr>
              <w:t>1.19</w:t>
            </w:r>
          </w:p>
        </w:tc>
        <w:tc>
          <w:tcPr>
            <w:tcW w:w="24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F29831" w14:textId="019C0786" w:rsidR="003F6616" w:rsidRPr="002714B2" w:rsidRDefault="003F6616" w:rsidP="003F6616">
            <w:pPr>
              <w:pStyle w:val="LFTBody"/>
              <w:spacing w:after="0"/>
              <w:jc w:val="center"/>
              <w:rPr>
                <w:rFonts w:ascii="Arial" w:hAnsi="Arial" w:cs="Arial"/>
                <w:sz w:val="18"/>
                <w:szCs w:val="18"/>
                <w:lang w:bidi="ar-SA"/>
              </w:rPr>
            </w:pPr>
            <w:r w:rsidRPr="002714B2">
              <w:rPr>
                <w:rFonts w:ascii="Arial" w:hAnsi="Arial" w:cs="Arial"/>
                <w:sz w:val="18"/>
                <w:szCs w:val="18"/>
                <w:lang w:bidi="ar-SA"/>
              </w:rPr>
              <w:t>7.2</w:t>
            </w:r>
            <w:r w:rsidR="00A47B82" w:rsidRPr="002714B2">
              <w:rPr>
                <w:rFonts w:ascii="Arial" w:hAnsi="Arial" w:cs="Arial"/>
                <w:sz w:val="18"/>
                <w:szCs w:val="18"/>
                <w:lang w:bidi="ar-SA"/>
              </w:rPr>
              <w:t>4</w:t>
            </w:r>
          </w:p>
        </w:tc>
      </w:tr>
      <w:tr w:rsidR="003F6616" w:rsidRPr="00535D6A" w14:paraId="2950B90A" w14:textId="77777777" w:rsidTr="002714B2">
        <w:trPr>
          <w:gridAfter w:val="1"/>
          <w:wAfter w:w="260" w:type="dxa"/>
          <w:trHeight w:val="576"/>
          <w:jc w:val="center"/>
        </w:trPr>
        <w:tc>
          <w:tcPr>
            <w:tcW w:w="2970" w:type="dxa"/>
            <w:tcBorders>
              <w:top w:val="single" w:sz="4" w:space="0" w:color="auto"/>
              <w:bottom w:val="single" w:sz="4" w:space="0" w:color="000000" w:themeColor="text1"/>
              <w:right w:val="single" w:sz="4" w:space="0" w:color="000000" w:themeColor="text1"/>
            </w:tcBorders>
            <w:vAlign w:val="center"/>
          </w:tcPr>
          <w:p w14:paraId="0B8E38F9" w14:textId="0680C5E8" w:rsidR="003F6616" w:rsidRPr="002714B2" w:rsidRDefault="003F6616" w:rsidP="003F6616">
            <w:pPr>
              <w:pStyle w:val="LFTBody"/>
              <w:spacing w:after="0"/>
              <w:rPr>
                <w:rFonts w:ascii="Arial" w:hAnsi="Arial" w:cs="Arial"/>
                <w:sz w:val="18"/>
                <w:szCs w:val="18"/>
                <w:lang w:bidi="ar-SA"/>
              </w:rPr>
            </w:pPr>
            <w:r w:rsidRPr="002714B2">
              <w:rPr>
                <w:rFonts w:ascii="Arial" w:hAnsi="Arial" w:cs="Arial"/>
                <w:sz w:val="18"/>
                <w:szCs w:val="18"/>
              </w:rPr>
              <w:t>Santa Ana River at MWD Crossing (WW-S1)</w:t>
            </w:r>
          </w:p>
        </w:tc>
        <w:tc>
          <w:tcPr>
            <w:tcW w:w="3330"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6A2C509E" w14:textId="479F4C20" w:rsidR="003F6616" w:rsidRPr="002714B2" w:rsidRDefault="003F6616" w:rsidP="003F6616">
            <w:pPr>
              <w:pStyle w:val="LFTBody"/>
              <w:spacing w:after="0"/>
              <w:jc w:val="center"/>
              <w:rPr>
                <w:rFonts w:ascii="Arial" w:hAnsi="Arial" w:cs="Arial"/>
                <w:sz w:val="18"/>
                <w:szCs w:val="18"/>
                <w:lang w:bidi="ar-SA"/>
              </w:rPr>
            </w:pPr>
            <w:r w:rsidRPr="002714B2">
              <w:rPr>
                <w:rFonts w:ascii="Arial" w:hAnsi="Arial" w:cs="Arial"/>
                <w:sz w:val="18"/>
                <w:szCs w:val="18"/>
              </w:rPr>
              <w:t>0.47</w:t>
            </w:r>
          </w:p>
        </w:tc>
        <w:tc>
          <w:tcPr>
            <w:tcW w:w="2430" w:type="dxa"/>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411DA506" w14:textId="70BFB6C8" w:rsidR="003F6616" w:rsidRPr="002714B2" w:rsidRDefault="00A47B82" w:rsidP="003F6616">
            <w:pPr>
              <w:pStyle w:val="LFTBody"/>
              <w:spacing w:after="0"/>
              <w:jc w:val="center"/>
              <w:rPr>
                <w:rFonts w:ascii="Arial" w:hAnsi="Arial" w:cs="Arial"/>
                <w:sz w:val="18"/>
                <w:szCs w:val="18"/>
                <w:lang w:bidi="ar-SA"/>
              </w:rPr>
            </w:pPr>
            <w:r w:rsidRPr="002714B2">
              <w:rPr>
                <w:rFonts w:ascii="Arial" w:hAnsi="Arial" w:cs="Arial"/>
                <w:sz w:val="18"/>
                <w:szCs w:val="18"/>
                <w:lang w:bidi="ar-SA"/>
              </w:rPr>
              <w:t>1.72</w:t>
            </w:r>
          </w:p>
        </w:tc>
      </w:tr>
      <w:tr w:rsidR="003F6616" w:rsidRPr="00535D6A" w14:paraId="32C7DB43" w14:textId="77777777" w:rsidTr="002714B2">
        <w:trPr>
          <w:gridAfter w:val="1"/>
          <w:wAfter w:w="260" w:type="dxa"/>
          <w:trHeight w:val="576"/>
          <w:jc w:val="center"/>
        </w:trPr>
        <w:tc>
          <w:tcPr>
            <w:tcW w:w="2970" w:type="dxa"/>
            <w:tcBorders>
              <w:top w:val="single" w:sz="4" w:space="0" w:color="000000" w:themeColor="text1"/>
              <w:bottom w:val="single" w:sz="4" w:space="0" w:color="000000" w:themeColor="text1"/>
              <w:right w:val="single" w:sz="4" w:space="0" w:color="000000" w:themeColor="text1"/>
            </w:tcBorders>
            <w:vAlign w:val="center"/>
          </w:tcPr>
          <w:p w14:paraId="18D770A7" w14:textId="31B3BFA8" w:rsidR="003F6616" w:rsidRPr="002714B2" w:rsidRDefault="003F6616" w:rsidP="003F6616">
            <w:pPr>
              <w:pStyle w:val="LFTBody"/>
              <w:spacing w:after="0"/>
              <w:rPr>
                <w:rFonts w:ascii="Arial" w:hAnsi="Arial" w:cs="Arial"/>
                <w:sz w:val="18"/>
                <w:szCs w:val="18"/>
                <w:lang w:bidi="ar-SA"/>
              </w:rPr>
            </w:pPr>
            <w:r w:rsidRPr="002714B2">
              <w:rPr>
                <w:rFonts w:ascii="Arial" w:hAnsi="Arial" w:cs="Arial"/>
                <w:sz w:val="18"/>
                <w:szCs w:val="18"/>
              </w:rPr>
              <w:t>Santa Ana River at Pedley Avenue (WW-S4)</w:t>
            </w:r>
          </w:p>
        </w:tc>
        <w:tc>
          <w:tcPr>
            <w:tcW w:w="33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097D1A" w14:textId="4EBC0CC4" w:rsidR="003F6616" w:rsidRPr="002714B2" w:rsidRDefault="003F6616" w:rsidP="003F6616">
            <w:pPr>
              <w:pStyle w:val="LFTBody"/>
              <w:spacing w:after="0"/>
              <w:jc w:val="center"/>
              <w:rPr>
                <w:rFonts w:ascii="Arial" w:hAnsi="Arial" w:cs="Arial"/>
                <w:sz w:val="18"/>
                <w:szCs w:val="18"/>
                <w:lang w:bidi="ar-SA"/>
              </w:rPr>
            </w:pPr>
            <w:r w:rsidRPr="002714B2">
              <w:rPr>
                <w:rFonts w:ascii="Arial" w:hAnsi="Arial" w:cs="Arial"/>
                <w:sz w:val="18"/>
                <w:szCs w:val="18"/>
              </w:rPr>
              <w:t>0.32</w:t>
            </w:r>
          </w:p>
        </w:tc>
        <w:tc>
          <w:tcPr>
            <w:tcW w:w="24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3111E65" w14:textId="05D414D7" w:rsidR="003F6616" w:rsidRPr="002714B2" w:rsidRDefault="00A47B82" w:rsidP="003F6616">
            <w:pPr>
              <w:pStyle w:val="LFTBody"/>
              <w:spacing w:after="0"/>
              <w:jc w:val="center"/>
              <w:rPr>
                <w:rFonts w:ascii="Arial" w:hAnsi="Arial" w:cs="Arial"/>
                <w:sz w:val="18"/>
                <w:szCs w:val="18"/>
                <w:lang w:bidi="ar-SA"/>
              </w:rPr>
            </w:pPr>
            <w:r w:rsidRPr="002714B2">
              <w:rPr>
                <w:rFonts w:ascii="Arial" w:hAnsi="Arial" w:cs="Arial"/>
                <w:sz w:val="18"/>
                <w:szCs w:val="18"/>
                <w:lang w:bidi="ar-SA"/>
              </w:rPr>
              <w:t>3.87</w:t>
            </w:r>
          </w:p>
        </w:tc>
      </w:tr>
      <w:tr w:rsidR="003F6616" w:rsidRPr="009D06E7" w14:paraId="3937FCEA" w14:textId="77777777" w:rsidTr="001502AA">
        <w:trPr>
          <w:trHeight w:val="440"/>
          <w:jc w:val="center"/>
        </w:trPr>
        <w:tc>
          <w:tcPr>
            <w:tcW w:w="8990" w:type="dxa"/>
            <w:gridSpan w:val="4"/>
            <w:tcBorders>
              <w:top w:val="single" w:sz="4" w:space="0" w:color="000000" w:themeColor="text1"/>
              <w:left w:val="nil"/>
              <w:bottom w:val="nil"/>
              <w:right w:val="nil"/>
            </w:tcBorders>
            <w:vAlign w:val="center"/>
          </w:tcPr>
          <w:p w14:paraId="6E780190" w14:textId="77777777" w:rsidR="003F6616" w:rsidRDefault="003F6616" w:rsidP="003F6616">
            <w:pPr>
              <w:pStyle w:val="LFTBody"/>
              <w:spacing w:after="0" w:line="240" w:lineRule="auto"/>
              <w:rPr>
                <w:rFonts w:ascii="Arial" w:eastAsia="Times New Roman" w:hAnsi="Arial" w:cs="Arial"/>
                <w:sz w:val="16"/>
                <w:szCs w:val="16"/>
              </w:rPr>
            </w:pPr>
            <w:r w:rsidRPr="009D06E7">
              <w:rPr>
                <w:rFonts w:ascii="Arial" w:eastAsia="Times New Roman" w:hAnsi="Arial" w:cs="Arial"/>
                <w:sz w:val="16"/>
                <w:szCs w:val="16"/>
                <w:vertAlign w:val="superscript"/>
              </w:rPr>
              <w:t xml:space="preserve">1 </w:t>
            </w:r>
            <w:r w:rsidRPr="009D06E7">
              <w:rPr>
                <w:rFonts w:ascii="Arial" w:hAnsi="Arial" w:cs="Arial"/>
                <w:sz w:val="16"/>
                <w:szCs w:val="16"/>
              </w:rPr>
              <w:t>Extreme temporal variability of RP1 effluent discharge rate makes it infeasible to support a flow balance using singe point in time measurements</w:t>
            </w:r>
            <w:r w:rsidRPr="009D06E7">
              <w:rPr>
                <w:rFonts w:ascii="Arial" w:eastAsia="Times New Roman" w:hAnsi="Arial" w:cs="Arial"/>
                <w:sz w:val="16"/>
                <w:szCs w:val="16"/>
              </w:rPr>
              <w:t xml:space="preserve"> in the </w:t>
            </w:r>
            <w:r w:rsidRPr="009D06E7">
              <w:rPr>
                <w:rFonts w:ascii="Arial" w:hAnsi="Arial" w:cs="Arial"/>
                <w:sz w:val="16"/>
                <w:szCs w:val="16"/>
              </w:rPr>
              <w:t>Mill-Cucamonga Creek drainage area</w:t>
            </w:r>
            <w:r w:rsidRPr="009D06E7">
              <w:rPr>
                <w:rFonts w:ascii="Arial" w:eastAsia="Times New Roman" w:hAnsi="Arial" w:cs="Arial"/>
                <w:sz w:val="16"/>
                <w:szCs w:val="16"/>
              </w:rPr>
              <w:t>.</w:t>
            </w:r>
          </w:p>
          <w:p w14:paraId="7BCB16D6" w14:textId="7F933CA9" w:rsidR="00223F5D" w:rsidRPr="009D06E7" w:rsidRDefault="00223F5D" w:rsidP="003F6616">
            <w:pPr>
              <w:pStyle w:val="LFTBody"/>
              <w:spacing w:after="0" w:line="240" w:lineRule="auto"/>
              <w:rPr>
                <w:rFonts w:ascii="Arial" w:hAnsi="Arial" w:cs="Arial"/>
                <w:sz w:val="16"/>
                <w:szCs w:val="16"/>
              </w:rPr>
            </w:pPr>
            <w:r>
              <w:rPr>
                <w:rFonts w:ascii="Arial" w:hAnsi="Arial" w:cs="Arial"/>
                <w:sz w:val="16"/>
                <w:szCs w:val="16"/>
              </w:rPr>
              <w:t xml:space="preserve">Reference: </w:t>
            </w:r>
            <w:r w:rsidRPr="00223F5D">
              <w:rPr>
                <w:rFonts w:ascii="Arial" w:hAnsi="Arial" w:cs="Arial"/>
                <w:sz w:val="16"/>
                <w:szCs w:val="16"/>
              </w:rPr>
              <w:t>RCFC&amp;WCD 2011; SBCFCD 2011</w:t>
            </w:r>
          </w:p>
        </w:tc>
      </w:tr>
    </w:tbl>
    <w:p w14:paraId="33EE8070" w14:textId="77777777" w:rsidR="00524F10" w:rsidRDefault="00524F10" w:rsidP="00524F10">
      <w:pPr>
        <w:pStyle w:val="BodyText"/>
        <w:rPr>
          <w:noProof/>
        </w:rPr>
      </w:pPr>
    </w:p>
    <w:p w14:paraId="1D86D645" w14:textId="044D08D4" w:rsidR="00873B9F" w:rsidRPr="004F1F0D" w:rsidRDefault="00873B9F" w:rsidP="00873B9F">
      <w:pPr>
        <w:pStyle w:val="Heading3"/>
      </w:pPr>
      <w:bookmarkStart w:id="70" w:name="_Toc217410157"/>
      <w:r>
        <w:lastRenderedPageBreak/>
        <w:t>POTW Discharge</w:t>
      </w:r>
      <w:r w:rsidR="00D2659C">
        <w:t>s to MSAR Waters</w:t>
      </w:r>
      <w:bookmarkEnd w:id="70"/>
      <w:r>
        <w:t xml:space="preserve"> </w:t>
      </w:r>
    </w:p>
    <w:p w14:paraId="472908B6" w14:textId="77777777" w:rsidR="00F33FD0" w:rsidRDefault="00873B9F" w:rsidP="00F33FD0">
      <w:pPr>
        <w:pStyle w:val="BodyText"/>
        <w:spacing w:after="200"/>
      </w:pPr>
      <w:r w:rsidRPr="008C75E5">
        <w:t>POTW effluent</w:t>
      </w:r>
      <w:r>
        <w:t xml:space="preserve"> comprises </w:t>
      </w:r>
      <w:proofErr w:type="gramStart"/>
      <w:r>
        <w:t>the majority of</w:t>
      </w:r>
      <w:proofErr w:type="gramEnd"/>
      <w:r>
        <w:t xml:space="preserve"> total flow in the impaired waters and must be accounted for in the source contribution analysis</w:t>
      </w:r>
      <w:r w:rsidRPr="008C75E5">
        <w:t xml:space="preserve">. In recent years, POTW </w:t>
      </w:r>
      <w:r>
        <w:t xml:space="preserve">effluent </w:t>
      </w:r>
      <w:r w:rsidRPr="008C75E5">
        <w:t xml:space="preserve">discharge rates to Chino Creek, Cucamonga Creek, and the Santa Ana River have declined </w:t>
      </w:r>
      <w:proofErr w:type="gramStart"/>
      <w:r w:rsidRPr="008C75E5">
        <w:t>as a result of</w:t>
      </w:r>
      <w:proofErr w:type="gramEnd"/>
      <w:r w:rsidRPr="008C75E5">
        <w:t xml:space="preserve"> increased recycling of POTW effluent to serve reuse projects.</w:t>
      </w:r>
      <w:r>
        <w:t xml:space="preserve"> </w:t>
      </w:r>
      <w:r w:rsidRPr="008C3FE5">
        <w:rPr>
          <w:b/>
        </w:rPr>
        <w:t>Figure 3-3</w:t>
      </w:r>
      <w:r>
        <w:t xml:space="preserve"> shows long-term decreasing trends of dry season POTW effluent discharge (cfs) at the five discharge locations upstream of the TMDL compliance monitoring locations.</w:t>
      </w:r>
    </w:p>
    <w:p w14:paraId="4C242BD1" w14:textId="3FAC1186" w:rsidR="000F57B0" w:rsidRPr="00F33FD0" w:rsidRDefault="000F57B0" w:rsidP="00F33FD0">
      <w:pPr>
        <w:pStyle w:val="BodyText"/>
        <w:spacing w:after="0"/>
      </w:pPr>
      <w:r>
        <w:rPr>
          <w:b/>
          <w:noProof/>
          <w:sz w:val="22"/>
          <w:szCs w:val="22"/>
        </w:rPr>
        <w:drawing>
          <wp:inline distT="0" distB="0" distL="0" distR="0" wp14:anchorId="1D2CD023" wp14:editId="3BDFBF6D">
            <wp:extent cx="4310484" cy="3665551"/>
            <wp:effectExtent l="0" t="0" r="0" b="0"/>
            <wp:docPr id="1769649921" name="Picture 11" descr="A graph of different colored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49921" name="Picture 11" descr="A graph of different colored lines and numbers&#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0484" cy="3665551"/>
                    </a:xfrm>
                    <a:prstGeom prst="rect">
                      <a:avLst/>
                    </a:prstGeom>
                    <a:noFill/>
                  </pic:spPr>
                </pic:pic>
              </a:graphicData>
            </a:graphic>
          </wp:inline>
        </w:drawing>
      </w:r>
      <w:r w:rsidRPr="00361063">
        <w:rPr>
          <w:b/>
        </w:rPr>
        <w:t xml:space="preserve"> </w:t>
      </w:r>
    </w:p>
    <w:p w14:paraId="22BD1385" w14:textId="0645A5CD" w:rsidR="00F33FD0" w:rsidRDefault="00F33FD0" w:rsidP="00F33FD0">
      <w:pPr>
        <w:pStyle w:val="Caption"/>
        <w:spacing w:after="240"/>
      </w:pPr>
      <w:bookmarkStart w:id="71" w:name="_Toc217394561"/>
      <w:bookmarkStart w:id="72" w:name="_Toc217394756"/>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3</w:t>
      </w:r>
      <w:r w:rsidR="0023167A">
        <w:fldChar w:fldCharType="end"/>
      </w:r>
      <w:r>
        <w:t xml:space="preserve">. </w:t>
      </w:r>
      <w:r w:rsidRPr="00F33FD0">
        <w:t>Average August POTW Effluent Flow to Impaired Waters (2007-2025)</w:t>
      </w:r>
      <w:bookmarkEnd w:id="71"/>
      <w:bookmarkEnd w:id="72"/>
    </w:p>
    <w:p w14:paraId="10C9CA6B" w14:textId="11472B20" w:rsidR="00067FEB" w:rsidRDefault="00873B9F" w:rsidP="00067FEB">
      <w:pPr>
        <w:pStyle w:val="BodyText"/>
        <w:spacing w:after="200"/>
        <w:rPr>
          <w:i/>
        </w:rPr>
      </w:pPr>
      <w:r>
        <w:t>Other de minimis discharges to MS4s occur in the MSAR watershed upstream of Tier 1 sites (see above for examples of de minimis discharge types), but these are intermittent and not reported at the daily or sub-daily timesteps needed to accommodate inclusion in the source contribution analysis. Examples of these discharges occurred during the 2025 Synoptic Study:</w:t>
      </w:r>
      <w:r w:rsidR="00067FEB" w:rsidRPr="00067FEB">
        <w:rPr>
          <w:i/>
        </w:rPr>
        <w:t xml:space="preserve"> </w:t>
      </w:r>
    </w:p>
    <w:p w14:paraId="5A2E7BC6" w14:textId="2649DC31" w:rsidR="00FE509F" w:rsidRDefault="00067FEB" w:rsidP="004F52E7">
      <w:pPr>
        <w:pStyle w:val="BodyText"/>
        <w:numPr>
          <w:ilvl w:val="0"/>
          <w:numId w:val="71"/>
        </w:numPr>
        <w:spacing w:after="200"/>
        <w:rPr>
          <w:b/>
          <w:noProof/>
          <w:sz w:val="22"/>
          <w:szCs w:val="22"/>
        </w:rPr>
      </w:pPr>
      <w:r>
        <w:rPr>
          <w:i/>
        </w:rPr>
        <w:t xml:space="preserve">Box Springs Channel </w:t>
      </w:r>
      <w:r>
        <w:t xml:space="preserve">– On September 2, </w:t>
      </w:r>
      <w:r w:rsidR="004F74F8">
        <w:t>2025,</w:t>
      </w:r>
      <w:r>
        <w:t xml:space="preserve"> a </w:t>
      </w:r>
      <w:r w:rsidR="004F74F8">
        <w:t>large</w:t>
      </w:r>
      <w:r>
        <w:t xml:space="preserve"> increase in flow was observed at T1-BXSP. During that event, flow was measured at 7.43 cfs. During </w:t>
      </w:r>
      <w:r w:rsidR="004F74F8">
        <w:t xml:space="preserve">the previous four </w:t>
      </w:r>
      <w:r>
        <w:t xml:space="preserve">sample events, DWF rates ranged from 0.09 to 0.11 cfs (see Table B-1). A supplemental site visit on September 4, </w:t>
      </w:r>
      <w:r w:rsidR="004F52E7">
        <w:t>2025,</w:t>
      </w:r>
      <w:r>
        <w:t xml:space="preserve"> estimated a DWF rate of 1.98 cfs. The source of this discharge is </w:t>
      </w:r>
      <w:proofErr w:type="gramStart"/>
      <w:r>
        <w:t>unknown</w:t>
      </w:r>
      <w:proofErr w:type="gramEnd"/>
      <w:r w:rsidR="004F52E7">
        <w:t xml:space="preserve"> and follow-up investigation is underway by RCFC&amp;WCD and the City of Riverside</w:t>
      </w:r>
      <w:r>
        <w:t>.</w:t>
      </w:r>
      <w:r w:rsidRPr="00873B9F">
        <w:rPr>
          <w:b/>
          <w:noProof/>
          <w:sz w:val="22"/>
          <w:szCs w:val="22"/>
        </w:rPr>
        <w:t xml:space="preserve"> </w:t>
      </w:r>
    </w:p>
    <w:p w14:paraId="7AC3FB00" w14:textId="37D17396" w:rsidR="00CB623A" w:rsidRPr="00422129" w:rsidRDefault="00F97C4F" w:rsidP="00F97C4F">
      <w:pPr>
        <w:pStyle w:val="Heading3"/>
      </w:pPr>
      <w:bookmarkStart w:id="73" w:name="_Toc217410158"/>
      <w:r>
        <w:lastRenderedPageBreak/>
        <w:t>DWF in Cucamonga Creek</w:t>
      </w:r>
      <w:bookmarkEnd w:id="73"/>
      <w:r>
        <w:t xml:space="preserve"> </w:t>
      </w:r>
    </w:p>
    <w:p w14:paraId="4B811859" w14:textId="7FB03EE8" w:rsidR="00CB623A" w:rsidRDefault="00CB623A" w:rsidP="00CB623A">
      <w:pPr>
        <w:pStyle w:val="BodyText"/>
      </w:pPr>
      <w:r w:rsidRPr="00D41DBB">
        <w:t xml:space="preserve">The dry weather hydrologic condition of </w:t>
      </w:r>
      <w:r>
        <w:t xml:space="preserve">the investigated segment of </w:t>
      </w:r>
      <w:r w:rsidRPr="00D41DBB">
        <w:t xml:space="preserve">Cucamonga Creek is </w:t>
      </w:r>
      <w:r>
        <w:t>distinctive in that it is</w:t>
      </w:r>
      <w:r w:rsidRPr="00D41DBB">
        <w:t xml:space="preserve"> </w:t>
      </w:r>
      <w:r>
        <w:t xml:space="preserve">typically an </w:t>
      </w:r>
      <w:r w:rsidRPr="00D41DBB">
        <w:t>effluent</w:t>
      </w:r>
      <w:r>
        <w:t>-</w:t>
      </w:r>
      <w:r w:rsidRPr="00D41DBB">
        <w:t xml:space="preserve">dominated waterbody with extreme temporal variability in </w:t>
      </w:r>
      <w:r w:rsidR="004F6C36">
        <w:t xml:space="preserve">RP1 discharge </w:t>
      </w:r>
      <w:r w:rsidRPr="00D41DBB">
        <w:t xml:space="preserve">rate. </w:t>
      </w:r>
      <w:r>
        <w:t xml:space="preserve">This </w:t>
      </w:r>
      <w:r w:rsidRPr="0084414D">
        <w:t xml:space="preserve">variability is caused </w:t>
      </w:r>
      <w:r w:rsidR="000601E8">
        <w:t xml:space="preserve">primarily </w:t>
      </w:r>
      <w:r w:rsidRPr="0084414D">
        <w:t>by</w:t>
      </w:r>
      <w:r w:rsidR="000601E8">
        <w:t xml:space="preserve"> </w:t>
      </w:r>
      <w:r w:rsidRPr="0084414D">
        <w:t>variable recycled water demand from RP1 within the IEUA system</w:t>
      </w:r>
      <w:r w:rsidR="00D630AF">
        <w:t>. IEUA’s RP1 treated effluent varied from 0 to 25 cfs</w:t>
      </w:r>
      <w:r w:rsidR="00960B87">
        <w:t xml:space="preserve"> on sampled dates between 2017 and 2025</w:t>
      </w:r>
      <w:r w:rsidR="00A2685C">
        <w:t xml:space="preserve">. </w:t>
      </w:r>
      <w:r w:rsidR="00D630AF">
        <w:t xml:space="preserve">Thus, </w:t>
      </w:r>
      <w:r w:rsidR="00A2685C">
        <w:t xml:space="preserve">daily average </w:t>
      </w:r>
      <w:r w:rsidR="00D630AF">
        <w:t xml:space="preserve">effluent rate </w:t>
      </w:r>
      <w:r w:rsidR="00C9426C">
        <w:t xml:space="preserve">should not be </w:t>
      </w:r>
      <w:r w:rsidR="00D630AF">
        <w:t xml:space="preserve">used in mass balance </w:t>
      </w:r>
      <w:r w:rsidR="00DD0664">
        <w:t>analysis,</w:t>
      </w:r>
      <w:r w:rsidR="00C9426C">
        <w:t xml:space="preserve"> and </w:t>
      </w:r>
      <w:r w:rsidR="00AA3D8A">
        <w:t xml:space="preserve">it may be infeasible to conduct a </w:t>
      </w:r>
      <w:r w:rsidR="00F12DF9">
        <w:t>true</w:t>
      </w:r>
      <w:r w:rsidR="00AA3D8A">
        <w:t xml:space="preserve"> snapshot </w:t>
      </w:r>
      <w:r w:rsidR="00F12DF9">
        <w:t>synoptic</w:t>
      </w:r>
      <w:r w:rsidR="00AA3D8A">
        <w:t xml:space="preserve"> survey of the creek without </w:t>
      </w:r>
      <w:r w:rsidR="00650D41">
        <w:t>incorporating controlled discharge rates at RP1 (a study design element that has not been considered to date)</w:t>
      </w:r>
      <w:r w:rsidR="00D630AF">
        <w:t xml:space="preserve">. </w:t>
      </w:r>
    </w:p>
    <w:p w14:paraId="05A72AA1" w14:textId="64700590" w:rsidR="00CB623A" w:rsidRDefault="00CB623A" w:rsidP="00CB623A">
      <w:pPr>
        <w:pStyle w:val="BodyText"/>
      </w:pPr>
      <w:r w:rsidRPr="0084414D">
        <w:rPr>
          <w:b/>
          <w:bCs/>
        </w:rPr>
        <w:t>Figure 3-</w:t>
      </w:r>
      <w:r w:rsidR="00F608A8">
        <w:rPr>
          <w:b/>
          <w:bCs/>
        </w:rPr>
        <w:t>4</w:t>
      </w:r>
      <w:r w:rsidRPr="0084414D">
        <w:t xml:space="preserve"> shows the reported daily effluent</w:t>
      </w:r>
      <w:r>
        <w:t xml:space="preserve"> discharged from RP1 to Cucamonga Creek</w:t>
      </w:r>
      <w:r w:rsidR="00A44626">
        <w:t xml:space="preserve"> from 2016 through 2025</w:t>
      </w:r>
      <w:r>
        <w:t xml:space="preserve">. This discharge ranged from 0 to </w:t>
      </w:r>
      <w:r w:rsidR="00A46B13">
        <w:t>25</w:t>
      </w:r>
      <w:r>
        <w:t xml:space="preserve"> cfs on dates when Tier 2 bacteria source evaluation sampling was conducted. Thus, flow in Cucamonga Creek is usually </w:t>
      </w:r>
      <w:r w:rsidR="00A46B13">
        <w:t>effluent dominated</w:t>
      </w:r>
      <w:r>
        <w:t xml:space="preserve">, </w:t>
      </w:r>
      <w:r w:rsidR="00A92010">
        <w:t xml:space="preserve">but </w:t>
      </w:r>
      <w:r>
        <w:t xml:space="preserve">at times the flow is comprised predominantly of urban dry weather runoff from MS4s. These sources of flow have very different expected bacteria concentrations, especially given that the tertiary treated RP1 effluent is disinfected prior to discharge to Cucamonga Creek. </w:t>
      </w:r>
    </w:p>
    <w:p w14:paraId="77820E1E" w14:textId="7E50C0F2" w:rsidR="00F33FD0" w:rsidRDefault="00AC50B0" w:rsidP="00F33FD0">
      <w:pPr>
        <w:pStyle w:val="Caption"/>
        <w:keepNext/>
      </w:pPr>
      <w:r>
        <w:rPr>
          <w:noProof/>
        </w:rPr>
        <w:drawing>
          <wp:inline distT="0" distB="0" distL="0" distR="0" wp14:anchorId="4A13CFB1" wp14:editId="78A3EC40">
            <wp:extent cx="5715000" cy="3319780"/>
            <wp:effectExtent l="0" t="0" r="0" b="13970"/>
            <wp:docPr id="475203449" name="Chart 1">
              <a:extLst xmlns:a="http://schemas.openxmlformats.org/drawingml/2006/main">
                <a:ext uri="{FF2B5EF4-FFF2-40B4-BE49-F238E27FC236}">
                  <a16:creationId xmlns:a16="http://schemas.microsoft.com/office/drawing/2014/main" id="{26095C42-4A52-47DD-B6F8-D2A8B1C958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CB623A" w:rsidRPr="00F608A8">
        <w:rPr>
          <w:rFonts w:ascii="Times New Roman" w:hAnsi="Times New Roman" w:cs="Times New Roman"/>
          <w:sz w:val="24"/>
          <w:szCs w:val="22"/>
        </w:rPr>
        <w:t xml:space="preserve"> </w:t>
      </w:r>
    </w:p>
    <w:p w14:paraId="5645B7F1" w14:textId="7DA2B5DB" w:rsidR="00CB623A" w:rsidRDefault="00F33FD0" w:rsidP="00F33FD0">
      <w:pPr>
        <w:pStyle w:val="Caption"/>
        <w:rPr>
          <w:rFonts w:ascii="Times New Roman" w:hAnsi="Times New Roman" w:cs="Times New Roman"/>
          <w:sz w:val="24"/>
          <w:szCs w:val="22"/>
        </w:rPr>
      </w:pPr>
      <w:bookmarkStart w:id="74" w:name="_Toc217394562"/>
      <w:bookmarkStart w:id="75" w:name="_Toc217394757"/>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4</w:t>
      </w:r>
      <w:r w:rsidR="0023167A">
        <w:fldChar w:fldCharType="end"/>
      </w:r>
      <w:r>
        <w:t xml:space="preserve">. </w:t>
      </w:r>
      <w:r w:rsidRPr="00F33FD0">
        <w:t>Daily Effluent Flow from RP1 to Cucamonga Creek on Dates Concurrent with Tier 2 Source Investigation Sampling (2016-2025)</w:t>
      </w:r>
      <w:bookmarkEnd w:id="74"/>
      <w:bookmarkEnd w:id="75"/>
    </w:p>
    <w:p w14:paraId="5B007B00" w14:textId="77777777" w:rsidR="00A46B13" w:rsidRPr="00A46B13" w:rsidRDefault="00A46B13" w:rsidP="00A46B13"/>
    <w:p w14:paraId="0B65B1BA" w14:textId="77777777" w:rsidR="00D82992" w:rsidRDefault="00D82992" w:rsidP="00D82992">
      <w:pPr>
        <w:pStyle w:val="BodyText"/>
      </w:pPr>
      <w:r>
        <w:t xml:space="preserve">In addition to RP1 discharges, regular O&amp;M activities at IEUA’s Turner Basins have occurred during Tier 2 source investigations resulting in periods of flow bypass or dewatering which significantly increased the measured rate of DWF at T2-Hwy60. Lastly, other potential causes of temporal variability in DWF within Cucamonga Creek include </w:t>
      </w:r>
      <w:r>
        <w:lastRenderedPageBreak/>
        <w:t>flows contributed by well blow-offs, releases from other downstream recharge basins (e.g., Ely Basins) or runoff from fire-fighting-related activities.</w:t>
      </w:r>
    </w:p>
    <w:p w14:paraId="4BAE8413" w14:textId="27D449EA" w:rsidR="00CB623A" w:rsidRDefault="00CB623A" w:rsidP="00CB623A">
      <w:pPr>
        <w:pStyle w:val="BodyText"/>
      </w:pPr>
      <w:r>
        <w:t xml:space="preserve">Given these sources of DWF variability, a large dataset is needed to characterize the wide range of flow and </w:t>
      </w:r>
      <w:r w:rsidRPr="00F40732">
        <w:t>bacteria conditions that can occur with different operational and environmental factors. SBCFCD’s long-term Tier 2 dataset from this watershed now includes</w:t>
      </w:r>
      <w:r w:rsidR="00A26805" w:rsidRPr="00F40732">
        <w:t xml:space="preserve"> up to</w:t>
      </w:r>
      <w:r w:rsidRPr="00F40732">
        <w:t xml:space="preserve"> </w:t>
      </w:r>
      <w:r w:rsidR="00A26805" w:rsidRPr="00F40732">
        <w:t>8</w:t>
      </w:r>
      <w:r w:rsidRPr="00F40732">
        <w:t xml:space="preserve">0 sample dates </w:t>
      </w:r>
      <w:r w:rsidR="00A26805" w:rsidRPr="00F40732">
        <w:t xml:space="preserve">at some sites </w:t>
      </w:r>
      <w:r w:rsidRPr="00F40732">
        <w:t xml:space="preserve">from over </w:t>
      </w:r>
      <w:r w:rsidR="004025A7" w:rsidRPr="00F40732">
        <w:t xml:space="preserve">nine </w:t>
      </w:r>
      <w:r w:rsidRPr="00F40732">
        <w:t>dry season periods (201</w:t>
      </w:r>
      <w:r w:rsidR="004025A7" w:rsidRPr="00F40732">
        <w:t>6</w:t>
      </w:r>
      <w:r w:rsidRPr="00F40732">
        <w:t>-</w:t>
      </w:r>
      <w:r w:rsidR="004025A7" w:rsidRPr="00F40732">
        <w:t>2018, 2020-2024</w:t>
      </w:r>
      <w:r w:rsidRPr="00F40732">
        <w:t xml:space="preserve">). </w:t>
      </w:r>
      <w:r w:rsidR="008D673B" w:rsidRPr="00F40732">
        <w:t xml:space="preserve">This dataset is supported by </w:t>
      </w:r>
      <w:r w:rsidR="00546842" w:rsidRPr="00F40732">
        <w:t>11 sample dates associated with s</w:t>
      </w:r>
      <w:r w:rsidR="008D673B" w:rsidRPr="00F40732">
        <w:t>ynoptic studies conducted through the</w:t>
      </w:r>
      <w:r w:rsidR="008D673B">
        <w:t xml:space="preserve"> MSAR TMDL Task Force </w:t>
      </w:r>
      <w:r w:rsidR="00546842">
        <w:t xml:space="preserve">in </w:t>
      </w:r>
      <w:r w:rsidR="008D673B">
        <w:t>2019</w:t>
      </w:r>
      <w:r w:rsidR="00546842">
        <w:t xml:space="preserve"> and </w:t>
      </w:r>
      <w:r w:rsidR="008D673B">
        <w:t>202</w:t>
      </w:r>
      <w:r w:rsidR="00546842">
        <w:t xml:space="preserve">5. </w:t>
      </w:r>
      <w:r>
        <w:t xml:space="preserve">Findings from this comprehensive dataset are </w:t>
      </w:r>
      <w:r w:rsidR="00523814">
        <w:t xml:space="preserve">used to develop an </w:t>
      </w:r>
      <w:r w:rsidR="00523814" w:rsidRPr="00523814">
        <w:rPr>
          <w:i/>
          <w:iCs/>
        </w:rPr>
        <w:t>E.</w:t>
      </w:r>
      <w:r w:rsidR="00523814">
        <w:rPr>
          <w:i/>
          <w:iCs/>
        </w:rPr>
        <w:t xml:space="preserve"> </w:t>
      </w:r>
      <w:r w:rsidR="00523814" w:rsidRPr="00523814">
        <w:rPr>
          <w:i/>
          <w:iCs/>
        </w:rPr>
        <w:t xml:space="preserve">coli </w:t>
      </w:r>
      <w:r w:rsidR="00523814">
        <w:t>source contribution analysis in Section 3.2.</w:t>
      </w:r>
      <w:r w:rsidR="00A46B13">
        <w:t>4</w:t>
      </w:r>
      <w:r w:rsidR="00523814">
        <w:t xml:space="preserve"> below. </w:t>
      </w:r>
    </w:p>
    <w:p w14:paraId="33CCE714" w14:textId="5F2B4B6D" w:rsidR="00524F10" w:rsidRDefault="00713063" w:rsidP="00713063">
      <w:pPr>
        <w:pStyle w:val="Heading2"/>
        <w:tabs>
          <w:tab w:val="num" w:pos="792"/>
        </w:tabs>
        <w:ind w:left="810"/>
      </w:pPr>
      <w:bookmarkStart w:id="76" w:name="_Toc217410159"/>
      <w:r>
        <w:t xml:space="preserve">Characterization of </w:t>
      </w:r>
      <w:r w:rsidRPr="00713063">
        <w:rPr>
          <w:i/>
          <w:iCs w:val="0"/>
        </w:rPr>
        <w:t>E. Coli</w:t>
      </w:r>
      <w:r>
        <w:t xml:space="preserve"> in the MSAR Watershed</w:t>
      </w:r>
      <w:bookmarkEnd w:id="76"/>
    </w:p>
    <w:p w14:paraId="157AD13A" w14:textId="50B76C8E" w:rsidR="00524F10" w:rsidRDefault="0039228F" w:rsidP="00524F10">
      <w:pPr>
        <w:pStyle w:val="BodyText"/>
      </w:pPr>
      <w:r>
        <w:rPr>
          <w:noProof/>
        </w:rPr>
        <w:drawing>
          <wp:anchor distT="0" distB="0" distL="114300" distR="114300" simplePos="0" relativeHeight="251684864" behindDoc="0" locked="0" layoutInCell="1" allowOverlap="1" wp14:anchorId="32B6EEBF" wp14:editId="6DD03DE1">
            <wp:simplePos x="0" y="0"/>
            <wp:positionH relativeFrom="column">
              <wp:posOffset>5080</wp:posOffset>
            </wp:positionH>
            <wp:positionV relativeFrom="paragraph">
              <wp:posOffset>1621790</wp:posOffset>
            </wp:positionV>
            <wp:extent cx="5715000" cy="3508375"/>
            <wp:effectExtent l="0" t="0" r="0" b="15875"/>
            <wp:wrapTopAndBottom/>
            <wp:docPr id="1487561287" name="Chart 1">
              <a:extLst xmlns:a="http://schemas.openxmlformats.org/drawingml/2006/main">
                <a:ext uri="{FF2B5EF4-FFF2-40B4-BE49-F238E27FC236}">
                  <a16:creationId xmlns:a16="http://schemas.microsoft.com/office/drawing/2014/main" id="{CD24511A-FFCD-403D-A4DA-750A105BC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V relativeFrom="margin">
              <wp14:pctHeight>0</wp14:pctHeight>
            </wp14:sizeRelV>
          </wp:anchor>
        </w:drawing>
      </w:r>
      <w:r w:rsidR="00524F10">
        <w:t xml:space="preserve">Analysis of </w:t>
      </w:r>
      <w:r w:rsidR="00524F10" w:rsidRPr="00F14714">
        <w:rPr>
          <w:i/>
        </w:rPr>
        <w:t>E. coli</w:t>
      </w:r>
      <w:r w:rsidR="00524F10">
        <w:t xml:space="preserve"> concentration data from the 20</w:t>
      </w:r>
      <w:r w:rsidR="00E16C18">
        <w:t>25</w:t>
      </w:r>
      <w:r w:rsidR="00524F10">
        <w:t xml:space="preserve"> Synoptic Study showed that bacterial water quality in DWF within impaired waters and at Tier 1 sites is highly </w:t>
      </w:r>
      <w:r w:rsidR="00671C1C">
        <w:t>variable and</w:t>
      </w:r>
      <w:r w:rsidR="00524F10">
        <w:t xml:space="preserve"> exceeds the</w:t>
      </w:r>
      <w:r w:rsidR="00BE6195">
        <w:t xml:space="preserve"> geomean</w:t>
      </w:r>
      <w:r w:rsidR="00524F10">
        <w:t xml:space="preserve"> WLA for </w:t>
      </w:r>
      <w:r w:rsidR="00524F10" w:rsidRPr="009F1C9E">
        <w:rPr>
          <w:i/>
        </w:rPr>
        <w:t>E. coli</w:t>
      </w:r>
      <w:r w:rsidR="00524F10">
        <w:t xml:space="preserve"> of 113 MPN/100 mL </w:t>
      </w:r>
      <w:r w:rsidR="00EB631B">
        <w:t>at 2</w:t>
      </w:r>
      <w:r w:rsidR="00C2116A">
        <w:t>1</w:t>
      </w:r>
      <w:r w:rsidR="00EB631B">
        <w:t xml:space="preserve"> of 23 sites </w:t>
      </w:r>
      <w:r w:rsidR="00524F10">
        <w:t>(</w:t>
      </w:r>
      <w:r w:rsidR="00524F10" w:rsidRPr="009F1C9E">
        <w:rPr>
          <w:b/>
        </w:rPr>
        <w:t>Figure 3-</w:t>
      </w:r>
      <w:r w:rsidR="00F40732">
        <w:rPr>
          <w:b/>
        </w:rPr>
        <w:t>5</w:t>
      </w:r>
      <w:r w:rsidR="00524F10">
        <w:t xml:space="preserve">). </w:t>
      </w:r>
      <w:r w:rsidR="00524F10" w:rsidRPr="00655777">
        <w:t>Most of the Tier 1 sites</w:t>
      </w:r>
      <w:r w:rsidR="00EB631B">
        <w:t xml:space="preserve"> </w:t>
      </w:r>
      <w:r w:rsidR="00524F10" w:rsidRPr="00655777">
        <w:t xml:space="preserve">had at least one sample with an </w:t>
      </w:r>
      <w:r w:rsidR="00524F10" w:rsidRPr="00655777">
        <w:rPr>
          <w:i/>
        </w:rPr>
        <w:t>E. coli</w:t>
      </w:r>
      <w:r w:rsidR="00524F10" w:rsidRPr="00655777">
        <w:t xml:space="preserve"> concentration greater than </w:t>
      </w:r>
      <w:r w:rsidR="00584E18">
        <w:t>5</w:t>
      </w:r>
      <w:r w:rsidR="001078AA">
        <w:t>00</w:t>
      </w:r>
      <w:r w:rsidR="005919C8">
        <w:t xml:space="preserve"> </w:t>
      </w:r>
      <w:r w:rsidR="00524F10" w:rsidRPr="00655777">
        <w:t>MPN/100 mL (exceptions include T1-</w:t>
      </w:r>
      <w:r w:rsidR="00C9061B">
        <w:t xml:space="preserve">ANZA </w:t>
      </w:r>
      <w:r w:rsidR="00524F10" w:rsidRPr="00655777">
        <w:t xml:space="preserve">with maximum of </w:t>
      </w:r>
      <w:r w:rsidR="00E23858">
        <w:t>86</w:t>
      </w:r>
      <w:r w:rsidR="00524F10" w:rsidRPr="00655777">
        <w:t xml:space="preserve"> MPN/100 mL and T1-</w:t>
      </w:r>
      <w:r w:rsidR="00E23858">
        <w:t>CCCH</w:t>
      </w:r>
      <w:r w:rsidR="00524F10" w:rsidRPr="00655777">
        <w:t xml:space="preserve"> with maximum of </w:t>
      </w:r>
      <w:r w:rsidR="00E23858">
        <w:t>240</w:t>
      </w:r>
      <w:r w:rsidR="00524F10" w:rsidRPr="00655777">
        <w:t xml:space="preserve"> MPN/100 mL). </w:t>
      </w:r>
      <w:r w:rsidR="00524F10" w:rsidRPr="00655777">
        <w:rPr>
          <w:b/>
        </w:rPr>
        <w:t>Figure 3-</w:t>
      </w:r>
      <w:r w:rsidR="00F40732">
        <w:rPr>
          <w:b/>
        </w:rPr>
        <w:t>6</w:t>
      </w:r>
      <w:r w:rsidR="00524F10" w:rsidRPr="00655777">
        <w:rPr>
          <w:b/>
        </w:rPr>
        <w:t xml:space="preserve"> </w:t>
      </w:r>
      <w:r w:rsidR="00EB631B">
        <w:t>presents</w:t>
      </w:r>
      <w:r w:rsidR="00524F10" w:rsidRPr="00655777">
        <w:t xml:space="preserve"> the changes in geomean concentrations at each Tier 1 site from 2012 to 20</w:t>
      </w:r>
      <w:r w:rsidR="001078AA">
        <w:t>25</w:t>
      </w:r>
      <w:r w:rsidR="00524F10" w:rsidRPr="00655777">
        <w:t xml:space="preserve">. Concentrations have increased at some sites (e.g., </w:t>
      </w:r>
      <w:r w:rsidR="00524F10">
        <w:t>T1-</w:t>
      </w:r>
      <w:r w:rsidR="00CD2980">
        <w:t>BRSC</w:t>
      </w:r>
      <w:r w:rsidR="00524F10" w:rsidRPr="00655777">
        <w:t>) and decreased at others (</w:t>
      </w:r>
      <w:r w:rsidR="00524F10">
        <w:t>T1-</w:t>
      </w:r>
      <w:r w:rsidR="00CD2980">
        <w:t>ANZA</w:t>
      </w:r>
      <w:r w:rsidR="00524F10">
        <w:t>).</w:t>
      </w:r>
      <w:r w:rsidRPr="0039228F">
        <w:rPr>
          <w:noProof/>
        </w:rPr>
        <w:t xml:space="preserve"> </w:t>
      </w:r>
    </w:p>
    <w:p w14:paraId="7204FCC8" w14:textId="4278CC4F" w:rsidR="00F33FD0" w:rsidRPr="00F33FD0" w:rsidRDefault="00F33FD0" w:rsidP="00F33FD0">
      <w:pPr>
        <w:pStyle w:val="Caption"/>
        <w:rPr>
          <w:rFonts w:ascii="Arial" w:hAnsi="Arial" w:cs="Arial"/>
          <w:b w:val="0"/>
          <w:bCs/>
          <w:sz w:val="16"/>
          <w:szCs w:val="16"/>
        </w:rPr>
      </w:pPr>
      <w:r w:rsidRPr="00F33FD0">
        <w:rPr>
          <w:rFonts w:ascii="Arial" w:hAnsi="Arial" w:cs="Arial"/>
          <w:b w:val="0"/>
          <w:bCs/>
          <w:sz w:val="16"/>
          <w:szCs w:val="16"/>
        </w:rPr>
        <w:t>Note: y-axis is in log scale</w:t>
      </w:r>
    </w:p>
    <w:p w14:paraId="3480DF03" w14:textId="7653EE70" w:rsidR="00F33FD0" w:rsidRDefault="00F33FD0" w:rsidP="00F33FD0">
      <w:pPr>
        <w:pStyle w:val="Caption"/>
        <w:spacing w:before="240"/>
      </w:pPr>
      <w:bookmarkStart w:id="77" w:name="_Toc217394563"/>
      <w:bookmarkStart w:id="78" w:name="_Toc217394758"/>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5</w:t>
      </w:r>
      <w:r w:rsidR="0023167A">
        <w:fldChar w:fldCharType="end"/>
      </w:r>
      <w:r>
        <w:t>.</w:t>
      </w:r>
      <w:r w:rsidRPr="00F33FD0">
        <w:t xml:space="preserve"> Range of </w:t>
      </w:r>
      <w:r w:rsidRPr="00F33FD0">
        <w:rPr>
          <w:i/>
          <w:iCs w:val="0"/>
        </w:rPr>
        <w:t>E. coli</w:t>
      </w:r>
      <w:r w:rsidRPr="00F33FD0">
        <w:t xml:space="preserve"> Concentrations from 2025 Synoptic Study Sites</w:t>
      </w:r>
      <w:bookmarkEnd w:id="77"/>
      <w:bookmarkEnd w:id="78"/>
      <w:r w:rsidRPr="00F33FD0">
        <w:t xml:space="preserve"> </w:t>
      </w:r>
    </w:p>
    <w:p w14:paraId="7DC001C5" w14:textId="18A2E0CC" w:rsidR="00AC50B0" w:rsidRDefault="00AC50B0" w:rsidP="00BE6195">
      <w:pPr>
        <w:pStyle w:val="LFTBody"/>
        <w:spacing w:after="20" w:line="240" w:lineRule="auto"/>
        <w:ind w:right="360"/>
        <w:rPr>
          <w:rFonts w:ascii="Times New Roman" w:hAnsi="Times New Roman" w:cs="Times New Roman"/>
          <w:b/>
          <w:lang w:bidi="ar-SA"/>
        </w:rPr>
      </w:pPr>
      <w:r>
        <w:rPr>
          <w:noProof/>
        </w:rPr>
        <w:lastRenderedPageBreak/>
        <w:drawing>
          <wp:inline distT="0" distB="0" distL="0" distR="0" wp14:anchorId="49533C78" wp14:editId="60CADA8E">
            <wp:extent cx="5715000" cy="3638550"/>
            <wp:effectExtent l="0" t="0" r="0" b="0"/>
            <wp:docPr id="1790953429" name="Chart 1">
              <a:extLst xmlns:a="http://schemas.openxmlformats.org/drawingml/2006/main">
                <a:ext uri="{FF2B5EF4-FFF2-40B4-BE49-F238E27FC236}">
                  <a16:creationId xmlns:a16="http://schemas.microsoft.com/office/drawing/2014/main" id="{A19B4C50-12D5-4708-9C6B-33C423165C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8F27032" w14:textId="6BE2BA32" w:rsidR="00AC50B0" w:rsidRPr="00BE6195" w:rsidRDefault="00AC50B0" w:rsidP="00BE6195">
      <w:pPr>
        <w:pStyle w:val="LFTBody"/>
        <w:spacing w:after="120" w:line="240" w:lineRule="auto"/>
        <w:ind w:right="360"/>
        <w:rPr>
          <w:rFonts w:ascii="Times New Roman" w:hAnsi="Times New Roman" w:cs="Times New Roman"/>
          <w:bCs/>
          <w:sz w:val="16"/>
          <w:szCs w:val="16"/>
          <w:lang w:bidi="ar-SA"/>
        </w:rPr>
      </w:pPr>
      <w:r w:rsidRPr="00BE6195">
        <w:rPr>
          <w:rFonts w:ascii="Times New Roman" w:hAnsi="Times New Roman" w:cs="Times New Roman"/>
          <w:bCs/>
          <w:sz w:val="16"/>
          <w:szCs w:val="16"/>
          <w:lang w:bidi="ar-SA"/>
        </w:rPr>
        <w:t>Note: Sites T2-HWY60 and T2-CHRIS include data from SBCFCD 10-week surveys in 2016-2018, 2020-2024</w:t>
      </w:r>
      <w:r>
        <w:rPr>
          <w:rFonts w:ascii="Times New Roman" w:hAnsi="Times New Roman" w:cs="Times New Roman"/>
          <w:bCs/>
          <w:sz w:val="16"/>
          <w:szCs w:val="16"/>
          <w:lang w:bidi="ar-SA"/>
        </w:rPr>
        <w:t>.</w:t>
      </w:r>
    </w:p>
    <w:p w14:paraId="7DA05C3B" w14:textId="3A2ADF09" w:rsidR="00F33FD0" w:rsidRDefault="00F33FD0" w:rsidP="00F33FD0">
      <w:pPr>
        <w:pStyle w:val="Caption"/>
        <w:spacing w:after="240"/>
      </w:pPr>
      <w:bookmarkStart w:id="79" w:name="_Toc217394564"/>
      <w:bookmarkStart w:id="80" w:name="_Toc217394759"/>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6</w:t>
      </w:r>
      <w:r w:rsidR="0023167A">
        <w:fldChar w:fldCharType="end"/>
      </w:r>
      <w:r>
        <w:t xml:space="preserve">. </w:t>
      </w:r>
      <w:r w:rsidRPr="00F33FD0">
        <w:t xml:space="preserve">Comparison of 2025 Tier 1 Site </w:t>
      </w:r>
      <w:r w:rsidRPr="00F33FD0">
        <w:rPr>
          <w:i/>
          <w:iCs w:val="0"/>
        </w:rPr>
        <w:t>E. coli</w:t>
      </w:r>
      <w:r w:rsidRPr="00F33FD0">
        <w:t xml:space="preserve"> Geomeans with Previous Studies</w:t>
      </w:r>
      <w:bookmarkEnd w:id="79"/>
      <w:bookmarkEnd w:id="80"/>
    </w:p>
    <w:p w14:paraId="23B948DB" w14:textId="77777777" w:rsidR="00524F10" w:rsidRPr="008E4903" w:rsidRDefault="00524F10" w:rsidP="00524F10">
      <w:pPr>
        <w:pStyle w:val="Heading3"/>
        <w:rPr>
          <w:rStyle w:val="Hyperlink"/>
          <w:color w:val="auto"/>
          <w:u w:val="none"/>
        </w:rPr>
      </w:pPr>
      <w:bookmarkStart w:id="81" w:name="_Toc217410160"/>
      <w:r w:rsidRPr="008E4903">
        <w:rPr>
          <w:rStyle w:val="Hyperlink"/>
          <w:color w:val="auto"/>
          <w:u w:val="none"/>
        </w:rPr>
        <w:t>Bacteria Load Analysis</w:t>
      </w:r>
      <w:bookmarkEnd w:id="81"/>
    </w:p>
    <w:p w14:paraId="1850DBD1" w14:textId="44B095E8" w:rsidR="00D54CF7" w:rsidRDefault="00E75E60" w:rsidP="00524F10">
      <w:pPr>
        <w:pStyle w:val="BodyText"/>
        <w:rPr>
          <w:szCs w:val="21"/>
          <w:lang w:bidi="en-US"/>
        </w:rPr>
      </w:pPr>
      <w:r>
        <w:t xml:space="preserve">This study provides the opportunity to update previous estimates (SAWPA 2013, 2017, 2020) of total MS4 loading of </w:t>
      </w:r>
      <w:r w:rsidRPr="00B97F7B">
        <w:rPr>
          <w:i/>
        </w:rPr>
        <w:t>E.</w:t>
      </w:r>
      <w:r>
        <w:rPr>
          <w:i/>
        </w:rPr>
        <w:t xml:space="preserve"> </w:t>
      </w:r>
      <w:r w:rsidRPr="00B97F7B">
        <w:rPr>
          <w:i/>
        </w:rPr>
        <w:t>coli</w:t>
      </w:r>
      <w:r>
        <w:t xml:space="preserve"> to impaired waters during dry weather. </w:t>
      </w:r>
      <w:r w:rsidR="00524F10" w:rsidRPr="00B45F6A">
        <w:rPr>
          <w:lang w:bidi="en-US"/>
        </w:rPr>
        <w:t xml:space="preserve">The </w:t>
      </w:r>
      <w:r w:rsidR="00524F10">
        <w:rPr>
          <w:lang w:bidi="en-US"/>
        </w:rPr>
        <w:t>potential f</w:t>
      </w:r>
      <w:r w:rsidR="00524F10" w:rsidRPr="00B45F6A">
        <w:rPr>
          <w:lang w:bidi="en-US"/>
        </w:rPr>
        <w:t xml:space="preserve">or DWF </w:t>
      </w:r>
      <w:r w:rsidR="00524F10">
        <w:rPr>
          <w:lang w:bidi="en-US"/>
        </w:rPr>
        <w:t xml:space="preserve">at a </w:t>
      </w:r>
      <w:r w:rsidR="00524F10" w:rsidRPr="00B45F6A">
        <w:rPr>
          <w:lang w:bidi="en-US"/>
        </w:rPr>
        <w:t xml:space="preserve">Tier 1 </w:t>
      </w:r>
      <w:r w:rsidR="00524F10">
        <w:rPr>
          <w:lang w:bidi="en-US"/>
        </w:rPr>
        <w:t xml:space="preserve">site </w:t>
      </w:r>
      <w:r w:rsidR="00524F10" w:rsidRPr="00B45F6A">
        <w:rPr>
          <w:lang w:bidi="en-US"/>
        </w:rPr>
        <w:t xml:space="preserve">to impact </w:t>
      </w:r>
      <w:r w:rsidR="00524F10">
        <w:rPr>
          <w:lang w:bidi="en-US"/>
        </w:rPr>
        <w:t xml:space="preserve">water quality at a </w:t>
      </w:r>
      <w:r w:rsidR="00524F10" w:rsidRPr="00B45F6A">
        <w:rPr>
          <w:lang w:bidi="en-US"/>
        </w:rPr>
        <w:t xml:space="preserve">downstream </w:t>
      </w:r>
      <w:r w:rsidR="00524F10">
        <w:rPr>
          <w:lang w:bidi="en-US"/>
        </w:rPr>
        <w:t>compliance site can be evaluated through a bacteria load analysis, which</w:t>
      </w:r>
      <w:r w:rsidR="00524F10" w:rsidRPr="00B45F6A">
        <w:rPr>
          <w:lang w:bidi="en-US"/>
        </w:rPr>
        <w:t xml:space="preserve"> </w:t>
      </w:r>
      <w:r w:rsidR="00524F10">
        <w:rPr>
          <w:lang w:bidi="en-US"/>
        </w:rPr>
        <w:t>considers both the D</w:t>
      </w:r>
      <w:r w:rsidR="00524F10" w:rsidRPr="00B45F6A">
        <w:rPr>
          <w:lang w:bidi="en-US"/>
        </w:rPr>
        <w:t xml:space="preserve">WF </w:t>
      </w:r>
      <w:r w:rsidR="00524F10">
        <w:rPr>
          <w:lang w:bidi="en-US"/>
        </w:rPr>
        <w:t>volume</w:t>
      </w:r>
      <w:r w:rsidR="00D54CF7">
        <w:rPr>
          <w:lang w:bidi="en-US"/>
        </w:rPr>
        <w:t>s</w:t>
      </w:r>
      <w:r w:rsidR="00524F10">
        <w:rPr>
          <w:lang w:bidi="en-US"/>
        </w:rPr>
        <w:t xml:space="preserve"> and </w:t>
      </w:r>
      <w:r w:rsidR="00524F10" w:rsidRPr="00A04981">
        <w:rPr>
          <w:i/>
          <w:lang w:bidi="en-US"/>
        </w:rPr>
        <w:t>E. coli</w:t>
      </w:r>
      <w:r w:rsidR="00524F10">
        <w:rPr>
          <w:lang w:bidi="en-US"/>
        </w:rPr>
        <w:t xml:space="preserve"> </w:t>
      </w:r>
      <w:r w:rsidR="00524F10" w:rsidRPr="00B45F6A">
        <w:rPr>
          <w:lang w:bidi="en-US"/>
        </w:rPr>
        <w:t>concentration</w:t>
      </w:r>
      <w:r w:rsidR="00D54CF7">
        <w:rPr>
          <w:lang w:bidi="en-US"/>
        </w:rPr>
        <w:t>s</w:t>
      </w:r>
      <w:r w:rsidR="00524F10">
        <w:rPr>
          <w:lang w:bidi="en-US"/>
        </w:rPr>
        <w:t>.</w:t>
      </w:r>
      <w:r w:rsidR="00524F10" w:rsidRPr="00B45F6A">
        <w:rPr>
          <w:lang w:bidi="en-US"/>
        </w:rPr>
        <w:t xml:space="preserve"> </w:t>
      </w:r>
      <w:r w:rsidR="00524F10" w:rsidRPr="00A04981">
        <w:rPr>
          <w:b/>
          <w:lang w:bidi="en-US"/>
        </w:rPr>
        <w:t>Table 3-</w:t>
      </w:r>
      <w:r w:rsidR="00524F10">
        <w:rPr>
          <w:b/>
          <w:lang w:bidi="en-US"/>
        </w:rPr>
        <w:t>4</w:t>
      </w:r>
      <w:r w:rsidR="00524F10">
        <w:rPr>
          <w:lang w:bidi="en-US"/>
        </w:rPr>
        <w:t xml:space="preserve"> reports </w:t>
      </w:r>
      <w:r w:rsidR="00917104">
        <w:rPr>
          <w:lang w:bidi="en-US"/>
        </w:rPr>
        <w:t xml:space="preserve">median </w:t>
      </w:r>
      <w:r w:rsidR="00524F10">
        <w:rPr>
          <w:lang w:bidi="en-US"/>
        </w:rPr>
        <w:t xml:space="preserve">loads for each Tier 1 site based on the DWF </w:t>
      </w:r>
      <w:r w:rsidR="00524F10" w:rsidRPr="008E4333">
        <w:rPr>
          <w:szCs w:val="21"/>
          <w:lang w:bidi="en-US"/>
        </w:rPr>
        <w:t>rate</w:t>
      </w:r>
      <w:r w:rsidR="00B3569C">
        <w:rPr>
          <w:szCs w:val="21"/>
          <w:lang w:bidi="en-US"/>
        </w:rPr>
        <w:t>s</w:t>
      </w:r>
      <w:r w:rsidR="00524F10" w:rsidRPr="008E4333">
        <w:rPr>
          <w:szCs w:val="21"/>
          <w:lang w:bidi="en-US"/>
        </w:rPr>
        <w:t xml:space="preserve"> and </w:t>
      </w:r>
      <w:r w:rsidR="00524F10" w:rsidRPr="00A04981">
        <w:rPr>
          <w:i/>
          <w:szCs w:val="21"/>
          <w:lang w:bidi="en-US"/>
        </w:rPr>
        <w:t>E. coli</w:t>
      </w:r>
      <w:r w:rsidR="00524F10">
        <w:rPr>
          <w:szCs w:val="21"/>
          <w:lang w:bidi="en-US"/>
        </w:rPr>
        <w:t xml:space="preserve"> </w:t>
      </w:r>
      <w:r w:rsidR="00524F10" w:rsidRPr="008E4333">
        <w:rPr>
          <w:szCs w:val="21"/>
          <w:lang w:bidi="en-US"/>
        </w:rPr>
        <w:t>geomean concentration</w:t>
      </w:r>
      <w:r w:rsidR="00B3569C">
        <w:rPr>
          <w:szCs w:val="21"/>
          <w:lang w:bidi="en-US"/>
        </w:rPr>
        <w:t>s</w:t>
      </w:r>
      <w:r w:rsidR="00524F10" w:rsidRPr="008E4333">
        <w:rPr>
          <w:szCs w:val="21"/>
          <w:lang w:bidi="en-US"/>
        </w:rPr>
        <w:t xml:space="preserve"> measured over the </w:t>
      </w:r>
      <w:r w:rsidR="00693130">
        <w:rPr>
          <w:szCs w:val="21"/>
          <w:lang w:bidi="en-US"/>
        </w:rPr>
        <w:t>5</w:t>
      </w:r>
      <w:r w:rsidR="00524F10" w:rsidRPr="008E4333">
        <w:rPr>
          <w:szCs w:val="21"/>
          <w:lang w:bidi="en-US"/>
        </w:rPr>
        <w:t xml:space="preserve">-week </w:t>
      </w:r>
      <w:r w:rsidR="00524F10">
        <w:rPr>
          <w:szCs w:val="21"/>
          <w:lang w:bidi="en-US"/>
        </w:rPr>
        <w:t>S</w:t>
      </w:r>
      <w:r w:rsidR="00524F10" w:rsidRPr="008E4333">
        <w:rPr>
          <w:szCs w:val="21"/>
          <w:lang w:bidi="en-US"/>
        </w:rPr>
        <w:t xml:space="preserve">ynoptic </w:t>
      </w:r>
      <w:r w:rsidR="00524F10">
        <w:rPr>
          <w:szCs w:val="21"/>
          <w:lang w:bidi="en-US"/>
        </w:rPr>
        <w:t>S</w:t>
      </w:r>
      <w:r w:rsidR="00524F10" w:rsidRPr="008E4333">
        <w:rPr>
          <w:szCs w:val="21"/>
          <w:lang w:bidi="en-US"/>
        </w:rPr>
        <w:t>tudy in 20</w:t>
      </w:r>
      <w:r w:rsidR="00693130">
        <w:rPr>
          <w:szCs w:val="21"/>
          <w:lang w:bidi="en-US"/>
        </w:rPr>
        <w:t>25</w:t>
      </w:r>
      <w:r w:rsidR="00524F10" w:rsidRPr="008E4333">
        <w:rPr>
          <w:szCs w:val="21"/>
          <w:lang w:bidi="en-US"/>
        </w:rPr>
        <w:t>.</w:t>
      </w:r>
      <w:r w:rsidR="00524F10">
        <w:rPr>
          <w:szCs w:val="21"/>
          <w:lang w:bidi="en-US"/>
        </w:rPr>
        <w:t xml:space="preserve"> </w:t>
      </w:r>
      <w:r w:rsidR="00FC6DBC">
        <w:rPr>
          <w:szCs w:val="21"/>
          <w:lang w:bidi="en-US"/>
        </w:rPr>
        <w:t xml:space="preserve">In total, </w:t>
      </w:r>
      <w:r w:rsidR="00691CFE" w:rsidRPr="00FC6DBC">
        <w:rPr>
          <w:i/>
          <w:iCs/>
          <w:szCs w:val="21"/>
          <w:lang w:bidi="en-US"/>
        </w:rPr>
        <w:t>E.</w:t>
      </w:r>
      <w:r w:rsidR="00FC6DBC" w:rsidRPr="00FC6DBC">
        <w:rPr>
          <w:i/>
          <w:iCs/>
          <w:szCs w:val="21"/>
          <w:lang w:bidi="en-US"/>
        </w:rPr>
        <w:t xml:space="preserve"> </w:t>
      </w:r>
      <w:r w:rsidR="00691CFE" w:rsidRPr="00FC6DBC">
        <w:rPr>
          <w:i/>
          <w:iCs/>
          <w:szCs w:val="21"/>
          <w:lang w:bidi="en-US"/>
        </w:rPr>
        <w:t>coli</w:t>
      </w:r>
      <w:r w:rsidR="00691CFE">
        <w:rPr>
          <w:szCs w:val="21"/>
          <w:lang w:bidi="en-US"/>
        </w:rPr>
        <w:t xml:space="preserve"> </w:t>
      </w:r>
      <w:r w:rsidR="001F60B2">
        <w:rPr>
          <w:szCs w:val="21"/>
          <w:lang w:bidi="en-US"/>
        </w:rPr>
        <w:t>load</w:t>
      </w:r>
      <w:r w:rsidR="008D3949">
        <w:rPr>
          <w:szCs w:val="21"/>
          <w:lang w:bidi="en-US"/>
        </w:rPr>
        <w:t xml:space="preserve">s </w:t>
      </w:r>
      <w:r w:rsidR="00691CFE">
        <w:rPr>
          <w:szCs w:val="21"/>
          <w:lang w:bidi="en-US"/>
        </w:rPr>
        <w:t xml:space="preserve">at Tier 1 MS4 outfalls </w:t>
      </w:r>
      <w:r w:rsidR="00FC6DBC">
        <w:rPr>
          <w:szCs w:val="21"/>
          <w:lang w:bidi="en-US"/>
        </w:rPr>
        <w:t xml:space="preserve">to Reach 3 of the SAR and Chino Creek </w:t>
      </w:r>
      <w:r w:rsidR="00691CFE">
        <w:rPr>
          <w:szCs w:val="21"/>
          <w:lang w:bidi="en-US"/>
        </w:rPr>
        <w:t xml:space="preserve">have </w:t>
      </w:r>
      <w:r w:rsidR="00FC6DBC">
        <w:rPr>
          <w:szCs w:val="21"/>
          <w:lang w:bidi="en-US"/>
        </w:rPr>
        <w:t xml:space="preserve">declined since </w:t>
      </w:r>
      <w:r w:rsidR="00524F10" w:rsidRPr="008E4333">
        <w:rPr>
          <w:szCs w:val="21"/>
          <w:lang w:bidi="en-US"/>
        </w:rPr>
        <w:t>20</w:t>
      </w:r>
      <w:r w:rsidR="00524F10">
        <w:rPr>
          <w:szCs w:val="21"/>
          <w:lang w:bidi="en-US"/>
        </w:rPr>
        <w:t>07</w:t>
      </w:r>
      <w:r w:rsidR="001F2BAE">
        <w:rPr>
          <w:szCs w:val="21"/>
          <w:lang w:bidi="en-US"/>
        </w:rPr>
        <w:t xml:space="preserve"> </w:t>
      </w:r>
      <w:r w:rsidR="00524F10" w:rsidRPr="008E4333">
        <w:rPr>
          <w:szCs w:val="21"/>
          <w:lang w:bidi="en-US"/>
        </w:rPr>
        <w:t>(</w:t>
      </w:r>
      <w:r w:rsidR="00524F10" w:rsidRPr="00A04981">
        <w:rPr>
          <w:b/>
          <w:szCs w:val="21"/>
          <w:lang w:bidi="en-US"/>
        </w:rPr>
        <w:t xml:space="preserve">Figure </w:t>
      </w:r>
      <w:r w:rsidR="00524F10" w:rsidRPr="00D54CF7">
        <w:rPr>
          <w:b/>
          <w:szCs w:val="21"/>
          <w:lang w:bidi="en-US"/>
        </w:rPr>
        <w:t>3-</w:t>
      </w:r>
      <w:r w:rsidR="0032549C" w:rsidRPr="00D54CF7">
        <w:rPr>
          <w:b/>
          <w:szCs w:val="21"/>
          <w:lang w:bidi="en-US"/>
        </w:rPr>
        <w:t>7</w:t>
      </w:r>
      <w:r w:rsidR="00524F10" w:rsidRPr="008E4333">
        <w:rPr>
          <w:szCs w:val="21"/>
          <w:lang w:bidi="en-US"/>
        </w:rPr>
        <w:t>).</w:t>
      </w:r>
      <w:r w:rsidR="00524F10">
        <w:rPr>
          <w:szCs w:val="21"/>
          <w:lang w:bidi="en-US"/>
        </w:rPr>
        <w:t xml:space="preserve"> </w:t>
      </w:r>
      <w:r w:rsidR="00204A70">
        <w:rPr>
          <w:szCs w:val="21"/>
          <w:lang w:bidi="en-US"/>
        </w:rPr>
        <w:t>For Reach 3 of the SAR, b</w:t>
      </w:r>
      <w:r w:rsidR="00524F10" w:rsidRPr="00DA5471">
        <w:t>acteria load reduction</w:t>
      </w:r>
      <w:r w:rsidR="00204A70">
        <w:t>s</w:t>
      </w:r>
      <w:r w:rsidR="00524F10" w:rsidRPr="00DA5471">
        <w:t xml:space="preserve"> </w:t>
      </w:r>
      <w:r w:rsidR="00204A70">
        <w:t xml:space="preserve">have exceeded CBRP </w:t>
      </w:r>
      <w:r w:rsidR="00524F10" w:rsidRPr="00DA5471">
        <w:t xml:space="preserve">goals </w:t>
      </w:r>
      <w:r w:rsidR="000652AB">
        <w:t xml:space="preserve">of </w:t>
      </w:r>
      <w:r w:rsidR="00687EFA">
        <w:t xml:space="preserve">15 and 10 billion </w:t>
      </w:r>
      <w:r w:rsidR="00204A70">
        <w:t>CFU</w:t>
      </w:r>
      <w:r w:rsidR="00687EFA">
        <w:t>/day</w:t>
      </w:r>
      <w:r w:rsidR="006B7CE6">
        <w:rPr>
          <w:rStyle w:val="FootnoteReference"/>
        </w:rPr>
        <w:footnoteReference w:id="17"/>
      </w:r>
      <w:r w:rsidR="00687EFA">
        <w:t xml:space="preserve"> for MS4s </w:t>
      </w:r>
      <w:r w:rsidR="00204A70">
        <w:t xml:space="preserve">sources </w:t>
      </w:r>
      <w:r w:rsidR="00687EFA">
        <w:t xml:space="preserve">upstream of the WW-S1 and WW-S4 compliance monitoring sites, respectively. </w:t>
      </w:r>
      <w:r w:rsidR="00414D89">
        <w:t xml:space="preserve">This is despite the large increase in </w:t>
      </w:r>
      <w:r w:rsidR="00414D89" w:rsidRPr="00EE7C18">
        <w:rPr>
          <w:i/>
          <w:iCs/>
        </w:rPr>
        <w:t>E. coli</w:t>
      </w:r>
      <w:r w:rsidR="00414D89">
        <w:t xml:space="preserve"> load observed at T1-MCSD in the 2025 dry season. </w:t>
      </w:r>
      <w:r w:rsidR="00524F10">
        <w:t xml:space="preserve">For Chino Creek, approximately </w:t>
      </w:r>
      <w:r w:rsidR="000E6730">
        <w:t>75</w:t>
      </w:r>
      <w:r w:rsidR="00524F10">
        <w:t xml:space="preserve">% of the estimated </w:t>
      </w:r>
      <w:r w:rsidR="00204A70">
        <w:t xml:space="preserve">37 billion CFU/day </w:t>
      </w:r>
      <w:r w:rsidR="00524F10">
        <w:t xml:space="preserve">bacteria load reduction </w:t>
      </w:r>
      <w:r w:rsidR="00204A70">
        <w:t xml:space="preserve">target for MS4 sources </w:t>
      </w:r>
      <w:r w:rsidR="00524F10">
        <w:t>has been achieved</w:t>
      </w:r>
      <w:r w:rsidR="006B7CE6">
        <w:t>.</w:t>
      </w:r>
      <w:r w:rsidR="00524F10">
        <w:rPr>
          <w:szCs w:val="21"/>
          <w:lang w:bidi="en-US"/>
        </w:rPr>
        <w:t xml:space="preserve"> </w:t>
      </w:r>
    </w:p>
    <w:p w14:paraId="035A0213" w14:textId="3A0A2B31" w:rsidR="00F33FD0" w:rsidRDefault="007D7B02" w:rsidP="00F33FD0">
      <w:pPr>
        <w:pStyle w:val="BodyText"/>
        <w:keepNext/>
        <w:spacing w:after="40" w:line="240" w:lineRule="auto"/>
        <w:ind w:right="360"/>
      </w:pPr>
      <w:r w:rsidRPr="007D7B02">
        <w:rPr>
          <w:noProof/>
        </w:rPr>
        <w:lastRenderedPageBreak/>
        <w:t xml:space="preserve"> </w:t>
      </w:r>
      <w:r>
        <w:rPr>
          <w:noProof/>
        </w:rPr>
        <w:drawing>
          <wp:inline distT="0" distB="0" distL="0" distR="0" wp14:anchorId="498B9F58" wp14:editId="4309617A">
            <wp:extent cx="5486400" cy="3562066"/>
            <wp:effectExtent l="0" t="0" r="0" b="635"/>
            <wp:docPr id="117599120" name="Chart 1">
              <a:extLst xmlns:a="http://schemas.openxmlformats.org/drawingml/2006/main">
                <a:ext uri="{FF2B5EF4-FFF2-40B4-BE49-F238E27FC236}">
                  <a16:creationId xmlns:a16="http://schemas.microsoft.com/office/drawing/2014/main" id="{3D491EEE-AB1B-466A-8F43-E0DCC5EA35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0508937" w14:textId="02352F16" w:rsidR="00D54CF7" w:rsidRDefault="00F33FD0" w:rsidP="00F33FD0">
      <w:pPr>
        <w:pStyle w:val="Caption"/>
        <w:rPr>
          <w:rFonts w:cstheme="minorHAnsi"/>
          <w:b w:val="0"/>
          <w:sz w:val="22"/>
          <w:szCs w:val="22"/>
        </w:rPr>
      </w:pPr>
      <w:bookmarkStart w:id="82" w:name="_Toc217394565"/>
      <w:bookmarkStart w:id="83" w:name="_Toc217394760"/>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7</w:t>
      </w:r>
      <w:r w:rsidR="0023167A">
        <w:fldChar w:fldCharType="end"/>
      </w:r>
      <w:r>
        <w:t xml:space="preserve">. </w:t>
      </w:r>
      <w:r w:rsidRPr="00F33FD0">
        <w:t>Median MS4 E. coli Load from Tier 1 Sites Tributary to the Chino Creek and the Santa Ana River Watershed-wide Compliance Sites</w:t>
      </w:r>
      <w:bookmarkEnd w:id="82"/>
      <w:bookmarkEnd w:id="83"/>
    </w:p>
    <w:p w14:paraId="35B05E0F" w14:textId="77777777" w:rsidR="005A0F40" w:rsidRDefault="005A0F40" w:rsidP="00D54CF7">
      <w:pPr>
        <w:pStyle w:val="BodyText"/>
        <w:spacing w:after="0" w:line="240" w:lineRule="auto"/>
        <w:ind w:right="360"/>
        <w:rPr>
          <w:rFonts w:cstheme="minorHAnsi"/>
          <w:b/>
          <w:sz w:val="22"/>
          <w:szCs w:val="22"/>
        </w:rPr>
      </w:pPr>
    </w:p>
    <w:p w14:paraId="02783D63" w14:textId="77777777" w:rsidR="005A0F40" w:rsidRDefault="005A0F40" w:rsidP="005A0F40">
      <w:pPr>
        <w:pStyle w:val="BodyText"/>
      </w:pPr>
      <w:r>
        <w:rPr>
          <w:szCs w:val="21"/>
          <w:lang w:bidi="en-US"/>
        </w:rPr>
        <w:t>Since the 2012 CBRP was developed, notable r</w:t>
      </w:r>
      <w:r w:rsidRPr="008E4333">
        <w:rPr>
          <w:szCs w:val="21"/>
          <w:lang w:bidi="en-US"/>
        </w:rPr>
        <w:t xml:space="preserve">eductions in </w:t>
      </w:r>
      <w:r w:rsidRPr="008E4333">
        <w:rPr>
          <w:i/>
          <w:szCs w:val="21"/>
          <w:lang w:bidi="en-US"/>
        </w:rPr>
        <w:t>E. coli</w:t>
      </w:r>
      <w:r w:rsidRPr="008E4333">
        <w:rPr>
          <w:szCs w:val="21"/>
          <w:lang w:bidi="en-US"/>
        </w:rPr>
        <w:t xml:space="preserve"> load </w:t>
      </w:r>
      <w:r>
        <w:rPr>
          <w:szCs w:val="21"/>
          <w:lang w:bidi="en-US"/>
        </w:rPr>
        <w:t xml:space="preserve">were measured at T1-ANZA, T1-SNCH, T1-SSCH, T1-BRSC, and T1-CCCH. </w:t>
      </w:r>
      <w:r w:rsidRPr="00CA6F12">
        <w:t xml:space="preserve">The observed bacteria load reductions result from both reduced DWF (from better water management and coordination between water purveyor and stormwater agencies) and reduced </w:t>
      </w:r>
      <w:r w:rsidRPr="00CA6F12">
        <w:rPr>
          <w:i/>
        </w:rPr>
        <w:t>E. coli</w:t>
      </w:r>
      <w:r w:rsidRPr="00CA6F12">
        <w:t>, e.g., through focused deployment of Tier 2 inspections that have successfully identified and eliminated illicit connections and illegal discharges within the MS4s.</w:t>
      </w:r>
      <w:r>
        <w:t xml:space="preserve"> </w:t>
      </w:r>
    </w:p>
    <w:p w14:paraId="7A91C066" w14:textId="4E2217CC" w:rsidR="005A0F40" w:rsidRDefault="005A0F40" w:rsidP="005A0F40">
      <w:pPr>
        <w:pStyle w:val="BodyText"/>
        <w:rPr>
          <w:szCs w:val="21"/>
          <w:lang w:bidi="en-US"/>
        </w:rPr>
      </w:pPr>
      <w:r>
        <w:rPr>
          <w:szCs w:val="21"/>
          <w:lang w:bidi="en-US"/>
        </w:rPr>
        <w:t xml:space="preserve">Conversely, a significant rise in </w:t>
      </w:r>
      <w:r w:rsidRPr="006E4606">
        <w:rPr>
          <w:i/>
          <w:iCs/>
          <w:szCs w:val="21"/>
          <w:lang w:bidi="en-US"/>
        </w:rPr>
        <w:t>E. coli</w:t>
      </w:r>
      <w:r>
        <w:rPr>
          <w:szCs w:val="21"/>
          <w:lang w:bidi="en-US"/>
        </w:rPr>
        <w:t xml:space="preserve"> load was observed at T1-MCSD relative to 2012. H</w:t>
      </w:r>
      <w:r w:rsidRPr="00501E9B">
        <w:rPr>
          <w:szCs w:val="21"/>
          <w:lang w:bidi="en-US"/>
        </w:rPr>
        <w:t xml:space="preserve">istorical data shows that </w:t>
      </w:r>
      <w:r w:rsidRPr="00501E9B">
        <w:rPr>
          <w:i/>
          <w:szCs w:val="21"/>
          <w:lang w:bidi="en-US"/>
        </w:rPr>
        <w:t>E. coli</w:t>
      </w:r>
      <w:r w:rsidRPr="00501E9B">
        <w:rPr>
          <w:szCs w:val="21"/>
          <w:lang w:bidi="en-US"/>
        </w:rPr>
        <w:t xml:space="preserve"> concentrations have generally risen over time and </w:t>
      </w:r>
      <w:r w:rsidRPr="00501E9B">
        <w:rPr>
          <w:i/>
          <w:szCs w:val="21"/>
          <w:lang w:bidi="en-US"/>
        </w:rPr>
        <w:t>E. coli</w:t>
      </w:r>
      <w:r w:rsidRPr="00501E9B">
        <w:rPr>
          <w:szCs w:val="21"/>
          <w:lang w:bidi="en-US"/>
        </w:rPr>
        <w:t xml:space="preserve"> concentrations observed </w:t>
      </w:r>
      <w:r>
        <w:rPr>
          <w:szCs w:val="21"/>
          <w:lang w:bidi="en-US"/>
        </w:rPr>
        <w:t xml:space="preserve">in samples collected in </w:t>
      </w:r>
      <w:commentRangeStart w:id="84"/>
      <w:r>
        <w:rPr>
          <w:szCs w:val="21"/>
          <w:lang w:bidi="en-US"/>
        </w:rPr>
        <w:t xml:space="preserve">2019-2025 </w:t>
      </w:r>
      <w:commentRangeEnd w:id="84"/>
      <w:r>
        <w:rPr>
          <w:rStyle w:val="CommentReference"/>
        </w:rPr>
        <w:commentReference w:id="84"/>
      </w:r>
      <w:r w:rsidRPr="00501E9B">
        <w:rPr>
          <w:szCs w:val="21"/>
          <w:lang w:bidi="en-US"/>
        </w:rPr>
        <w:t>are substantively greater than observed in 2012 (</w:t>
      </w:r>
      <w:r w:rsidRPr="00501E9B">
        <w:rPr>
          <w:b/>
          <w:szCs w:val="21"/>
          <w:lang w:bidi="en-US"/>
        </w:rPr>
        <w:t>Figure 3-</w:t>
      </w:r>
      <w:r>
        <w:rPr>
          <w:b/>
          <w:szCs w:val="21"/>
          <w:lang w:bidi="en-US"/>
        </w:rPr>
        <w:t>8</w:t>
      </w:r>
      <w:r w:rsidRPr="00501E9B">
        <w:rPr>
          <w:szCs w:val="21"/>
          <w:lang w:bidi="en-US"/>
        </w:rPr>
        <w:t>). Sp</w:t>
      </w:r>
      <w:r w:rsidRPr="00184204">
        <w:rPr>
          <w:szCs w:val="21"/>
          <w:lang w:bidi="en-US"/>
        </w:rPr>
        <w:t>ecifically, the g</w:t>
      </w:r>
      <w:r w:rsidRPr="00184204">
        <w:t xml:space="preserve">eometric mean </w:t>
      </w:r>
      <w:r>
        <w:t xml:space="preserve">from synoptic studies </w:t>
      </w:r>
      <w:r w:rsidRPr="00184204">
        <w:t>increased from 234 MPN/100 mL in 2012 to 4,087 MPN/100 mL in 2019</w:t>
      </w:r>
      <w:r>
        <w:t xml:space="preserve"> and 4,801 MPN/100mL in 2025</w:t>
      </w:r>
      <w:r w:rsidRPr="00184204">
        <w:t xml:space="preserve">. The load analysis indicates a </w:t>
      </w:r>
      <w:r>
        <w:t>7.8-</w:t>
      </w:r>
      <w:r w:rsidRPr="00184204">
        <w:t xml:space="preserve">fold rise in </w:t>
      </w:r>
      <w:r w:rsidRPr="00184204">
        <w:rPr>
          <w:i/>
        </w:rPr>
        <w:t xml:space="preserve">E. coli </w:t>
      </w:r>
      <w:r w:rsidRPr="00184204">
        <w:t>loading between 2012 and 20</w:t>
      </w:r>
      <w:r>
        <w:t>25</w:t>
      </w:r>
      <w:r w:rsidRPr="00184204">
        <w:t xml:space="preserve"> (3</w:t>
      </w:r>
      <w:r>
        <w:t>8</w:t>
      </w:r>
      <w:r w:rsidRPr="00184204">
        <w:t>.</w:t>
      </w:r>
      <w:r>
        <w:t>1</w:t>
      </w:r>
      <w:r w:rsidRPr="00184204">
        <w:t xml:space="preserve"> billion MPN/day in 20</w:t>
      </w:r>
      <w:r>
        <w:t>25</w:t>
      </w:r>
      <w:r w:rsidRPr="00184204">
        <w:t xml:space="preserve"> versus 4.9 billion MPN/day in 2012).</w:t>
      </w:r>
      <w:r>
        <w:t xml:space="preserve"> </w:t>
      </w:r>
    </w:p>
    <w:p w14:paraId="106354A8" w14:textId="77777777" w:rsidR="005A0F40" w:rsidRPr="00C94913" w:rsidRDefault="005A0F40" w:rsidP="005A0F40">
      <w:pPr>
        <w:pStyle w:val="BodyText"/>
        <w:spacing w:after="200"/>
      </w:pPr>
      <w:r>
        <w:rPr>
          <w:rFonts w:eastAsia="Constantia"/>
        </w:rPr>
        <w:t xml:space="preserve">In the following </w:t>
      </w:r>
      <w:r>
        <w:rPr>
          <w:rFonts w:eastAsia="Constantia" w:cstheme="minorHAnsi"/>
        </w:rPr>
        <w:t xml:space="preserve">subsections, </w:t>
      </w:r>
      <w:r>
        <w:rPr>
          <w:rFonts w:eastAsia="Constantia"/>
        </w:rPr>
        <w:t xml:space="preserve">source contribution analysis relates measured </w:t>
      </w:r>
      <w:r w:rsidRPr="00F72BD4">
        <w:rPr>
          <w:rFonts w:eastAsia="Constantia"/>
          <w:i/>
          <w:iCs/>
        </w:rPr>
        <w:t>E. coli</w:t>
      </w:r>
      <w:r>
        <w:rPr>
          <w:rFonts w:eastAsia="Constantia"/>
        </w:rPr>
        <w:t xml:space="preserve"> inflows to MSAR waters with downstream measurements at the TMDL compliance monitoring locations. </w:t>
      </w:r>
    </w:p>
    <w:p w14:paraId="490D3761" w14:textId="77777777" w:rsidR="005A0F40" w:rsidRDefault="005A0F40" w:rsidP="00D54CF7">
      <w:pPr>
        <w:pStyle w:val="BodyText"/>
        <w:spacing w:after="0" w:line="240" w:lineRule="auto"/>
        <w:ind w:right="360"/>
        <w:rPr>
          <w:sz w:val="22"/>
          <w:szCs w:val="22"/>
          <w:lang w:bidi="en-US"/>
        </w:rPr>
      </w:pPr>
    </w:p>
    <w:p w14:paraId="54B70038" w14:textId="7D9C020F" w:rsidR="00D54CF7" w:rsidRDefault="00D54CF7">
      <w:pPr>
        <w:spacing w:line="240" w:lineRule="auto"/>
        <w:rPr>
          <w:szCs w:val="21"/>
          <w:lang w:bidi="en-US"/>
        </w:rPr>
      </w:pPr>
    </w:p>
    <w:tbl>
      <w:tblPr>
        <w:tblW w:w="8730" w:type="dxa"/>
        <w:jc w:val="center"/>
        <w:tblLayout w:type="fixed"/>
        <w:tblLook w:val="04A0" w:firstRow="1" w:lastRow="0" w:firstColumn="1" w:lastColumn="0" w:noHBand="0" w:noVBand="1"/>
      </w:tblPr>
      <w:tblGrid>
        <w:gridCol w:w="1260"/>
        <w:gridCol w:w="1890"/>
        <w:gridCol w:w="1395"/>
        <w:gridCol w:w="1395"/>
        <w:gridCol w:w="1395"/>
        <w:gridCol w:w="1395"/>
      </w:tblGrid>
      <w:tr w:rsidR="0057071C" w:rsidRPr="003716B5" w14:paraId="6382AD26" w14:textId="673D3636" w:rsidTr="00815A54">
        <w:trPr>
          <w:trHeight w:val="270"/>
          <w:jc w:val="center"/>
        </w:trPr>
        <w:tc>
          <w:tcPr>
            <w:tcW w:w="8730" w:type="dxa"/>
            <w:gridSpan w:val="6"/>
            <w:tcBorders>
              <w:bottom w:val="single" w:sz="4" w:space="0" w:color="auto"/>
            </w:tcBorders>
          </w:tcPr>
          <w:p w14:paraId="325599CC" w14:textId="69D89B75" w:rsidR="0057071C" w:rsidRPr="003716B5" w:rsidRDefault="00223F5D" w:rsidP="00223F5D">
            <w:pPr>
              <w:pStyle w:val="Caption"/>
              <w:keepNext/>
              <w:rPr>
                <w:rFonts w:ascii="Arial" w:hAnsi="Arial" w:cs="Arial"/>
                <w:b w:val="0"/>
                <w:bCs/>
              </w:rPr>
            </w:pPr>
            <w:bookmarkStart w:id="85" w:name="_Toc217391761"/>
            <w:r>
              <w:lastRenderedPageBreak/>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4</w:t>
            </w:r>
            <w:r w:rsidR="00FE614C">
              <w:fldChar w:fldCharType="end"/>
            </w:r>
            <w:r>
              <w:t xml:space="preserve">. </w:t>
            </w:r>
            <w:r w:rsidRPr="00A94C91">
              <w:t>Comparison of Median E. coli Load Estimates at Tier 1 Sites in 2007, 2012, 2019, and 2025</w:t>
            </w:r>
            <w:bookmarkEnd w:id="85"/>
            <w:r w:rsidR="0057071C" w:rsidRPr="00A94C91">
              <w:t xml:space="preserve"> </w:t>
            </w:r>
          </w:p>
        </w:tc>
      </w:tr>
      <w:tr w:rsidR="0057071C" w:rsidRPr="003716B5" w14:paraId="352AFB49" w14:textId="2A7EACDE" w:rsidTr="003A34AF">
        <w:trPr>
          <w:trHeight w:val="432"/>
          <w:jc w:val="center"/>
        </w:trPr>
        <w:tc>
          <w:tcPr>
            <w:tcW w:w="126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39768E" w14:textId="77777777" w:rsidR="0057071C" w:rsidRPr="002714B2" w:rsidRDefault="0057071C" w:rsidP="001502AA">
            <w:pPr>
              <w:spacing w:line="240" w:lineRule="auto"/>
              <w:jc w:val="center"/>
              <w:rPr>
                <w:rFonts w:ascii="Arial" w:hAnsi="Arial" w:cs="Arial"/>
                <w:b/>
                <w:bCs/>
                <w:sz w:val="18"/>
                <w:szCs w:val="18"/>
              </w:rPr>
            </w:pPr>
            <w:r w:rsidRPr="002714B2">
              <w:rPr>
                <w:rFonts w:ascii="Arial" w:hAnsi="Arial" w:cs="Arial"/>
                <w:b/>
                <w:sz w:val="18"/>
                <w:szCs w:val="18"/>
              </w:rPr>
              <w:t>Compliance Site</w:t>
            </w:r>
          </w:p>
        </w:tc>
        <w:tc>
          <w:tcPr>
            <w:tcW w:w="189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285E0B4" w14:textId="77777777" w:rsidR="0057071C" w:rsidRPr="002714B2" w:rsidRDefault="0057071C" w:rsidP="001502AA">
            <w:pPr>
              <w:spacing w:line="240" w:lineRule="auto"/>
              <w:jc w:val="center"/>
              <w:rPr>
                <w:rFonts w:ascii="Arial" w:hAnsi="Arial" w:cs="Arial"/>
                <w:b/>
                <w:bCs/>
                <w:sz w:val="18"/>
                <w:szCs w:val="18"/>
              </w:rPr>
            </w:pPr>
            <w:r w:rsidRPr="002714B2">
              <w:rPr>
                <w:rFonts w:ascii="Arial" w:hAnsi="Arial" w:cs="Arial"/>
                <w:b/>
                <w:bCs/>
                <w:sz w:val="18"/>
                <w:szCs w:val="18"/>
              </w:rPr>
              <w:t>Tier 1 Site</w:t>
            </w:r>
          </w:p>
        </w:tc>
        <w:tc>
          <w:tcPr>
            <w:tcW w:w="558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BA9923" w14:textId="0C87CB29" w:rsidR="0057071C" w:rsidRPr="002714B2" w:rsidRDefault="0057071C" w:rsidP="001502AA">
            <w:pPr>
              <w:spacing w:line="240" w:lineRule="auto"/>
              <w:jc w:val="center"/>
              <w:rPr>
                <w:rFonts w:ascii="Arial" w:hAnsi="Arial" w:cs="Arial"/>
                <w:b/>
                <w:bCs/>
                <w:sz w:val="18"/>
                <w:szCs w:val="18"/>
              </w:rPr>
            </w:pPr>
            <w:r w:rsidRPr="002714B2">
              <w:rPr>
                <w:rFonts w:ascii="Arial" w:hAnsi="Arial" w:cs="Arial"/>
                <w:b/>
                <w:bCs/>
                <w:sz w:val="18"/>
                <w:szCs w:val="18"/>
              </w:rPr>
              <w:t xml:space="preserve">Median </w:t>
            </w:r>
            <w:r w:rsidRPr="002714B2">
              <w:rPr>
                <w:rFonts w:ascii="Arial" w:hAnsi="Arial" w:cs="Arial"/>
                <w:b/>
                <w:bCs/>
                <w:i/>
                <w:sz w:val="18"/>
                <w:szCs w:val="18"/>
              </w:rPr>
              <w:t>E. coli</w:t>
            </w:r>
            <w:r w:rsidRPr="002714B2">
              <w:rPr>
                <w:rFonts w:ascii="Arial" w:hAnsi="Arial" w:cs="Arial"/>
                <w:b/>
                <w:bCs/>
                <w:sz w:val="18"/>
                <w:szCs w:val="18"/>
              </w:rPr>
              <w:t xml:space="preserve"> Load (Billion MPN/Day)</w:t>
            </w:r>
          </w:p>
        </w:tc>
      </w:tr>
      <w:tr w:rsidR="00815A54" w:rsidRPr="003716B5" w14:paraId="3B9E49FB" w14:textId="502D4464" w:rsidTr="003A34AF">
        <w:trPr>
          <w:trHeight w:val="512"/>
          <w:jc w:val="center"/>
        </w:trPr>
        <w:tc>
          <w:tcPr>
            <w:tcW w:w="126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6ED98" w14:textId="77777777" w:rsidR="00815A54" w:rsidRPr="002714B2" w:rsidRDefault="00815A54" w:rsidP="0057071C">
            <w:pPr>
              <w:spacing w:line="240" w:lineRule="auto"/>
              <w:rPr>
                <w:rFonts w:ascii="Arial" w:hAnsi="Arial" w:cs="Arial"/>
                <w:b/>
                <w:bCs/>
                <w:sz w:val="18"/>
                <w:szCs w:val="18"/>
              </w:rPr>
            </w:pPr>
          </w:p>
        </w:tc>
        <w:tc>
          <w:tcPr>
            <w:tcW w:w="189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805C466" w14:textId="77777777" w:rsidR="00815A54" w:rsidRPr="002714B2" w:rsidRDefault="00815A54" w:rsidP="0057071C">
            <w:pPr>
              <w:spacing w:line="240" w:lineRule="auto"/>
              <w:rPr>
                <w:rFonts w:ascii="Arial" w:hAnsi="Arial" w:cs="Arial"/>
                <w:b/>
                <w:bCs/>
                <w:sz w:val="18"/>
                <w:szCs w:val="18"/>
              </w:rPr>
            </w:pP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4C5146" w14:textId="408974A3" w:rsidR="00815A54" w:rsidRPr="002714B2" w:rsidRDefault="00815A54" w:rsidP="0057071C">
            <w:pPr>
              <w:spacing w:line="240" w:lineRule="auto"/>
              <w:jc w:val="center"/>
              <w:rPr>
                <w:rFonts w:ascii="Arial" w:hAnsi="Arial" w:cs="Arial"/>
                <w:b/>
                <w:bCs/>
                <w:sz w:val="18"/>
                <w:szCs w:val="18"/>
              </w:rPr>
            </w:pPr>
            <w:r w:rsidRPr="002714B2">
              <w:rPr>
                <w:rFonts w:ascii="Arial" w:hAnsi="Arial" w:cs="Arial"/>
                <w:b/>
                <w:bCs/>
                <w:sz w:val="18"/>
                <w:szCs w:val="18"/>
              </w:rPr>
              <w:t>2007 (Baseline)</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AD6CA91" w14:textId="77777777" w:rsidR="00815A54" w:rsidRPr="002714B2" w:rsidRDefault="00815A54" w:rsidP="0057071C">
            <w:pPr>
              <w:spacing w:line="240" w:lineRule="auto"/>
              <w:jc w:val="center"/>
              <w:rPr>
                <w:rFonts w:ascii="Arial" w:hAnsi="Arial" w:cs="Arial"/>
                <w:b/>
                <w:bCs/>
                <w:sz w:val="18"/>
                <w:szCs w:val="18"/>
              </w:rPr>
            </w:pPr>
            <w:r w:rsidRPr="002714B2">
              <w:rPr>
                <w:rFonts w:ascii="Arial" w:hAnsi="Arial" w:cs="Arial"/>
                <w:b/>
                <w:bCs/>
                <w:sz w:val="18"/>
                <w:szCs w:val="18"/>
              </w:rPr>
              <w:t>2012</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D25D1E0" w14:textId="77777777" w:rsidR="00815A54" w:rsidRPr="002714B2" w:rsidRDefault="00815A54" w:rsidP="0057071C">
            <w:pPr>
              <w:spacing w:line="240" w:lineRule="auto"/>
              <w:jc w:val="center"/>
              <w:rPr>
                <w:rFonts w:ascii="Arial" w:hAnsi="Arial" w:cs="Arial"/>
                <w:b/>
                <w:bCs/>
                <w:sz w:val="18"/>
                <w:szCs w:val="18"/>
              </w:rPr>
            </w:pPr>
            <w:r w:rsidRPr="002714B2">
              <w:rPr>
                <w:rFonts w:ascii="Arial" w:hAnsi="Arial" w:cs="Arial"/>
                <w:b/>
                <w:bCs/>
                <w:sz w:val="18"/>
                <w:szCs w:val="18"/>
              </w:rPr>
              <w:t>2019</w:t>
            </w:r>
          </w:p>
        </w:tc>
        <w:tc>
          <w:tcPr>
            <w:tcW w:w="13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A5951B" w14:textId="62E5B24C" w:rsidR="00815A54" w:rsidRPr="002714B2" w:rsidRDefault="00815A54" w:rsidP="0057071C">
            <w:pPr>
              <w:spacing w:line="240" w:lineRule="auto"/>
              <w:jc w:val="center"/>
              <w:rPr>
                <w:rFonts w:ascii="Arial" w:hAnsi="Arial" w:cs="Arial"/>
                <w:b/>
                <w:bCs/>
                <w:sz w:val="18"/>
                <w:szCs w:val="18"/>
              </w:rPr>
            </w:pPr>
            <w:r w:rsidRPr="002714B2">
              <w:rPr>
                <w:rFonts w:ascii="Arial" w:hAnsi="Arial" w:cs="Arial"/>
                <w:b/>
                <w:bCs/>
                <w:sz w:val="18"/>
                <w:szCs w:val="18"/>
              </w:rPr>
              <w:t>2025</w:t>
            </w:r>
          </w:p>
        </w:tc>
      </w:tr>
      <w:tr w:rsidR="00815A54" w:rsidRPr="003716B5" w14:paraId="73D87EA6" w14:textId="3351440C" w:rsidTr="003A34AF">
        <w:trPr>
          <w:trHeight w:val="363"/>
          <w:jc w:val="center"/>
        </w:trPr>
        <w:tc>
          <w:tcPr>
            <w:tcW w:w="1260" w:type="dxa"/>
            <w:vMerge w:val="restart"/>
            <w:tcBorders>
              <w:top w:val="single" w:sz="4" w:space="0" w:color="auto"/>
              <w:left w:val="single" w:sz="4" w:space="0" w:color="auto"/>
              <w:bottom w:val="single" w:sz="4" w:space="0" w:color="auto"/>
              <w:right w:val="single" w:sz="4" w:space="0" w:color="auto"/>
            </w:tcBorders>
            <w:vAlign w:val="center"/>
          </w:tcPr>
          <w:p w14:paraId="4288F907"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b/>
                <w:sz w:val="18"/>
                <w:szCs w:val="18"/>
              </w:rPr>
              <w:t>Chino Creek at Central Avenue</w:t>
            </w:r>
            <w:r w:rsidRPr="002714B2">
              <w:rPr>
                <w:rFonts w:ascii="Arial" w:hAnsi="Arial" w:cs="Arial"/>
                <w:b/>
                <w:sz w:val="18"/>
                <w:szCs w:val="18"/>
              </w:rPr>
              <w:br/>
              <w:t>(WW-C7)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1BC64907" w14:textId="77777777" w:rsidR="00815A54" w:rsidRPr="002714B2" w:rsidRDefault="00815A54" w:rsidP="00E62C93">
            <w:pPr>
              <w:spacing w:line="240" w:lineRule="auto"/>
              <w:rPr>
                <w:rFonts w:ascii="Arial" w:hAnsi="Arial" w:cs="Arial"/>
                <w:sz w:val="18"/>
                <w:szCs w:val="18"/>
              </w:rPr>
            </w:pPr>
            <w:r w:rsidRPr="002714B2">
              <w:rPr>
                <w:rFonts w:ascii="Arial" w:hAnsi="Arial" w:cs="Arial"/>
                <w:sz w:val="18"/>
                <w:szCs w:val="18"/>
              </w:rPr>
              <w:t>T1-CHINOCRK</w:t>
            </w:r>
          </w:p>
        </w:tc>
        <w:tc>
          <w:tcPr>
            <w:tcW w:w="1395" w:type="dxa"/>
            <w:tcBorders>
              <w:top w:val="single" w:sz="4" w:space="0" w:color="auto"/>
              <w:left w:val="single" w:sz="4" w:space="0" w:color="auto"/>
              <w:bottom w:val="single" w:sz="4" w:space="0" w:color="auto"/>
              <w:right w:val="single" w:sz="4" w:space="0" w:color="auto"/>
            </w:tcBorders>
            <w:vAlign w:val="center"/>
          </w:tcPr>
          <w:p w14:paraId="20EC4FF6" w14:textId="488928DE"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NM</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24C44F9C"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22.2</w:t>
            </w:r>
          </w:p>
        </w:tc>
        <w:tc>
          <w:tcPr>
            <w:tcW w:w="1395" w:type="dxa"/>
            <w:tcBorders>
              <w:top w:val="single" w:sz="4" w:space="0" w:color="auto"/>
              <w:left w:val="single" w:sz="4" w:space="0" w:color="auto"/>
              <w:bottom w:val="single" w:sz="4" w:space="0" w:color="auto"/>
              <w:right w:val="nil"/>
            </w:tcBorders>
            <w:noWrap/>
            <w:vAlign w:val="center"/>
            <w:hideMark/>
          </w:tcPr>
          <w:p w14:paraId="1A2ED2D7"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14.3</w:t>
            </w:r>
          </w:p>
        </w:tc>
        <w:tc>
          <w:tcPr>
            <w:tcW w:w="1395" w:type="dxa"/>
            <w:tcBorders>
              <w:top w:val="single" w:sz="4" w:space="0" w:color="auto"/>
              <w:left w:val="single" w:sz="4" w:space="0" w:color="auto"/>
              <w:bottom w:val="single" w:sz="4" w:space="0" w:color="auto"/>
              <w:right w:val="single" w:sz="4" w:space="0" w:color="auto"/>
            </w:tcBorders>
            <w:vAlign w:val="center"/>
          </w:tcPr>
          <w:p w14:paraId="115B3A4E" w14:textId="04ED6462"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19.3</w:t>
            </w:r>
          </w:p>
        </w:tc>
      </w:tr>
      <w:tr w:rsidR="00815A54" w:rsidRPr="003716B5" w14:paraId="7846BC64" w14:textId="339866B5" w:rsidTr="003A34AF">
        <w:trPr>
          <w:trHeight w:val="363"/>
          <w:jc w:val="center"/>
        </w:trPr>
        <w:tc>
          <w:tcPr>
            <w:tcW w:w="1260" w:type="dxa"/>
            <w:vMerge/>
            <w:tcBorders>
              <w:left w:val="single" w:sz="4" w:space="0" w:color="auto"/>
              <w:bottom w:val="single" w:sz="4" w:space="0" w:color="auto"/>
              <w:right w:val="single" w:sz="4" w:space="0" w:color="auto"/>
            </w:tcBorders>
            <w:vAlign w:val="center"/>
          </w:tcPr>
          <w:p w14:paraId="537FAEF9" w14:textId="77777777" w:rsidR="00815A54" w:rsidRPr="002714B2" w:rsidRDefault="00815A54" w:rsidP="00E62C93">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64686C48" w14:textId="77777777" w:rsidR="00815A54" w:rsidRPr="002714B2" w:rsidRDefault="00815A54" w:rsidP="00E62C93">
            <w:pPr>
              <w:spacing w:line="240" w:lineRule="auto"/>
              <w:rPr>
                <w:rFonts w:ascii="Arial" w:hAnsi="Arial" w:cs="Arial"/>
                <w:sz w:val="18"/>
                <w:szCs w:val="18"/>
              </w:rPr>
            </w:pPr>
            <w:r w:rsidRPr="002714B2">
              <w:rPr>
                <w:rFonts w:ascii="Arial" w:hAnsi="Arial" w:cs="Arial"/>
                <w:sz w:val="18"/>
                <w:szCs w:val="18"/>
              </w:rPr>
              <w:t>T1-BRSC</w:t>
            </w:r>
          </w:p>
        </w:tc>
        <w:tc>
          <w:tcPr>
            <w:tcW w:w="1395" w:type="dxa"/>
            <w:tcBorders>
              <w:top w:val="single" w:sz="4" w:space="0" w:color="auto"/>
              <w:left w:val="single" w:sz="4" w:space="0" w:color="auto"/>
              <w:bottom w:val="single" w:sz="4" w:space="0" w:color="auto"/>
              <w:right w:val="single" w:sz="4" w:space="0" w:color="auto"/>
            </w:tcBorders>
            <w:vAlign w:val="center"/>
          </w:tcPr>
          <w:p w14:paraId="150F0098" w14:textId="2977A2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NM</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7B96730C"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6.9</w:t>
            </w:r>
          </w:p>
        </w:tc>
        <w:tc>
          <w:tcPr>
            <w:tcW w:w="1395" w:type="dxa"/>
            <w:tcBorders>
              <w:top w:val="single" w:sz="4" w:space="0" w:color="auto"/>
              <w:left w:val="single" w:sz="4" w:space="0" w:color="auto"/>
              <w:bottom w:val="single" w:sz="4" w:space="0" w:color="auto"/>
              <w:right w:val="nil"/>
            </w:tcBorders>
            <w:noWrap/>
            <w:vAlign w:val="center"/>
            <w:hideMark/>
          </w:tcPr>
          <w:p w14:paraId="55C89D87"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4.8</w:t>
            </w:r>
          </w:p>
        </w:tc>
        <w:tc>
          <w:tcPr>
            <w:tcW w:w="1395" w:type="dxa"/>
            <w:tcBorders>
              <w:top w:val="single" w:sz="4" w:space="0" w:color="auto"/>
              <w:left w:val="single" w:sz="4" w:space="0" w:color="auto"/>
              <w:bottom w:val="single" w:sz="4" w:space="0" w:color="auto"/>
              <w:right w:val="single" w:sz="4" w:space="0" w:color="auto"/>
            </w:tcBorders>
            <w:vAlign w:val="center"/>
          </w:tcPr>
          <w:p w14:paraId="0C501BCA" w14:textId="2230A5D9"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3.7</w:t>
            </w:r>
          </w:p>
        </w:tc>
      </w:tr>
      <w:tr w:rsidR="00815A54" w:rsidRPr="003716B5" w14:paraId="25736020" w14:textId="51492CE3" w:rsidTr="003A34AF">
        <w:trPr>
          <w:trHeight w:val="363"/>
          <w:jc w:val="center"/>
        </w:trPr>
        <w:tc>
          <w:tcPr>
            <w:tcW w:w="1260" w:type="dxa"/>
            <w:vMerge/>
            <w:tcBorders>
              <w:left w:val="single" w:sz="4" w:space="0" w:color="auto"/>
              <w:bottom w:val="single" w:sz="4" w:space="0" w:color="auto"/>
              <w:right w:val="single" w:sz="4" w:space="0" w:color="auto"/>
            </w:tcBorders>
            <w:vAlign w:val="center"/>
          </w:tcPr>
          <w:p w14:paraId="4CB64861" w14:textId="77777777" w:rsidR="00815A54" w:rsidRPr="002714B2" w:rsidRDefault="00815A54" w:rsidP="00E62C93">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08039B6A" w14:textId="77777777" w:rsidR="00815A54" w:rsidRPr="002714B2" w:rsidRDefault="00815A54" w:rsidP="00E62C93">
            <w:pPr>
              <w:spacing w:line="240" w:lineRule="auto"/>
              <w:rPr>
                <w:rFonts w:ascii="Arial" w:hAnsi="Arial" w:cs="Arial"/>
                <w:sz w:val="18"/>
                <w:szCs w:val="18"/>
              </w:rPr>
            </w:pPr>
            <w:r w:rsidRPr="002714B2">
              <w:rPr>
                <w:rFonts w:ascii="Arial" w:hAnsi="Arial" w:cs="Arial"/>
                <w:sz w:val="18"/>
                <w:szCs w:val="18"/>
              </w:rPr>
              <w:t>T1-CCCH</w:t>
            </w:r>
          </w:p>
        </w:tc>
        <w:tc>
          <w:tcPr>
            <w:tcW w:w="1395" w:type="dxa"/>
            <w:tcBorders>
              <w:top w:val="single" w:sz="4" w:space="0" w:color="auto"/>
              <w:left w:val="single" w:sz="4" w:space="0" w:color="auto"/>
              <w:bottom w:val="single" w:sz="4" w:space="0" w:color="auto"/>
              <w:right w:val="single" w:sz="4" w:space="0" w:color="auto"/>
            </w:tcBorders>
            <w:vAlign w:val="center"/>
          </w:tcPr>
          <w:p w14:paraId="0D6DF3BF"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22.0</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4E2CAFBE"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7.5</w:t>
            </w:r>
          </w:p>
        </w:tc>
        <w:tc>
          <w:tcPr>
            <w:tcW w:w="1395" w:type="dxa"/>
            <w:tcBorders>
              <w:top w:val="single" w:sz="4" w:space="0" w:color="auto"/>
              <w:left w:val="single" w:sz="4" w:space="0" w:color="auto"/>
              <w:bottom w:val="single" w:sz="4" w:space="0" w:color="auto"/>
              <w:right w:val="nil"/>
            </w:tcBorders>
            <w:noWrap/>
            <w:vAlign w:val="center"/>
            <w:hideMark/>
          </w:tcPr>
          <w:p w14:paraId="235EDF32"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0.7</w:t>
            </w:r>
          </w:p>
        </w:tc>
        <w:tc>
          <w:tcPr>
            <w:tcW w:w="1395" w:type="dxa"/>
            <w:tcBorders>
              <w:top w:val="single" w:sz="4" w:space="0" w:color="auto"/>
              <w:left w:val="single" w:sz="4" w:space="0" w:color="auto"/>
              <w:bottom w:val="single" w:sz="4" w:space="0" w:color="auto"/>
              <w:right w:val="single" w:sz="4" w:space="0" w:color="auto"/>
            </w:tcBorders>
            <w:vAlign w:val="center"/>
          </w:tcPr>
          <w:p w14:paraId="09A54C78" w14:textId="3F5729AF"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1.9</w:t>
            </w:r>
          </w:p>
        </w:tc>
      </w:tr>
      <w:tr w:rsidR="00815A54" w:rsidRPr="003716B5" w14:paraId="4FC79325" w14:textId="24E6CEB8" w:rsidTr="003A34AF">
        <w:trPr>
          <w:trHeight w:val="363"/>
          <w:jc w:val="center"/>
        </w:trPr>
        <w:tc>
          <w:tcPr>
            <w:tcW w:w="1260" w:type="dxa"/>
            <w:vMerge/>
            <w:tcBorders>
              <w:left w:val="single" w:sz="4" w:space="0" w:color="auto"/>
              <w:bottom w:val="single" w:sz="4" w:space="0" w:color="auto"/>
              <w:right w:val="single" w:sz="4" w:space="0" w:color="auto"/>
            </w:tcBorders>
            <w:vAlign w:val="center"/>
          </w:tcPr>
          <w:p w14:paraId="563B7EDF" w14:textId="77777777" w:rsidR="00815A54" w:rsidRPr="002714B2" w:rsidRDefault="00815A54" w:rsidP="00E62C93">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437F0348" w14:textId="77777777" w:rsidR="00815A54" w:rsidRPr="002714B2" w:rsidRDefault="00815A54" w:rsidP="00E62C93">
            <w:pPr>
              <w:spacing w:line="240" w:lineRule="auto"/>
              <w:rPr>
                <w:rFonts w:ascii="Arial" w:hAnsi="Arial" w:cs="Arial"/>
                <w:sz w:val="18"/>
                <w:szCs w:val="18"/>
              </w:rPr>
            </w:pPr>
            <w:r w:rsidRPr="002714B2">
              <w:rPr>
                <w:rFonts w:ascii="Arial" w:hAnsi="Arial" w:cs="Arial"/>
                <w:sz w:val="18"/>
                <w:szCs w:val="18"/>
              </w:rPr>
              <w:t>T1-SACH</w:t>
            </w:r>
          </w:p>
        </w:tc>
        <w:tc>
          <w:tcPr>
            <w:tcW w:w="1395" w:type="dxa"/>
            <w:tcBorders>
              <w:top w:val="single" w:sz="4" w:space="0" w:color="auto"/>
              <w:left w:val="single" w:sz="4" w:space="0" w:color="auto"/>
              <w:bottom w:val="single" w:sz="4" w:space="0" w:color="auto"/>
              <w:right w:val="single" w:sz="4" w:space="0" w:color="auto"/>
            </w:tcBorders>
            <w:vAlign w:val="center"/>
          </w:tcPr>
          <w:p w14:paraId="7AADCBED"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7.0</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78753D14"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0.1</w:t>
            </w:r>
          </w:p>
        </w:tc>
        <w:tc>
          <w:tcPr>
            <w:tcW w:w="1395" w:type="dxa"/>
            <w:tcBorders>
              <w:top w:val="single" w:sz="4" w:space="0" w:color="auto"/>
              <w:left w:val="single" w:sz="4" w:space="0" w:color="auto"/>
              <w:bottom w:val="single" w:sz="4" w:space="0" w:color="auto"/>
              <w:right w:val="nil"/>
            </w:tcBorders>
            <w:noWrap/>
            <w:vAlign w:val="center"/>
            <w:hideMark/>
          </w:tcPr>
          <w:p w14:paraId="44B51D61"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0.1</w:t>
            </w:r>
          </w:p>
        </w:tc>
        <w:tc>
          <w:tcPr>
            <w:tcW w:w="1395" w:type="dxa"/>
            <w:tcBorders>
              <w:top w:val="single" w:sz="4" w:space="0" w:color="auto"/>
              <w:left w:val="single" w:sz="4" w:space="0" w:color="auto"/>
              <w:bottom w:val="single" w:sz="4" w:space="0" w:color="auto"/>
              <w:right w:val="single" w:sz="4" w:space="0" w:color="auto"/>
            </w:tcBorders>
            <w:vAlign w:val="center"/>
          </w:tcPr>
          <w:p w14:paraId="7334E87A" w14:textId="0DE6ECBA"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0.3</w:t>
            </w:r>
          </w:p>
        </w:tc>
      </w:tr>
      <w:tr w:rsidR="00815A54" w:rsidRPr="003716B5" w14:paraId="6D36872A" w14:textId="4267CDF5" w:rsidTr="003A34AF">
        <w:trPr>
          <w:trHeight w:val="363"/>
          <w:jc w:val="center"/>
        </w:trPr>
        <w:tc>
          <w:tcPr>
            <w:tcW w:w="1260" w:type="dxa"/>
            <w:vMerge/>
            <w:tcBorders>
              <w:left w:val="single" w:sz="4" w:space="0" w:color="auto"/>
              <w:bottom w:val="single" w:sz="4" w:space="0" w:color="auto"/>
              <w:right w:val="single" w:sz="4" w:space="0" w:color="auto"/>
            </w:tcBorders>
            <w:vAlign w:val="center"/>
          </w:tcPr>
          <w:p w14:paraId="3664D1FA" w14:textId="77777777" w:rsidR="00815A54" w:rsidRPr="002714B2" w:rsidRDefault="00815A54" w:rsidP="00E62C93">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54D82E00" w14:textId="77777777" w:rsidR="00815A54" w:rsidRPr="002714B2" w:rsidRDefault="00815A54" w:rsidP="00E62C93">
            <w:pPr>
              <w:spacing w:line="240" w:lineRule="auto"/>
              <w:rPr>
                <w:rFonts w:ascii="Arial" w:hAnsi="Arial" w:cs="Arial"/>
                <w:sz w:val="18"/>
                <w:szCs w:val="18"/>
              </w:rPr>
            </w:pPr>
            <w:r w:rsidRPr="002714B2">
              <w:rPr>
                <w:rFonts w:ascii="Arial" w:hAnsi="Arial" w:cs="Arial"/>
                <w:sz w:val="18"/>
                <w:szCs w:val="18"/>
              </w:rPr>
              <w:t>T1-LLSC</w:t>
            </w:r>
          </w:p>
        </w:tc>
        <w:tc>
          <w:tcPr>
            <w:tcW w:w="1395" w:type="dxa"/>
            <w:tcBorders>
              <w:top w:val="single" w:sz="4" w:space="0" w:color="auto"/>
              <w:left w:val="single" w:sz="4" w:space="0" w:color="auto"/>
              <w:bottom w:val="single" w:sz="4" w:space="0" w:color="auto"/>
              <w:right w:val="single" w:sz="4" w:space="0" w:color="auto"/>
            </w:tcBorders>
            <w:vAlign w:val="center"/>
          </w:tcPr>
          <w:p w14:paraId="04698919" w14:textId="6ED1E748"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NM</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5FBD486A"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0.001</w:t>
            </w:r>
          </w:p>
        </w:tc>
        <w:tc>
          <w:tcPr>
            <w:tcW w:w="1395" w:type="dxa"/>
            <w:tcBorders>
              <w:top w:val="single" w:sz="4" w:space="0" w:color="auto"/>
              <w:left w:val="single" w:sz="4" w:space="0" w:color="auto"/>
              <w:bottom w:val="single" w:sz="4" w:space="0" w:color="auto"/>
              <w:right w:val="nil"/>
            </w:tcBorders>
            <w:noWrap/>
            <w:vAlign w:val="center"/>
            <w:hideMark/>
          </w:tcPr>
          <w:p w14:paraId="7B8FFD85" w14:textId="77777777"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0.1</w:t>
            </w:r>
          </w:p>
        </w:tc>
        <w:tc>
          <w:tcPr>
            <w:tcW w:w="1395" w:type="dxa"/>
            <w:tcBorders>
              <w:top w:val="single" w:sz="4" w:space="0" w:color="auto"/>
              <w:left w:val="single" w:sz="4" w:space="0" w:color="auto"/>
              <w:bottom w:val="single" w:sz="4" w:space="0" w:color="auto"/>
              <w:right w:val="single" w:sz="4" w:space="0" w:color="auto"/>
            </w:tcBorders>
            <w:vAlign w:val="center"/>
          </w:tcPr>
          <w:p w14:paraId="5DFDD08D" w14:textId="6F14605A" w:rsidR="00815A54" w:rsidRPr="002714B2" w:rsidRDefault="00815A54" w:rsidP="00E62C93">
            <w:pPr>
              <w:spacing w:line="240" w:lineRule="auto"/>
              <w:jc w:val="center"/>
              <w:rPr>
                <w:rFonts w:ascii="Arial" w:hAnsi="Arial" w:cs="Arial"/>
                <w:sz w:val="18"/>
                <w:szCs w:val="18"/>
              </w:rPr>
            </w:pPr>
            <w:r w:rsidRPr="002714B2">
              <w:rPr>
                <w:rFonts w:ascii="Arial" w:hAnsi="Arial" w:cs="Arial"/>
                <w:sz w:val="18"/>
                <w:szCs w:val="18"/>
              </w:rPr>
              <w:t>0.01</w:t>
            </w:r>
          </w:p>
        </w:tc>
      </w:tr>
      <w:tr w:rsidR="00815A54" w:rsidRPr="003716B5" w14:paraId="0DF0EB9C" w14:textId="6D8127FD" w:rsidTr="003A34AF">
        <w:trPr>
          <w:trHeight w:val="363"/>
          <w:jc w:val="center"/>
        </w:trPr>
        <w:tc>
          <w:tcPr>
            <w:tcW w:w="1260" w:type="dxa"/>
            <w:vMerge/>
            <w:tcBorders>
              <w:left w:val="single" w:sz="4" w:space="0" w:color="auto"/>
              <w:bottom w:val="single" w:sz="4" w:space="0" w:color="auto"/>
              <w:right w:val="single" w:sz="4" w:space="0" w:color="auto"/>
            </w:tcBorders>
            <w:vAlign w:val="center"/>
          </w:tcPr>
          <w:p w14:paraId="5FEC3D35" w14:textId="77777777" w:rsidR="00815A54" w:rsidRPr="002714B2" w:rsidRDefault="00815A54" w:rsidP="0057071C">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04F50A47" w14:textId="1A3431AA" w:rsidR="00815A54" w:rsidRPr="002714B2" w:rsidRDefault="00815A54" w:rsidP="0057071C">
            <w:pPr>
              <w:spacing w:line="240" w:lineRule="auto"/>
              <w:rPr>
                <w:rFonts w:ascii="Arial" w:hAnsi="Arial" w:cs="Arial"/>
                <w:b/>
                <w:sz w:val="18"/>
                <w:szCs w:val="18"/>
              </w:rPr>
            </w:pPr>
            <w:r w:rsidRPr="002714B2">
              <w:rPr>
                <w:rFonts w:ascii="Arial" w:hAnsi="Arial" w:cs="Arial"/>
                <w:sz w:val="18"/>
                <w:szCs w:val="18"/>
              </w:rPr>
              <w:t>OTHER (2007 est.)</w:t>
            </w:r>
            <w:r w:rsidRPr="002714B2">
              <w:rPr>
                <w:rFonts w:ascii="Arial" w:hAnsi="Arial" w:cs="Arial"/>
                <w:sz w:val="18"/>
                <w:szCs w:val="18"/>
                <w:vertAlign w:val="superscript"/>
              </w:rPr>
              <w:t>1</w:t>
            </w:r>
          </w:p>
        </w:tc>
        <w:tc>
          <w:tcPr>
            <w:tcW w:w="1395" w:type="dxa"/>
            <w:tcBorders>
              <w:top w:val="single" w:sz="4" w:space="0" w:color="auto"/>
              <w:left w:val="single" w:sz="4" w:space="0" w:color="auto"/>
              <w:bottom w:val="single" w:sz="4" w:space="0" w:color="auto"/>
              <w:right w:val="single" w:sz="4" w:space="0" w:color="auto"/>
            </w:tcBorders>
            <w:vAlign w:val="center"/>
          </w:tcPr>
          <w:p w14:paraId="4797E81C" w14:textId="77777777" w:rsidR="00815A54" w:rsidRPr="002714B2" w:rsidRDefault="00815A54" w:rsidP="0057071C">
            <w:pPr>
              <w:spacing w:line="240" w:lineRule="auto"/>
              <w:jc w:val="center"/>
              <w:rPr>
                <w:rFonts w:ascii="Arial" w:hAnsi="Arial" w:cs="Arial"/>
                <w:sz w:val="18"/>
                <w:szCs w:val="18"/>
              </w:rPr>
            </w:pPr>
            <w:r w:rsidRPr="002714B2">
              <w:rPr>
                <w:rFonts w:ascii="Arial" w:hAnsi="Arial" w:cs="Arial"/>
                <w:sz w:val="18"/>
                <w:szCs w:val="18"/>
              </w:rPr>
              <w:t>24.0</w:t>
            </w:r>
          </w:p>
        </w:tc>
        <w:tc>
          <w:tcPr>
            <w:tcW w:w="1395" w:type="dxa"/>
            <w:tcBorders>
              <w:top w:val="single" w:sz="4" w:space="0" w:color="auto"/>
              <w:left w:val="single" w:sz="4" w:space="0" w:color="auto"/>
              <w:bottom w:val="single" w:sz="4" w:space="0" w:color="auto"/>
              <w:right w:val="single" w:sz="4" w:space="0" w:color="auto"/>
            </w:tcBorders>
            <w:noWrap/>
            <w:vAlign w:val="center"/>
          </w:tcPr>
          <w:p w14:paraId="29B05B5B" w14:textId="2C9B6A0F" w:rsidR="00815A54" w:rsidRPr="002714B2" w:rsidRDefault="00815A54" w:rsidP="0057071C">
            <w:pPr>
              <w:spacing w:line="240" w:lineRule="auto"/>
              <w:jc w:val="center"/>
              <w:rPr>
                <w:rFonts w:ascii="Arial" w:hAnsi="Arial" w:cs="Arial"/>
                <w:sz w:val="18"/>
                <w:szCs w:val="18"/>
              </w:rPr>
            </w:pPr>
          </w:p>
        </w:tc>
        <w:tc>
          <w:tcPr>
            <w:tcW w:w="1395" w:type="dxa"/>
            <w:tcBorders>
              <w:top w:val="single" w:sz="4" w:space="0" w:color="auto"/>
              <w:left w:val="single" w:sz="4" w:space="0" w:color="auto"/>
              <w:bottom w:val="single" w:sz="4" w:space="0" w:color="auto"/>
              <w:right w:val="single" w:sz="4" w:space="0" w:color="auto"/>
            </w:tcBorders>
            <w:noWrap/>
            <w:vAlign w:val="center"/>
          </w:tcPr>
          <w:p w14:paraId="6DAD7C16" w14:textId="2EAC8C9F" w:rsidR="00815A54" w:rsidRPr="002714B2" w:rsidRDefault="00815A54" w:rsidP="0057071C">
            <w:pPr>
              <w:spacing w:line="240" w:lineRule="auto"/>
              <w:jc w:val="center"/>
              <w:rPr>
                <w:rFonts w:ascii="Arial" w:hAnsi="Arial" w:cs="Arial"/>
                <w:sz w:val="18"/>
                <w:szCs w:val="18"/>
              </w:rPr>
            </w:pPr>
          </w:p>
        </w:tc>
        <w:tc>
          <w:tcPr>
            <w:tcW w:w="1395" w:type="dxa"/>
            <w:tcBorders>
              <w:top w:val="single" w:sz="4" w:space="0" w:color="auto"/>
              <w:left w:val="single" w:sz="4" w:space="0" w:color="auto"/>
              <w:bottom w:val="single" w:sz="4" w:space="0" w:color="auto"/>
              <w:right w:val="single" w:sz="4" w:space="0" w:color="auto"/>
            </w:tcBorders>
            <w:vAlign w:val="center"/>
          </w:tcPr>
          <w:p w14:paraId="337E4384" w14:textId="72C5A91E" w:rsidR="00815A54" w:rsidRPr="002714B2" w:rsidRDefault="00815A54" w:rsidP="0057071C">
            <w:pPr>
              <w:spacing w:line="240" w:lineRule="auto"/>
              <w:jc w:val="center"/>
              <w:rPr>
                <w:rFonts w:ascii="Arial" w:hAnsi="Arial" w:cs="Arial"/>
                <w:sz w:val="18"/>
                <w:szCs w:val="18"/>
              </w:rPr>
            </w:pPr>
          </w:p>
        </w:tc>
      </w:tr>
      <w:tr w:rsidR="00815A54" w:rsidRPr="003716B5" w14:paraId="3321802A" w14:textId="3A6E91B6" w:rsidTr="00815A54">
        <w:trPr>
          <w:trHeight w:val="363"/>
          <w:jc w:val="center"/>
        </w:trPr>
        <w:tc>
          <w:tcPr>
            <w:tcW w:w="1260" w:type="dxa"/>
            <w:vMerge/>
            <w:tcBorders>
              <w:left w:val="single" w:sz="4" w:space="0" w:color="auto"/>
              <w:bottom w:val="single" w:sz="4" w:space="0" w:color="auto"/>
              <w:right w:val="single" w:sz="4" w:space="0" w:color="auto"/>
            </w:tcBorders>
            <w:vAlign w:val="center"/>
          </w:tcPr>
          <w:p w14:paraId="6E8B6C2D" w14:textId="77777777" w:rsidR="00815A54" w:rsidRPr="002714B2" w:rsidRDefault="00815A54" w:rsidP="0057071C">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75C1F680" w14:textId="77777777" w:rsidR="00815A54" w:rsidRPr="002714B2" w:rsidRDefault="00815A54" w:rsidP="0057071C">
            <w:pPr>
              <w:spacing w:line="240" w:lineRule="auto"/>
              <w:rPr>
                <w:rFonts w:ascii="Arial" w:hAnsi="Arial" w:cs="Arial"/>
                <w:b/>
                <w:sz w:val="18"/>
                <w:szCs w:val="18"/>
              </w:rPr>
            </w:pPr>
            <w:r w:rsidRPr="002714B2">
              <w:rPr>
                <w:rFonts w:ascii="Arial" w:hAnsi="Arial" w:cs="Arial"/>
                <w:b/>
                <w:sz w:val="18"/>
                <w:szCs w:val="18"/>
              </w:rPr>
              <w:t>Subtotal (WW-C7)</w:t>
            </w:r>
          </w:p>
        </w:tc>
        <w:tc>
          <w:tcPr>
            <w:tcW w:w="1395" w:type="dxa"/>
            <w:tcBorders>
              <w:top w:val="single" w:sz="4" w:space="0" w:color="auto"/>
              <w:left w:val="single" w:sz="4" w:space="0" w:color="auto"/>
              <w:bottom w:val="single" w:sz="4" w:space="0" w:color="auto"/>
              <w:right w:val="single" w:sz="4" w:space="0" w:color="auto"/>
            </w:tcBorders>
            <w:vAlign w:val="center"/>
          </w:tcPr>
          <w:p w14:paraId="2D1A8BF4" w14:textId="77777777"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53.0</w:t>
            </w:r>
          </w:p>
        </w:tc>
        <w:tc>
          <w:tcPr>
            <w:tcW w:w="1395" w:type="dxa"/>
            <w:tcBorders>
              <w:top w:val="single" w:sz="4" w:space="0" w:color="auto"/>
              <w:left w:val="single" w:sz="4" w:space="0" w:color="auto"/>
              <w:bottom w:val="single" w:sz="4" w:space="0" w:color="auto"/>
              <w:right w:val="single" w:sz="4" w:space="0" w:color="auto"/>
            </w:tcBorders>
            <w:noWrap/>
            <w:vAlign w:val="center"/>
          </w:tcPr>
          <w:p w14:paraId="6E77E86E" w14:textId="77777777"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36.7</w:t>
            </w:r>
          </w:p>
        </w:tc>
        <w:tc>
          <w:tcPr>
            <w:tcW w:w="1395" w:type="dxa"/>
            <w:tcBorders>
              <w:top w:val="single" w:sz="4" w:space="0" w:color="auto"/>
              <w:left w:val="single" w:sz="4" w:space="0" w:color="auto"/>
              <w:bottom w:val="single" w:sz="4" w:space="0" w:color="auto"/>
              <w:right w:val="nil"/>
            </w:tcBorders>
            <w:noWrap/>
            <w:vAlign w:val="center"/>
          </w:tcPr>
          <w:p w14:paraId="091CA72B" w14:textId="215B3F15"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20.1</w:t>
            </w:r>
          </w:p>
        </w:tc>
        <w:tc>
          <w:tcPr>
            <w:tcW w:w="1395" w:type="dxa"/>
            <w:tcBorders>
              <w:top w:val="single" w:sz="4" w:space="0" w:color="auto"/>
              <w:left w:val="single" w:sz="4" w:space="0" w:color="auto"/>
              <w:bottom w:val="single" w:sz="4" w:space="0" w:color="auto"/>
              <w:right w:val="single" w:sz="4" w:space="0" w:color="auto"/>
            </w:tcBorders>
            <w:vAlign w:val="center"/>
          </w:tcPr>
          <w:p w14:paraId="2B45E2FB" w14:textId="290E1817"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25.2</w:t>
            </w:r>
          </w:p>
        </w:tc>
      </w:tr>
      <w:tr w:rsidR="00815A54" w:rsidRPr="003716B5" w14:paraId="3336072A" w14:textId="77777777" w:rsidTr="00815A54">
        <w:trPr>
          <w:trHeight w:val="332"/>
          <w:jc w:val="center"/>
        </w:trPr>
        <w:tc>
          <w:tcPr>
            <w:tcW w:w="1260" w:type="dxa"/>
            <w:vMerge/>
            <w:tcBorders>
              <w:left w:val="single" w:sz="4" w:space="0" w:color="auto"/>
              <w:bottom w:val="single" w:sz="4" w:space="0" w:color="auto"/>
              <w:right w:val="single" w:sz="4" w:space="0" w:color="auto"/>
            </w:tcBorders>
            <w:vAlign w:val="center"/>
          </w:tcPr>
          <w:p w14:paraId="2CB91465" w14:textId="77777777" w:rsidR="00815A54" w:rsidRPr="002714B2" w:rsidRDefault="00815A54" w:rsidP="00D06A85">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2F073208" w14:textId="29262172" w:rsidR="00815A54" w:rsidRPr="002714B2" w:rsidRDefault="00815A54" w:rsidP="000B5A74">
            <w:pPr>
              <w:spacing w:line="240" w:lineRule="auto"/>
              <w:rPr>
                <w:rFonts w:ascii="Arial" w:hAnsi="Arial" w:cs="Arial"/>
                <w:b/>
                <w:sz w:val="18"/>
                <w:szCs w:val="18"/>
              </w:rPr>
            </w:pPr>
            <w:r w:rsidRPr="002714B2">
              <w:rPr>
                <w:rFonts w:ascii="Arial" w:hAnsi="Arial" w:cs="Arial"/>
                <w:b/>
                <w:sz w:val="18"/>
                <w:szCs w:val="18"/>
              </w:rPr>
              <w:t>Reduction from CBRP Baseline</w:t>
            </w:r>
          </w:p>
        </w:tc>
        <w:tc>
          <w:tcPr>
            <w:tcW w:w="1395" w:type="dxa"/>
            <w:tcBorders>
              <w:top w:val="single" w:sz="4" w:space="0" w:color="auto"/>
              <w:left w:val="single" w:sz="4" w:space="0" w:color="auto"/>
              <w:bottom w:val="single" w:sz="4" w:space="0" w:color="auto"/>
              <w:right w:val="single" w:sz="4" w:space="0" w:color="auto"/>
            </w:tcBorders>
            <w:vAlign w:val="center"/>
          </w:tcPr>
          <w:p w14:paraId="421731F3" w14:textId="088809AB" w:rsidR="00815A54" w:rsidRPr="002714B2" w:rsidRDefault="00815A54" w:rsidP="00D06A85">
            <w:pPr>
              <w:spacing w:line="240" w:lineRule="auto"/>
              <w:jc w:val="center"/>
              <w:rPr>
                <w:rFonts w:ascii="Arial" w:hAnsi="Arial" w:cs="Arial"/>
                <w:b/>
                <w:sz w:val="18"/>
                <w:szCs w:val="18"/>
              </w:rPr>
            </w:pPr>
            <w:r w:rsidRPr="002714B2">
              <w:rPr>
                <w:rFonts w:ascii="Arial" w:hAnsi="Arial" w:cs="Arial"/>
                <w:b/>
                <w:sz w:val="18"/>
                <w:szCs w:val="18"/>
              </w:rPr>
              <w:t>n/a</w:t>
            </w:r>
          </w:p>
        </w:tc>
        <w:tc>
          <w:tcPr>
            <w:tcW w:w="1395" w:type="dxa"/>
            <w:tcBorders>
              <w:top w:val="single" w:sz="4" w:space="0" w:color="auto"/>
              <w:left w:val="single" w:sz="4" w:space="0" w:color="auto"/>
              <w:bottom w:val="single" w:sz="4" w:space="0" w:color="auto"/>
              <w:right w:val="single" w:sz="4" w:space="0" w:color="auto"/>
            </w:tcBorders>
            <w:vAlign w:val="center"/>
          </w:tcPr>
          <w:p w14:paraId="0EE41757" w14:textId="340172BC" w:rsidR="00815A54" w:rsidRPr="002714B2" w:rsidRDefault="00815A54" w:rsidP="00D06A85">
            <w:pPr>
              <w:spacing w:line="240" w:lineRule="auto"/>
              <w:jc w:val="center"/>
              <w:rPr>
                <w:rFonts w:ascii="Arial" w:hAnsi="Arial" w:cs="Arial"/>
                <w:b/>
                <w:sz w:val="18"/>
                <w:szCs w:val="18"/>
              </w:rPr>
            </w:pPr>
            <w:r w:rsidRPr="002714B2">
              <w:rPr>
                <w:rFonts w:ascii="Arial" w:hAnsi="Arial" w:cs="Arial"/>
                <w:b/>
                <w:sz w:val="18"/>
                <w:szCs w:val="18"/>
              </w:rPr>
              <w:t>-16.3</w:t>
            </w:r>
          </w:p>
        </w:tc>
        <w:tc>
          <w:tcPr>
            <w:tcW w:w="1395" w:type="dxa"/>
            <w:tcBorders>
              <w:top w:val="single" w:sz="4" w:space="0" w:color="auto"/>
              <w:left w:val="single" w:sz="4" w:space="0" w:color="auto"/>
              <w:bottom w:val="single" w:sz="4" w:space="0" w:color="auto"/>
              <w:right w:val="single" w:sz="4" w:space="0" w:color="auto"/>
            </w:tcBorders>
            <w:vAlign w:val="center"/>
          </w:tcPr>
          <w:p w14:paraId="5F6012D6" w14:textId="5AC1F9C4" w:rsidR="00815A54" w:rsidRPr="002714B2" w:rsidRDefault="00815A54" w:rsidP="00D06A85">
            <w:pPr>
              <w:spacing w:line="240" w:lineRule="auto"/>
              <w:jc w:val="center"/>
              <w:rPr>
                <w:rFonts w:ascii="Arial" w:hAnsi="Arial" w:cs="Arial"/>
                <w:b/>
                <w:sz w:val="18"/>
                <w:szCs w:val="18"/>
              </w:rPr>
            </w:pPr>
            <w:r w:rsidRPr="002714B2">
              <w:rPr>
                <w:rFonts w:ascii="Arial" w:hAnsi="Arial" w:cs="Arial"/>
                <w:b/>
                <w:sz w:val="18"/>
                <w:szCs w:val="18"/>
              </w:rPr>
              <w:t>-32.9</w:t>
            </w:r>
          </w:p>
        </w:tc>
        <w:tc>
          <w:tcPr>
            <w:tcW w:w="1395" w:type="dxa"/>
            <w:tcBorders>
              <w:top w:val="single" w:sz="4" w:space="0" w:color="auto"/>
              <w:left w:val="single" w:sz="4" w:space="0" w:color="auto"/>
              <w:bottom w:val="single" w:sz="4" w:space="0" w:color="auto"/>
              <w:right w:val="single" w:sz="4" w:space="0" w:color="auto"/>
            </w:tcBorders>
            <w:vAlign w:val="center"/>
          </w:tcPr>
          <w:p w14:paraId="03BF785C" w14:textId="24162449" w:rsidR="00815A54" w:rsidRPr="002714B2" w:rsidRDefault="00815A54" w:rsidP="00D06A85">
            <w:pPr>
              <w:spacing w:line="240" w:lineRule="auto"/>
              <w:jc w:val="center"/>
              <w:rPr>
                <w:rFonts w:ascii="Arial" w:hAnsi="Arial" w:cs="Arial"/>
                <w:b/>
                <w:sz w:val="18"/>
                <w:szCs w:val="18"/>
              </w:rPr>
            </w:pPr>
            <w:r w:rsidRPr="002714B2">
              <w:rPr>
                <w:rFonts w:ascii="Arial" w:hAnsi="Arial" w:cs="Arial"/>
                <w:b/>
                <w:sz w:val="18"/>
                <w:szCs w:val="18"/>
              </w:rPr>
              <w:t>-27.8</w:t>
            </w:r>
          </w:p>
        </w:tc>
      </w:tr>
      <w:tr w:rsidR="00815A54" w:rsidRPr="003716B5" w14:paraId="4437C4FB" w14:textId="1921983E" w:rsidTr="003A34AF">
        <w:trPr>
          <w:trHeight w:val="363"/>
          <w:jc w:val="center"/>
        </w:trPr>
        <w:tc>
          <w:tcPr>
            <w:tcW w:w="1260" w:type="dxa"/>
            <w:vMerge w:val="restart"/>
            <w:tcBorders>
              <w:top w:val="single" w:sz="4" w:space="0" w:color="auto"/>
              <w:left w:val="single" w:sz="4" w:space="0" w:color="auto"/>
              <w:right w:val="single" w:sz="4" w:space="0" w:color="auto"/>
            </w:tcBorders>
            <w:vAlign w:val="center"/>
          </w:tcPr>
          <w:p w14:paraId="273EA1F4"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b/>
                <w:sz w:val="18"/>
                <w:szCs w:val="18"/>
              </w:rPr>
              <w:t>Santa Ana River at MWD Crossing</w:t>
            </w:r>
            <w:r w:rsidRPr="002714B2">
              <w:rPr>
                <w:rFonts w:ascii="Arial" w:hAnsi="Arial" w:cs="Arial"/>
                <w:b/>
                <w:sz w:val="18"/>
                <w:szCs w:val="18"/>
              </w:rPr>
              <w:br/>
              <w:t>(WW-S1)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28D7C730" w14:textId="77777777" w:rsidR="00815A54" w:rsidRPr="002714B2" w:rsidRDefault="00815A54" w:rsidP="00FB4A3C">
            <w:pPr>
              <w:spacing w:line="240" w:lineRule="auto"/>
              <w:rPr>
                <w:rFonts w:ascii="Arial" w:hAnsi="Arial" w:cs="Arial"/>
                <w:sz w:val="18"/>
                <w:szCs w:val="18"/>
              </w:rPr>
            </w:pPr>
            <w:r w:rsidRPr="002714B2">
              <w:rPr>
                <w:rFonts w:ascii="Arial" w:hAnsi="Arial" w:cs="Arial"/>
                <w:sz w:val="18"/>
                <w:szCs w:val="18"/>
              </w:rPr>
              <w:t>T1-MCSD</w:t>
            </w:r>
          </w:p>
        </w:tc>
        <w:tc>
          <w:tcPr>
            <w:tcW w:w="1395" w:type="dxa"/>
            <w:tcBorders>
              <w:top w:val="single" w:sz="4" w:space="0" w:color="auto"/>
              <w:left w:val="single" w:sz="4" w:space="0" w:color="auto"/>
              <w:bottom w:val="single" w:sz="4" w:space="0" w:color="auto"/>
              <w:right w:val="single" w:sz="4" w:space="0" w:color="auto"/>
            </w:tcBorders>
            <w:vAlign w:val="center"/>
          </w:tcPr>
          <w:p w14:paraId="79014317" w14:textId="6F015FD6"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NM</w:t>
            </w:r>
          </w:p>
        </w:tc>
        <w:tc>
          <w:tcPr>
            <w:tcW w:w="1395" w:type="dxa"/>
            <w:tcBorders>
              <w:top w:val="single" w:sz="4" w:space="0" w:color="auto"/>
              <w:left w:val="single" w:sz="4" w:space="0" w:color="auto"/>
              <w:bottom w:val="single" w:sz="4" w:space="0" w:color="auto"/>
              <w:right w:val="single" w:sz="4" w:space="0" w:color="auto"/>
            </w:tcBorders>
            <w:noWrap/>
            <w:vAlign w:val="center"/>
          </w:tcPr>
          <w:p w14:paraId="4077D493"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4.9</w:t>
            </w:r>
          </w:p>
        </w:tc>
        <w:tc>
          <w:tcPr>
            <w:tcW w:w="1395" w:type="dxa"/>
            <w:tcBorders>
              <w:top w:val="single" w:sz="4" w:space="0" w:color="auto"/>
              <w:left w:val="single" w:sz="4" w:space="0" w:color="auto"/>
              <w:bottom w:val="single" w:sz="4" w:space="0" w:color="auto"/>
              <w:right w:val="nil"/>
            </w:tcBorders>
            <w:noWrap/>
            <w:vAlign w:val="center"/>
          </w:tcPr>
          <w:p w14:paraId="5022D1C2"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35.3</w:t>
            </w:r>
          </w:p>
        </w:tc>
        <w:tc>
          <w:tcPr>
            <w:tcW w:w="1395" w:type="dxa"/>
            <w:tcBorders>
              <w:top w:val="single" w:sz="4" w:space="0" w:color="auto"/>
              <w:left w:val="single" w:sz="4" w:space="0" w:color="auto"/>
              <w:bottom w:val="single" w:sz="4" w:space="0" w:color="auto"/>
              <w:right w:val="single" w:sz="4" w:space="0" w:color="auto"/>
            </w:tcBorders>
            <w:vAlign w:val="center"/>
          </w:tcPr>
          <w:p w14:paraId="62D5EED1" w14:textId="7B551A93"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38.1</w:t>
            </w:r>
          </w:p>
        </w:tc>
      </w:tr>
      <w:tr w:rsidR="00815A54" w:rsidRPr="003716B5" w14:paraId="38CC08C0" w14:textId="32A26E0B" w:rsidTr="003A34AF">
        <w:trPr>
          <w:trHeight w:val="363"/>
          <w:jc w:val="center"/>
        </w:trPr>
        <w:tc>
          <w:tcPr>
            <w:tcW w:w="1260" w:type="dxa"/>
            <w:vMerge/>
            <w:tcBorders>
              <w:left w:val="single" w:sz="4" w:space="0" w:color="auto"/>
              <w:right w:val="single" w:sz="4" w:space="0" w:color="auto"/>
            </w:tcBorders>
            <w:vAlign w:val="center"/>
          </w:tcPr>
          <w:p w14:paraId="2A8CB118" w14:textId="77777777" w:rsidR="00815A54" w:rsidRPr="002714B2" w:rsidRDefault="00815A54" w:rsidP="00A424CD">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7272AC60" w14:textId="77777777" w:rsidR="00815A54" w:rsidRPr="002714B2" w:rsidRDefault="00815A54" w:rsidP="00FB4A3C">
            <w:pPr>
              <w:spacing w:line="240" w:lineRule="auto"/>
              <w:rPr>
                <w:rFonts w:ascii="Arial" w:hAnsi="Arial" w:cs="Arial"/>
                <w:sz w:val="18"/>
                <w:szCs w:val="18"/>
              </w:rPr>
            </w:pPr>
            <w:r w:rsidRPr="002714B2">
              <w:rPr>
                <w:rFonts w:ascii="Arial" w:hAnsi="Arial" w:cs="Arial"/>
                <w:sz w:val="18"/>
                <w:szCs w:val="18"/>
              </w:rPr>
              <w:t>T1-SNCH</w:t>
            </w:r>
          </w:p>
        </w:tc>
        <w:tc>
          <w:tcPr>
            <w:tcW w:w="1395" w:type="dxa"/>
            <w:tcBorders>
              <w:top w:val="single" w:sz="4" w:space="0" w:color="auto"/>
              <w:left w:val="single" w:sz="4" w:space="0" w:color="auto"/>
              <w:bottom w:val="single" w:sz="4" w:space="0" w:color="auto"/>
              <w:right w:val="single" w:sz="4" w:space="0" w:color="auto"/>
            </w:tcBorders>
            <w:vAlign w:val="center"/>
          </w:tcPr>
          <w:p w14:paraId="344BC3BB"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9.0</w:t>
            </w:r>
          </w:p>
        </w:tc>
        <w:tc>
          <w:tcPr>
            <w:tcW w:w="1395" w:type="dxa"/>
            <w:tcBorders>
              <w:top w:val="single" w:sz="4" w:space="0" w:color="auto"/>
              <w:left w:val="single" w:sz="4" w:space="0" w:color="auto"/>
              <w:bottom w:val="single" w:sz="4" w:space="0" w:color="auto"/>
              <w:right w:val="single" w:sz="4" w:space="0" w:color="auto"/>
            </w:tcBorders>
            <w:noWrap/>
            <w:vAlign w:val="center"/>
          </w:tcPr>
          <w:p w14:paraId="59A0A34A"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15.6</w:t>
            </w:r>
          </w:p>
        </w:tc>
        <w:tc>
          <w:tcPr>
            <w:tcW w:w="1395" w:type="dxa"/>
            <w:tcBorders>
              <w:top w:val="single" w:sz="4" w:space="0" w:color="auto"/>
              <w:left w:val="single" w:sz="4" w:space="0" w:color="auto"/>
              <w:bottom w:val="single" w:sz="4" w:space="0" w:color="auto"/>
              <w:right w:val="nil"/>
            </w:tcBorders>
            <w:noWrap/>
            <w:vAlign w:val="center"/>
          </w:tcPr>
          <w:p w14:paraId="02A53D3B"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7.0</w:t>
            </w:r>
          </w:p>
        </w:tc>
        <w:tc>
          <w:tcPr>
            <w:tcW w:w="1395" w:type="dxa"/>
            <w:tcBorders>
              <w:top w:val="single" w:sz="4" w:space="0" w:color="auto"/>
              <w:left w:val="single" w:sz="4" w:space="0" w:color="auto"/>
              <w:bottom w:val="single" w:sz="4" w:space="0" w:color="auto"/>
              <w:right w:val="single" w:sz="4" w:space="0" w:color="auto"/>
            </w:tcBorders>
            <w:vAlign w:val="center"/>
          </w:tcPr>
          <w:p w14:paraId="182AB0C4" w14:textId="4DC68A0C" w:rsidR="00815A54" w:rsidRPr="002714B2" w:rsidRDefault="00D54CF7" w:rsidP="00A424CD">
            <w:pPr>
              <w:spacing w:line="240" w:lineRule="auto"/>
              <w:jc w:val="center"/>
              <w:rPr>
                <w:rFonts w:ascii="Arial" w:hAnsi="Arial" w:cs="Arial"/>
                <w:sz w:val="18"/>
                <w:szCs w:val="18"/>
              </w:rPr>
            </w:pPr>
            <w:r w:rsidRPr="002714B2">
              <w:rPr>
                <w:rFonts w:ascii="Arial" w:hAnsi="Arial" w:cs="Arial"/>
                <w:sz w:val="18"/>
                <w:szCs w:val="18"/>
              </w:rPr>
              <w:t>6.1</w:t>
            </w:r>
          </w:p>
        </w:tc>
      </w:tr>
      <w:tr w:rsidR="00815A54" w:rsidRPr="003716B5" w14:paraId="749EA7C2" w14:textId="24031ACA" w:rsidTr="003A34AF">
        <w:trPr>
          <w:trHeight w:val="363"/>
          <w:jc w:val="center"/>
        </w:trPr>
        <w:tc>
          <w:tcPr>
            <w:tcW w:w="1260" w:type="dxa"/>
            <w:vMerge/>
            <w:tcBorders>
              <w:left w:val="single" w:sz="4" w:space="0" w:color="auto"/>
              <w:right w:val="single" w:sz="4" w:space="0" w:color="auto"/>
            </w:tcBorders>
            <w:vAlign w:val="center"/>
          </w:tcPr>
          <w:p w14:paraId="06788B6A" w14:textId="77777777" w:rsidR="00815A54" w:rsidRPr="002714B2" w:rsidRDefault="00815A54" w:rsidP="00A424CD">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598916EE" w14:textId="77777777" w:rsidR="00815A54" w:rsidRPr="002714B2" w:rsidRDefault="00815A54" w:rsidP="00FB4A3C">
            <w:pPr>
              <w:spacing w:line="240" w:lineRule="auto"/>
              <w:rPr>
                <w:rFonts w:ascii="Arial" w:hAnsi="Arial" w:cs="Arial"/>
                <w:sz w:val="18"/>
                <w:szCs w:val="18"/>
              </w:rPr>
            </w:pPr>
            <w:r w:rsidRPr="002714B2">
              <w:rPr>
                <w:rFonts w:ascii="Arial" w:hAnsi="Arial" w:cs="Arial"/>
                <w:sz w:val="18"/>
                <w:szCs w:val="18"/>
              </w:rPr>
              <w:t>T1-BXSP</w:t>
            </w:r>
          </w:p>
        </w:tc>
        <w:tc>
          <w:tcPr>
            <w:tcW w:w="1395" w:type="dxa"/>
            <w:tcBorders>
              <w:top w:val="single" w:sz="4" w:space="0" w:color="auto"/>
              <w:left w:val="single" w:sz="4" w:space="0" w:color="auto"/>
              <w:bottom w:val="single" w:sz="4" w:space="0" w:color="auto"/>
              <w:right w:val="single" w:sz="4" w:space="0" w:color="auto"/>
            </w:tcBorders>
            <w:vAlign w:val="center"/>
          </w:tcPr>
          <w:p w14:paraId="7B4195DA"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75.0</w:t>
            </w:r>
          </w:p>
        </w:tc>
        <w:tc>
          <w:tcPr>
            <w:tcW w:w="1395" w:type="dxa"/>
            <w:tcBorders>
              <w:top w:val="single" w:sz="4" w:space="0" w:color="auto"/>
              <w:left w:val="single" w:sz="4" w:space="0" w:color="auto"/>
              <w:bottom w:val="single" w:sz="4" w:space="0" w:color="auto"/>
              <w:right w:val="single" w:sz="4" w:space="0" w:color="auto"/>
            </w:tcBorders>
            <w:noWrap/>
            <w:vAlign w:val="center"/>
          </w:tcPr>
          <w:p w14:paraId="1E1ED3E5" w14:textId="77777777"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25.5</w:t>
            </w:r>
          </w:p>
        </w:tc>
        <w:tc>
          <w:tcPr>
            <w:tcW w:w="1395" w:type="dxa"/>
            <w:tcBorders>
              <w:top w:val="single" w:sz="4" w:space="0" w:color="auto"/>
              <w:left w:val="single" w:sz="4" w:space="0" w:color="auto"/>
              <w:bottom w:val="single" w:sz="4" w:space="0" w:color="auto"/>
              <w:right w:val="nil"/>
            </w:tcBorders>
            <w:noWrap/>
            <w:vAlign w:val="center"/>
          </w:tcPr>
          <w:p w14:paraId="1FB3A9DF" w14:textId="54AAC13B"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3.</w:t>
            </w:r>
            <w:r w:rsidR="004700B1" w:rsidRPr="002714B2">
              <w:rPr>
                <w:rFonts w:ascii="Arial" w:hAnsi="Arial" w:cs="Arial"/>
                <w:sz w:val="18"/>
                <w:szCs w:val="18"/>
              </w:rPr>
              <w:t>1</w:t>
            </w:r>
          </w:p>
        </w:tc>
        <w:tc>
          <w:tcPr>
            <w:tcW w:w="1395" w:type="dxa"/>
            <w:tcBorders>
              <w:top w:val="single" w:sz="4" w:space="0" w:color="auto"/>
              <w:left w:val="single" w:sz="4" w:space="0" w:color="auto"/>
              <w:bottom w:val="single" w:sz="4" w:space="0" w:color="auto"/>
              <w:right w:val="single" w:sz="4" w:space="0" w:color="auto"/>
            </w:tcBorders>
            <w:vAlign w:val="center"/>
          </w:tcPr>
          <w:p w14:paraId="4A8893E5" w14:textId="3686E81D" w:rsidR="00815A54" w:rsidRPr="002714B2" w:rsidRDefault="00815A54" w:rsidP="00A424CD">
            <w:pPr>
              <w:spacing w:line="240" w:lineRule="auto"/>
              <w:jc w:val="center"/>
              <w:rPr>
                <w:rFonts w:ascii="Arial" w:hAnsi="Arial" w:cs="Arial"/>
                <w:sz w:val="18"/>
                <w:szCs w:val="18"/>
              </w:rPr>
            </w:pPr>
            <w:r w:rsidRPr="002714B2">
              <w:rPr>
                <w:rFonts w:ascii="Arial" w:hAnsi="Arial" w:cs="Arial"/>
                <w:sz w:val="18"/>
                <w:szCs w:val="18"/>
              </w:rPr>
              <w:t>12.2</w:t>
            </w:r>
          </w:p>
        </w:tc>
      </w:tr>
      <w:tr w:rsidR="00815A54" w:rsidRPr="003716B5" w14:paraId="62CCBF5E" w14:textId="72753263" w:rsidTr="003A34AF">
        <w:trPr>
          <w:trHeight w:val="363"/>
          <w:jc w:val="center"/>
        </w:trPr>
        <w:tc>
          <w:tcPr>
            <w:tcW w:w="1260" w:type="dxa"/>
            <w:vMerge/>
            <w:tcBorders>
              <w:left w:val="single" w:sz="4" w:space="0" w:color="auto"/>
              <w:right w:val="single" w:sz="4" w:space="0" w:color="auto"/>
            </w:tcBorders>
            <w:vAlign w:val="center"/>
          </w:tcPr>
          <w:p w14:paraId="778DABD7" w14:textId="77777777" w:rsidR="00815A54" w:rsidRPr="002714B2" w:rsidRDefault="00815A54" w:rsidP="0057071C">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11064182" w14:textId="50406992" w:rsidR="00815A54" w:rsidRPr="002714B2" w:rsidRDefault="00815A54" w:rsidP="00FB4A3C">
            <w:pPr>
              <w:spacing w:line="240" w:lineRule="auto"/>
              <w:rPr>
                <w:rFonts w:ascii="Arial" w:hAnsi="Arial" w:cs="Arial"/>
                <w:b/>
                <w:sz w:val="18"/>
                <w:szCs w:val="18"/>
              </w:rPr>
            </w:pPr>
            <w:r w:rsidRPr="002714B2">
              <w:rPr>
                <w:rFonts w:ascii="Arial" w:hAnsi="Arial" w:cs="Arial"/>
                <w:sz w:val="18"/>
                <w:szCs w:val="18"/>
              </w:rPr>
              <w:t>OTHER (2007 est.)</w:t>
            </w:r>
            <w:r w:rsidRPr="002714B2">
              <w:rPr>
                <w:rFonts w:ascii="Arial" w:hAnsi="Arial" w:cs="Arial"/>
                <w:sz w:val="18"/>
                <w:szCs w:val="18"/>
                <w:vertAlign w:val="superscript"/>
              </w:rPr>
              <w:t>1</w:t>
            </w:r>
          </w:p>
        </w:tc>
        <w:tc>
          <w:tcPr>
            <w:tcW w:w="1395" w:type="dxa"/>
            <w:tcBorders>
              <w:top w:val="single" w:sz="4" w:space="0" w:color="auto"/>
              <w:left w:val="single" w:sz="4" w:space="0" w:color="auto"/>
              <w:bottom w:val="single" w:sz="4" w:space="0" w:color="auto"/>
              <w:right w:val="single" w:sz="4" w:space="0" w:color="auto"/>
            </w:tcBorders>
            <w:vAlign w:val="center"/>
          </w:tcPr>
          <w:p w14:paraId="380BC901" w14:textId="77777777" w:rsidR="00815A54" w:rsidRPr="002714B2" w:rsidRDefault="00815A54" w:rsidP="00F52860">
            <w:pPr>
              <w:spacing w:line="240" w:lineRule="auto"/>
              <w:jc w:val="center"/>
              <w:rPr>
                <w:rFonts w:ascii="Arial" w:hAnsi="Arial" w:cs="Arial"/>
                <w:sz w:val="18"/>
                <w:szCs w:val="18"/>
              </w:rPr>
            </w:pPr>
            <w:r w:rsidRPr="002714B2">
              <w:rPr>
                <w:rFonts w:ascii="Arial" w:hAnsi="Arial" w:cs="Arial"/>
                <w:sz w:val="18"/>
                <w:szCs w:val="18"/>
              </w:rPr>
              <w:t>10.0</w:t>
            </w:r>
          </w:p>
        </w:tc>
        <w:tc>
          <w:tcPr>
            <w:tcW w:w="1395" w:type="dxa"/>
            <w:tcBorders>
              <w:top w:val="single" w:sz="4" w:space="0" w:color="auto"/>
              <w:left w:val="single" w:sz="4" w:space="0" w:color="auto"/>
              <w:bottom w:val="single" w:sz="4" w:space="0" w:color="auto"/>
              <w:right w:val="single" w:sz="4" w:space="0" w:color="auto"/>
            </w:tcBorders>
            <w:noWrap/>
            <w:vAlign w:val="center"/>
          </w:tcPr>
          <w:p w14:paraId="372B0EB8" w14:textId="1884C6F2" w:rsidR="00815A54" w:rsidRPr="002714B2" w:rsidRDefault="00815A54" w:rsidP="00F52860">
            <w:pPr>
              <w:spacing w:line="240" w:lineRule="auto"/>
              <w:jc w:val="center"/>
              <w:rPr>
                <w:rFonts w:ascii="Arial" w:hAnsi="Arial" w:cs="Arial"/>
                <w:sz w:val="18"/>
                <w:szCs w:val="18"/>
              </w:rPr>
            </w:pPr>
          </w:p>
        </w:tc>
        <w:tc>
          <w:tcPr>
            <w:tcW w:w="1395" w:type="dxa"/>
            <w:tcBorders>
              <w:top w:val="single" w:sz="4" w:space="0" w:color="auto"/>
              <w:left w:val="single" w:sz="4" w:space="0" w:color="auto"/>
              <w:bottom w:val="single" w:sz="4" w:space="0" w:color="auto"/>
              <w:right w:val="single" w:sz="4" w:space="0" w:color="auto"/>
            </w:tcBorders>
            <w:noWrap/>
            <w:vAlign w:val="center"/>
          </w:tcPr>
          <w:p w14:paraId="09E07D24" w14:textId="49C7FEBF" w:rsidR="00815A54" w:rsidRPr="002714B2" w:rsidRDefault="00815A54" w:rsidP="00F52860">
            <w:pPr>
              <w:spacing w:line="240" w:lineRule="auto"/>
              <w:jc w:val="center"/>
              <w:rPr>
                <w:rFonts w:ascii="Arial" w:hAnsi="Arial" w:cs="Arial"/>
                <w:sz w:val="18"/>
                <w:szCs w:val="18"/>
              </w:rPr>
            </w:pPr>
          </w:p>
        </w:tc>
        <w:tc>
          <w:tcPr>
            <w:tcW w:w="1395" w:type="dxa"/>
            <w:tcBorders>
              <w:top w:val="single" w:sz="4" w:space="0" w:color="auto"/>
              <w:left w:val="single" w:sz="4" w:space="0" w:color="auto"/>
              <w:bottom w:val="single" w:sz="4" w:space="0" w:color="auto"/>
              <w:right w:val="single" w:sz="4" w:space="0" w:color="auto"/>
            </w:tcBorders>
            <w:vAlign w:val="center"/>
          </w:tcPr>
          <w:p w14:paraId="042D8ED2" w14:textId="7AA0BF0F" w:rsidR="00815A54" w:rsidRPr="002714B2" w:rsidRDefault="00815A54" w:rsidP="00A424CD">
            <w:pPr>
              <w:spacing w:line="240" w:lineRule="auto"/>
              <w:jc w:val="center"/>
              <w:rPr>
                <w:rFonts w:ascii="Arial" w:hAnsi="Arial" w:cs="Arial"/>
                <w:sz w:val="18"/>
                <w:szCs w:val="18"/>
              </w:rPr>
            </w:pPr>
          </w:p>
        </w:tc>
      </w:tr>
      <w:tr w:rsidR="00815A54" w:rsidRPr="003716B5" w14:paraId="0891F0F3" w14:textId="5B5EA8FA" w:rsidTr="00815A54">
        <w:trPr>
          <w:trHeight w:val="363"/>
          <w:jc w:val="center"/>
        </w:trPr>
        <w:tc>
          <w:tcPr>
            <w:tcW w:w="1260" w:type="dxa"/>
            <w:vMerge/>
            <w:tcBorders>
              <w:left w:val="single" w:sz="4" w:space="0" w:color="auto"/>
              <w:right w:val="single" w:sz="4" w:space="0" w:color="auto"/>
            </w:tcBorders>
            <w:vAlign w:val="center"/>
          </w:tcPr>
          <w:p w14:paraId="63D65203" w14:textId="77777777" w:rsidR="00815A54" w:rsidRPr="002714B2" w:rsidRDefault="00815A54" w:rsidP="0057071C">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30152744" w14:textId="77777777" w:rsidR="00815A54" w:rsidRPr="002714B2" w:rsidRDefault="00815A54" w:rsidP="0057071C">
            <w:pPr>
              <w:spacing w:line="240" w:lineRule="auto"/>
              <w:rPr>
                <w:rFonts w:ascii="Arial" w:hAnsi="Arial" w:cs="Arial"/>
                <w:b/>
                <w:sz w:val="18"/>
                <w:szCs w:val="18"/>
              </w:rPr>
            </w:pPr>
            <w:r w:rsidRPr="002714B2">
              <w:rPr>
                <w:rFonts w:ascii="Arial" w:hAnsi="Arial" w:cs="Arial"/>
                <w:b/>
                <w:sz w:val="18"/>
                <w:szCs w:val="18"/>
              </w:rPr>
              <w:t>Subtotal (WW-S1)</w:t>
            </w:r>
          </w:p>
        </w:tc>
        <w:tc>
          <w:tcPr>
            <w:tcW w:w="1395" w:type="dxa"/>
            <w:tcBorders>
              <w:top w:val="single" w:sz="4" w:space="0" w:color="auto"/>
              <w:left w:val="single" w:sz="4" w:space="0" w:color="auto"/>
              <w:bottom w:val="single" w:sz="4" w:space="0" w:color="auto"/>
              <w:right w:val="single" w:sz="4" w:space="0" w:color="auto"/>
            </w:tcBorders>
            <w:vAlign w:val="center"/>
          </w:tcPr>
          <w:p w14:paraId="36901DF1" w14:textId="77777777"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94.0</w:t>
            </w:r>
          </w:p>
        </w:tc>
        <w:tc>
          <w:tcPr>
            <w:tcW w:w="1395" w:type="dxa"/>
            <w:tcBorders>
              <w:top w:val="single" w:sz="4" w:space="0" w:color="auto"/>
              <w:left w:val="single" w:sz="4" w:space="0" w:color="auto"/>
              <w:bottom w:val="single" w:sz="4" w:space="0" w:color="auto"/>
              <w:right w:val="single" w:sz="4" w:space="0" w:color="auto"/>
            </w:tcBorders>
            <w:noWrap/>
            <w:vAlign w:val="center"/>
          </w:tcPr>
          <w:p w14:paraId="51D96FE8" w14:textId="66014986"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46.1</w:t>
            </w:r>
          </w:p>
        </w:tc>
        <w:tc>
          <w:tcPr>
            <w:tcW w:w="1395" w:type="dxa"/>
            <w:tcBorders>
              <w:top w:val="single" w:sz="4" w:space="0" w:color="auto"/>
              <w:left w:val="single" w:sz="4" w:space="0" w:color="auto"/>
              <w:bottom w:val="single" w:sz="4" w:space="0" w:color="auto"/>
              <w:right w:val="nil"/>
            </w:tcBorders>
            <w:noWrap/>
            <w:vAlign w:val="center"/>
          </w:tcPr>
          <w:p w14:paraId="1DA6EA74" w14:textId="44CC2C2C"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46.0</w:t>
            </w:r>
          </w:p>
        </w:tc>
        <w:tc>
          <w:tcPr>
            <w:tcW w:w="1395" w:type="dxa"/>
            <w:tcBorders>
              <w:top w:val="single" w:sz="4" w:space="0" w:color="auto"/>
              <w:left w:val="single" w:sz="4" w:space="0" w:color="auto"/>
              <w:bottom w:val="single" w:sz="4" w:space="0" w:color="auto"/>
              <w:right w:val="single" w:sz="4" w:space="0" w:color="auto"/>
            </w:tcBorders>
            <w:vAlign w:val="center"/>
          </w:tcPr>
          <w:p w14:paraId="277D2F72" w14:textId="35C3CA3A"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5</w:t>
            </w:r>
            <w:r w:rsidR="00D54CF7" w:rsidRPr="002714B2">
              <w:rPr>
                <w:rFonts w:ascii="Arial" w:hAnsi="Arial" w:cs="Arial"/>
                <w:b/>
                <w:sz w:val="18"/>
                <w:szCs w:val="18"/>
              </w:rPr>
              <w:t>6.4</w:t>
            </w:r>
          </w:p>
        </w:tc>
      </w:tr>
      <w:tr w:rsidR="00815A54" w:rsidRPr="003716B5" w14:paraId="261BFB2A" w14:textId="77777777" w:rsidTr="00815A54">
        <w:trPr>
          <w:trHeight w:val="363"/>
          <w:jc w:val="center"/>
        </w:trPr>
        <w:tc>
          <w:tcPr>
            <w:tcW w:w="1260" w:type="dxa"/>
            <w:vMerge/>
            <w:tcBorders>
              <w:left w:val="single" w:sz="4" w:space="0" w:color="auto"/>
              <w:bottom w:val="single" w:sz="4" w:space="0" w:color="auto"/>
              <w:right w:val="single" w:sz="4" w:space="0" w:color="auto"/>
            </w:tcBorders>
            <w:vAlign w:val="center"/>
          </w:tcPr>
          <w:p w14:paraId="1A741211" w14:textId="77777777" w:rsidR="00815A54" w:rsidRPr="002714B2" w:rsidRDefault="00815A54" w:rsidP="000B5A74">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71E5D231" w14:textId="4C837650" w:rsidR="00815A54" w:rsidRPr="002714B2" w:rsidRDefault="00815A54" w:rsidP="000B5A74">
            <w:pPr>
              <w:spacing w:line="240" w:lineRule="auto"/>
              <w:rPr>
                <w:rFonts w:ascii="Arial" w:hAnsi="Arial" w:cs="Arial"/>
                <w:b/>
                <w:sz w:val="18"/>
                <w:szCs w:val="18"/>
              </w:rPr>
            </w:pPr>
            <w:r w:rsidRPr="002714B2">
              <w:rPr>
                <w:rFonts w:ascii="Arial" w:hAnsi="Arial" w:cs="Arial"/>
                <w:b/>
                <w:sz w:val="18"/>
                <w:szCs w:val="18"/>
              </w:rPr>
              <w:t>Reduction from CBRP Baseline</w:t>
            </w:r>
          </w:p>
        </w:tc>
        <w:tc>
          <w:tcPr>
            <w:tcW w:w="1395" w:type="dxa"/>
            <w:tcBorders>
              <w:top w:val="single" w:sz="4" w:space="0" w:color="auto"/>
              <w:left w:val="single" w:sz="4" w:space="0" w:color="auto"/>
              <w:bottom w:val="single" w:sz="4" w:space="0" w:color="auto"/>
              <w:right w:val="single" w:sz="4" w:space="0" w:color="auto"/>
            </w:tcBorders>
            <w:vAlign w:val="center"/>
          </w:tcPr>
          <w:p w14:paraId="18BD8E99" w14:textId="6A5EAA2F" w:rsidR="00815A54" w:rsidRPr="002714B2" w:rsidRDefault="00815A54" w:rsidP="000B5A74">
            <w:pPr>
              <w:spacing w:line="240" w:lineRule="auto"/>
              <w:jc w:val="center"/>
              <w:rPr>
                <w:rFonts w:ascii="Arial" w:hAnsi="Arial" w:cs="Arial"/>
                <w:b/>
                <w:sz w:val="18"/>
                <w:szCs w:val="18"/>
              </w:rPr>
            </w:pPr>
            <w:r w:rsidRPr="002714B2">
              <w:rPr>
                <w:rFonts w:ascii="Arial" w:hAnsi="Arial" w:cs="Arial"/>
                <w:b/>
                <w:sz w:val="18"/>
                <w:szCs w:val="18"/>
              </w:rPr>
              <w:t>n/a</w:t>
            </w:r>
          </w:p>
        </w:tc>
        <w:tc>
          <w:tcPr>
            <w:tcW w:w="1395" w:type="dxa"/>
            <w:tcBorders>
              <w:top w:val="single" w:sz="4" w:space="0" w:color="auto"/>
              <w:left w:val="single" w:sz="4" w:space="0" w:color="auto"/>
              <w:bottom w:val="single" w:sz="4" w:space="0" w:color="auto"/>
              <w:right w:val="single" w:sz="4" w:space="0" w:color="auto"/>
            </w:tcBorders>
            <w:noWrap/>
            <w:vAlign w:val="center"/>
          </w:tcPr>
          <w:p w14:paraId="3B145388" w14:textId="6DAB9CC1" w:rsidR="00815A54" w:rsidRPr="002714B2" w:rsidRDefault="00815A54" w:rsidP="000B5A74">
            <w:pPr>
              <w:spacing w:line="240" w:lineRule="auto"/>
              <w:jc w:val="center"/>
              <w:rPr>
                <w:rFonts w:ascii="Arial" w:hAnsi="Arial" w:cs="Arial"/>
                <w:b/>
                <w:sz w:val="18"/>
                <w:szCs w:val="18"/>
              </w:rPr>
            </w:pPr>
            <w:r w:rsidRPr="002714B2">
              <w:rPr>
                <w:rFonts w:ascii="Arial" w:hAnsi="Arial" w:cs="Arial"/>
                <w:b/>
                <w:sz w:val="18"/>
                <w:szCs w:val="18"/>
              </w:rPr>
              <w:t>-47.9</w:t>
            </w:r>
          </w:p>
        </w:tc>
        <w:tc>
          <w:tcPr>
            <w:tcW w:w="1395" w:type="dxa"/>
            <w:tcBorders>
              <w:top w:val="single" w:sz="4" w:space="0" w:color="auto"/>
              <w:left w:val="single" w:sz="4" w:space="0" w:color="auto"/>
              <w:bottom w:val="single" w:sz="4" w:space="0" w:color="auto"/>
              <w:right w:val="nil"/>
            </w:tcBorders>
            <w:noWrap/>
            <w:vAlign w:val="center"/>
          </w:tcPr>
          <w:p w14:paraId="15D55AFB" w14:textId="3118FBA5" w:rsidR="00815A54" w:rsidRPr="002714B2" w:rsidRDefault="00815A54" w:rsidP="000B5A74">
            <w:pPr>
              <w:spacing w:line="240" w:lineRule="auto"/>
              <w:jc w:val="center"/>
              <w:rPr>
                <w:rFonts w:ascii="Arial" w:hAnsi="Arial" w:cs="Arial"/>
                <w:b/>
                <w:sz w:val="18"/>
                <w:szCs w:val="18"/>
              </w:rPr>
            </w:pPr>
            <w:r w:rsidRPr="002714B2">
              <w:rPr>
                <w:rFonts w:ascii="Arial" w:hAnsi="Arial" w:cs="Arial"/>
                <w:b/>
                <w:sz w:val="18"/>
                <w:szCs w:val="18"/>
              </w:rPr>
              <w:t>-48.0</w:t>
            </w:r>
          </w:p>
        </w:tc>
        <w:tc>
          <w:tcPr>
            <w:tcW w:w="1395" w:type="dxa"/>
            <w:tcBorders>
              <w:top w:val="single" w:sz="4" w:space="0" w:color="auto"/>
              <w:left w:val="single" w:sz="4" w:space="0" w:color="auto"/>
              <w:bottom w:val="single" w:sz="4" w:space="0" w:color="auto"/>
              <w:right w:val="single" w:sz="4" w:space="0" w:color="auto"/>
            </w:tcBorders>
            <w:vAlign w:val="center"/>
          </w:tcPr>
          <w:p w14:paraId="3510091B" w14:textId="3331EC16" w:rsidR="00815A54" w:rsidRPr="002714B2" w:rsidRDefault="00815A54" w:rsidP="000B5A74">
            <w:pPr>
              <w:spacing w:line="240" w:lineRule="auto"/>
              <w:jc w:val="center"/>
              <w:rPr>
                <w:rFonts w:ascii="Arial" w:hAnsi="Arial" w:cs="Arial"/>
                <w:b/>
                <w:sz w:val="18"/>
                <w:szCs w:val="18"/>
              </w:rPr>
            </w:pPr>
            <w:r w:rsidRPr="002714B2">
              <w:rPr>
                <w:rFonts w:ascii="Arial" w:hAnsi="Arial" w:cs="Arial"/>
                <w:b/>
                <w:sz w:val="18"/>
                <w:szCs w:val="18"/>
              </w:rPr>
              <w:t>-3</w:t>
            </w:r>
            <w:r w:rsidR="00770A7B" w:rsidRPr="002714B2">
              <w:rPr>
                <w:rFonts w:ascii="Arial" w:hAnsi="Arial" w:cs="Arial"/>
                <w:b/>
                <w:sz w:val="18"/>
                <w:szCs w:val="18"/>
              </w:rPr>
              <w:t>7.6</w:t>
            </w:r>
          </w:p>
        </w:tc>
      </w:tr>
      <w:tr w:rsidR="00815A54" w:rsidRPr="003716B5" w14:paraId="6CAF2EB6" w14:textId="0AE5E371" w:rsidTr="003A34AF">
        <w:trPr>
          <w:trHeight w:val="363"/>
          <w:jc w:val="center"/>
        </w:trPr>
        <w:tc>
          <w:tcPr>
            <w:tcW w:w="1260" w:type="dxa"/>
            <w:vMerge w:val="restart"/>
            <w:tcBorders>
              <w:top w:val="nil"/>
              <w:left w:val="single" w:sz="4" w:space="0" w:color="auto"/>
              <w:right w:val="single" w:sz="4" w:space="0" w:color="auto"/>
            </w:tcBorders>
            <w:vAlign w:val="center"/>
          </w:tcPr>
          <w:p w14:paraId="61D54728"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b/>
                <w:sz w:val="18"/>
                <w:szCs w:val="18"/>
              </w:rPr>
              <w:t xml:space="preserve">Santa Ana River at Pedley Avenue </w:t>
            </w:r>
            <w:r w:rsidRPr="002714B2">
              <w:rPr>
                <w:rFonts w:ascii="Arial" w:hAnsi="Arial" w:cs="Arial"/>
                <w:b/>
                <w:sz w:val="18"/>
                <w:szCs w:val="18"/>
              </w:rPr>
              <w:br/>
              <w:t>(WW-S4)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4E17C22A" w14:textId="77777777" w:rsidR="00815A54" w:rsidRPr="002714B2" w:rsidRDefault="00815A54" w:rsidP="004C162B">
            <w:pPr>
              <w:spacing w:line="240" w:lineRule="auto"/>
              <w:rPr>
                <w:rFonts w:ascii="Arial" w:hAnsi="Arial" w:cs="Arial"/>
                <w:sz w:val="18"/>
                <w:szCs w:val="18"/>
              </w:rPr>
            </w:pPr>
            <w:r w:rsidRPr="002714B2">
              <w:rPr>
                <w:rFonts w:ascii="Arial" w:hAnsi="Arial" w:cs="Arial"/>
                <w:sz w:val="18"/>
                <w:szCs w:val="18"/>
              </w:rPr>
              <w:t>T1-ANZA</w:t>
            </w:r>
          </w:p>
        </w:tc>
        <w:tc>
          <w:tcPr>
            <w:tcW w:w="1395" w:type="dxa"/>
            <w:tcBorders>
              <w:top w:val="single" w:sz="4" w:space="0" w:color="auto"/>
              <w:left w:val="single" w:sz="4" w:space="0" w:color="auto"/>
              <w:bottom w:val="single" w:sz="4" w:space="0" w:color="auto"/>
              <w:right w:val="single" w:sz="4" w:space="0" w:color="auto"/>
            </w:tcBorders>
            <w:vAlign w:val="center"/>
          </w:tcPr>
          <w:p w14:paraId="0080B009"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31.0</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63EDF686"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16.9</w:t>
            </w:r>
          </w:p>
        </w:tc>
        <w:tc>
          <w:tcPr>
            <w:tcW w:w="1395" w:type="dxa"/>
            <w:tcBorders>
              <w:top w:val="single" w:sz="4" w:space="0" w:color="auto"/>
              <w:left w:val="single" w:sz="4" w:space="0" w:color="auto"/>
              <w:bottom w:val="single" w:sz="4" w:space="0" w:color="auto"/>
              <w:right w:val="nil"/>
            </w:tcBorders>
            <w:noWrap/>
            <w:vAlign w:val="center"/>
            <w:hideMark/>
          </w:tcPr>
          <w:p w14:paraId="3B1767CB"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7.3</w:t>
            </w:r>
          </w:p>
        </w:tc>
        <w:tc>
          <w:tcPr>
            <w:tcW w:w="1395" w:type="dxa"/>
            <w:tcBorders>
              <w:top w:val="single" w:sz="4" w:space="0" w:color="auto"/>
              <w:left w:val="single" w:sz="4" w:space="0" w:color="auto"/>
              <w:bottom w:val="single" w:sz="4" w:space="0" w:color="auto"/>
              <w:right w:val="single" w:sz="4" w:space="0" w:color="auto"/>
            </w:tcBorders>
            <w:vAlign w:val="center"/>
          </w:tcPr>
          <w:p w14:paraId="0BF5B862" w14:textId="31F028DC"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1.7</w:t>
            </w:r>
          </w:p>
        </w:tc>
      </w:tr>
      <w:tr w:rsidR="00815A54" w:rsidRPr="003716B5" w14:paraId="7CD700A3" w14:textId="3B029E3A" w:rsidTr="003A34AF">
        <w:trPr>
          <w:trHeight w:val="363"/>
          <w:jc w:val="center"/>
        </w:trPr>
        <w:tc>
          <w:tcPr>
            <w:tcW w:w="1260" w:type="dxa"/>
            <w:vMerge/>
            <w:tcBorders>
              <w:left w:val="single" w:sz="4" w:space="0" w:color="auto"/>
              <w:right w:val="single" w:sz="4" w:space="0" w:color="auto"/>
            </w:tcBorders>
            <w:vAlign w:val="center"/>
          </w:tcPr>
          <w:p w14:paraId="179FF547" w14:textId="77777777" w:rsidR="00815A54" w:rsidRPr="002714B2" w:rsidRDefault="00815A54" w:rsidP="004C162B">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6E9173B1" w14:textId="77777777" w:rsidR="00815A54" w:rsidRPr="002714B2" w:rsidRDefault="00815A54" w:rsidP="004C162B">
            <w:pPr>
              <w:spacing w:line="240" w:lineRule="auto"/>
              <w:rPr>
                <w:rFonts w:ascii="Arial" w:hAnsi="Arial" w:cs="Arial"/>
                <w:sz w:val="18"/>
                <w:szCs w:val="18"/>
              </w:rPr>
            </w:pPr>
            <w:r w:rsidRPr="002714B2">
              <w:rPr>
                <w:rFonts w:ascii="Arial" w:hAnsi="Arial" w:cs="Arial"/>
                <w:sz w:val="18"/>
                <w:szCs w:val="18"/>
              </w:rPr>
              <w:t>T1-SSCH</w:t>
            </w:r>
          </w:p>
        </w:tc>
        <w:tc>
          <w:tcPr>
            <w:tcW w:w="1395" w:type="dxa"/>
            <w:tcBorders>
              <w:top w:val="single" w:sz="4" w:space="0" w:color="auto"/>
              <w:left w:val="single" w:sz="4" w:space="0" w:color="auto"/>
              <w:bottom w:val="single" w:sz="4" w:space="0" w:color="auto"/>
              <w:right w:val="single" w:sz="4" w:space="0" w:color="auto"/>
            </w:tcBorders>
            <w:vAlign w:val="center"/>
          </w:tcPr>
          <w:p w14:paraId="5D103167"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10.0</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51443008"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29.3</w:t>
            </w:r>
          </w:p>
        </w:tc>
        <w:tc>
          <w:tcPr>
            <w:tcW w:w="1395" w:type="dxa"/>
            <w:tcBorders>
              <w:top w:val="single" w:sz="4" w:space="0" w:color="auto"/>
              <w:left w:val="single" w:sz="4" w:space="0" w:color="auto"/>
              <w:bottom w:val="single" w:sz="4" w:space="0" w:color="auto"/>
              <w:right w:val="nil"/>
            </w:tcBorders>
            <w:noWrap/>
            <w:vAlign w:val="center"/>
            <w:hideMark/>
          </w:tcPr>
          <w:p w14:paraId="3FF38729"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4.6</w:t>
            </w:r>
          </w:p>
        </w:tc>
        <w:tc>
          <w:tcPr>
            <w:tcW w:w="1395" w:type="dxa"/>
            <w:tcBorders>
              <w:top w:val="single" w:sz="4" w:space="0" w:color="auto"/>
              <w:left w:val="single" w:sz="4" w:space="0" w:color="auto"/>
              <w:bottom w:val="single" w:sz="4" w:space="0" w:color="auto"/>
              <w:right w:val="single" w:sz="4" w:space="0" w:color="auto"/>
            </w:tcBorders>
            <w:vAlign w:val="center"/>
          </w:tcPr>
          <w:p w14:paraId="7C950B14" w14:textId="655C519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7.9</w:t>
            </w:r>
          </w:p>
        </w:tc>
      </w:tr>
      <w:tr w:rsidR="00815A54" w:rsidRPr="003716B5" w14:paraId="1B8D58D2" w14:textId="1EDB4206" w:rsidTr="003A34AF">
        <w:trPr>
          <w:trHeight w:val="363"/>
          <w:jc w:val="center"/>
        </w:trPr>
        <w:tc>
          <w:tcPr>
            <w:tcW w:w="1260" w:type="dxa"/>
            <w:vMerge/>
            <w:tcBorders>
              <w:left w:val="single" w:sz="4" w:space="0" w:color="auto"/>
              <w:right w:val="single" w:sz="4" w:space="0" w:color="auto"/>
            </w:tcBorders>
            <w:vAlign w:val="center"/>
          </w:tcPr>
          <w:p w14:paraId="5F406F83" w14:textId="77777777" w:rsidR="00815A54" w:rsidRPr="002714B2" w:rsidRDefault="00815A54" w:rsidP="004C162B">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4602EFFF" w14:textId="77777777" w:rsidR="00815A54" w:rsidRPr="002714B2" w:rsidRDefault="00815A54" w:rsidP="004C162B">
            <w:pPr>
              <w:spacing w:line="240" w:lineRule="auto"/>
              <w:rPr>
                <w:rFonts w:ascii="Arial" w:hAnsi="Arial" w:cs="Arial"/>
                <w:sz w:val="18"/>
                <w:szCs w:val="18"/>
              </w:rPr>
            </w:pPr>
            <w:r w:rsidRPr="002714B2">
              <w:rPr>
                <w:rFonts w:ascii="Arial" w:hAnsi="Arial" w:cs="Arial"/>
                <w:sz w:val="18"/>
                <w:szCs w:val="18"/>
              </w:rPr>
              <w:t>T1-DAY</w:t>
            </w:r>
          </w:p>
        </w:tc>
        <w:tc>
          <w:tcPr>
            <w:tcW w:w="1395" w:type="dxa"/>
            <w:tcBorders>
              <w:top w:val="single" w:sz="4" w:space="0" w:color="auto"/>
              <w:left w:val="single" w:sz="4" w:space="0" w:color="auto"/>
              <w:bottom w:val="single" w:sz="4" w:space="0" w:color="auto"/>
              <w:right w:val="single" w:sz="4" w:space="0" w:color="auto"/>
            </w:tcBorders>
            <w:vAlign w:val="center"/>
          </w:tcPr>
          <w:p w14:paraId="79BDE9B1"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7.0</w:t>
            </w:r>
          </w:p>
        </w:tc>
        <w:tc>
          <w:tcPr>
            <w:tcW w:w="1395" w:type="dxa"/>
            <w:tcBorders>
              <w:top w:val="single" w:sz="4" w:space="0" w:color="auto"/>
              <w:left w:val="single" w:sz="4" w:space="0" w:color="auto"/>
              <w:bottom w:val="single" w:sz="4" w:space="0" w:color="auto"/>
              <w:right w:val="single" w:sz="4" w:space="0" w:color="auto"/>
            </w:tcBorders>
            <w:noWrap/>
            <w:vAlign w:val="center"/>
            <w:hideMark/>
          </w:tcPr>
          <w:p w14:paraId="05BB2643"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1.9</w:t>
            </w:r>
          </w:p>
        </w:tc>
        <w:tc>
          <w:tcPr>
            <w:tcW w:w="1395" w:type="dxa"/>
            <w:tcBorders>
              <w:top w:val="single" w:sz="4" w:space="0" w:color="auto"/>
              <w:left w:val="single" w:sz="4" w:space="0" w:color="auto"/>
              <w:bottom w:val="single" w:sz="4" w:space="0" w:color="auto"/>
              <w:right w:val="nil"/>
            </w:tcBorders>
            <w:noWrap/>
            <w:vAlign w:val="center"/>
            <w:hideMark/>
          </w:tcPr>
          <w:p w14:paraId="77B78EA9" w14:textId="77777777"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1.3</w:t>
            </w:r>
          </w:p>
        </w:tc>
        <w:tc>
          <w:tcPr>
            <w:tcW w:w="1395" w:type="dxa"/>
            <w:tcBorders>
              <w:top w:val="single" w:sz="4" w:space="0" w:color="auto"/>
              <w:left w:val="single" w:sz="4" w:space="0" w:color="auto"/>
              <w:bottom w:val="single" w:sz="4" w:space="0" w:color="auto"/>
              <w:right w:val="single" w:sz="4" w:space="0" w:color="auto"/>
            </w:tcBorders>
            <w:vAlign w:val="center"/>
          </w:tcPr>
          <w:p w14:paraId="57E8DDAF" w14:textId="21B30D9C" w:rsidR="00815A54" w:rsidRPr="002714B2" w:rsidRDefault="00815A54" w:rsidP="004C162B">
            <w:pPr>
              <w:spacing w:line="240" w:lineRule="auto"/>
              <w:jc w:val="center"/>
              <w:rPr>
                <w:rFonts w:ascii="Arial" w:hAnsi="Arial" w:cs="Arial"/>
                <w:sz w:val="18"/>
                <w:szCs w:val="18"/>
              </w:rPr>
            </w:pPr>
            <w:r w:rsidRPr="002714B2">
              <w:rPr>
                <w:rFonts w:ascii="Arial" w:hAnsi="Arial" w:cs="Arial"/>
                <w:sz w:val="18"/>
                <w:szCs w:val="18"/>
              </w:rPr>
              <w:t>3.1</w:t>
            </w:r>
          </w:p>
        </w:tc>
      </w:tr>
      <w:tr w:rsidR="00815A54" w:rsidRPr="003716B5" w14:paraId="5822CB88" w14:textId="07B0EAE6" w:rsidTr="003A34AF">
        <w:trPr>
          <w:trHeight w:val="363"/>
          <w:jc w:val="center"/>
        </w:trPr>
        <w:tc>
          <w:tcPr>
            <w:tcW w:w="1260" w:type="dxa"/>
            <w:vMerge/>
            <w:tcBorders>
              <w:left w:val="single" w:sz="4" w:space="0" w:color="auto"/>
              <w:right w:val="single" w:sz="4" w:space="0" w:color="auto"/>
            </w:tcBorders>
            <w:vAlign w:val="center"/>
          </w:tcPr>
          <w:p w14:paraId="18952664" w14:textId="77777777" w:rsidR="00815A54" w:rsidRPr="002714B2" w:rsidRDefault="00815A54" w:rsidP="0057071C">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2CEE835A" w14:textId="07821544" w:rsidR="00815A54" w:rsidRPr="002714B2" w:rsidRDefault="00815A54" w:rsidP="0057071C">
            <w:pPr>
              <w:spacing w:line="240" w:lineRule="auto"/>
              <w:rPr>
                <w:rFonts w:ascii="Arial" w:hAnsi="Arial" w:cs="Arial"/>
                <w:sz w:val="18"/>
                <w:szCs w:val="18"/>
              </w:rPr>
            </w:pPr>
            <w:r w:rsidRPr="002714B2">
              <w:rPr>
                <w:rFonts w:ascii="Arial" w:hAnsi="Arial" w:cs="Arial"/>
                <w:sz w:val="18"/>
                <w:szCs w:val="18"/>
              </w:rPr>
              <w:t>OTHER (2007 est.)</w:t>
            </w:r>
            <w:r w:rsidRPr="002714B2">
              <w:rPr>
                <w:rFonts w:ascii="Arial" w:hAnsi="Arial" w:cs="Arial"/>
                <w:sz w:val="18"/>
                <w:szCs w:val="18"/>
                <w:vertAlign w:val="superscript"/>
              </w:rPr>
              <w:t>1</w:t>
            </w:r>
          </w:p>
        </w:tc>
        <w:tc>
          <w:tcPr>
            <w:tcW w:w="1395" w:type="dxa"/>
            <w:tcBorders>
              <w:top w:val="single" w:sz="4" w:space="0" w:color="auto"/>
              <w:left w:val="single" w:sz="4" w:space="0" w:color="auto"/>
              <w:bottom w:val="single" w:sz="4" w:space="0" w:color="auto"/>
              <w:right w:val="single" w:sz="4" w:space="0" w:color="auto"/>
            </w:tcBorders>
            <w:vAlign w:val="center"/>
          </w:tcPr>
          <w:p w14:paraId="5531CFF0" w14:textId="77777777" w:rsidR="00815A54" w:rsidRPr="002714B2" w:rsidRDefault="00815A54" w:rsidP="0057071C">
            <w:pPr>
              <w:spacing w:line="240" w:lineRule="auto"/>
              <w:jc w:val="center"/>
              <w:rPr>
                <w:rFonts w:ascii="Arial" w:hAnsi="Arial" w:cs="Arial"/>
                <w:sz w:val="18"/>
                <w:szCs w:val="18"/>
              </w:rPr>
            </w:pPr>
            <w:r w:rsidRPr="002714B2">
              <w:rPr>
                <w:rFonts w:ascii="Arial" w:hAnsi="Arial" w:cs="Arial"/>
                <w:sz w:val="18"/>
                <w:szCs w:val="18"/>
              </w:rPr>
              <w:t>14.0</w:t>
            </w:r>
          </w:p>
        </w:tc>
        <w:tc>
          <w:tcPr>
            <w:tcW w:w="1395" w:type="dxa"/>
            <w:tcBorders>
              <w:top w:val="single" w:sz="4" w:space="0" w:color="auto"/>
              <w:left w:val="single" w:sz="4" w:space="0" w:color="auto"/>
              <w:bottom w:val="single" w:sz="4" w:space="0" w:color="auto"/>
              <w:right w:val="single" w:sz="4" w:space="0" w:color="auto"/>
            </w:tcBorders>
            <w:noWrap/>
            <w:vAlign w:val="center"/>
          </w:tcPr>
          <w:p w14:paraId="73030586" w14:textId="6E25563E" w:rsidR="00815A54" w:rsidRPr="002714B2" w:rsidRDefault="00815A54" w:rsidP="0057071C">
            <w:pPr>
              <w:spacing w:line="240" w:lineRule="auto"/>
              <w:jc w:val="center"/>
              <w:rPr>
                <w:rFonts w:ascii="Arial" w:hAnsi="Arial" w:cs="Arial"/>
                <w:sz w:val="18"/>
                <w:szCs w:val="18"/>
              </w:rPr>
            </w:pPr>
          </w:p>
        </w:tc>
        <w:tc>
          <w:tcPr>
            <w:tcW w:w="1395" w:type="dxa"/>
            <w:tcBorders>
              <w:top w:val="single" w:sz="4" w:space="0" w:color="auto"/>
              <w:left w:val="single" w:sz="4" w:space="0" w:color="auto"/>
              <w:bottom w:val="single" w:sz="4" w:space="0" w:color="auto"/>
              <w:right w:val="single" w:sz="4" w:space="0" w:color="auto"/>
            </w:tcBorders>
            <w:noWrap/>
            <w:vAlign w:val="center"/>
          </w:tcPr>
          <w:p w14:paraId="55F7CFA1" w14:textId="02A424D3" w:rsidR="00815A54" w:rsidRPr="002714B2" w:rsidRDefault="00815A54" w:rsidP="0057071C">
            <w:pPr>
              <w:spacing w:line="240" w:lineRule="auto"/>
              <w:jc w:val="center"/>
              <w:rPr>
                <w:rFonts w:ascii="Arial" w:hAnsi="Arial" w:cs="Arial"/>
                <w:sz w:val="18"/>
                <w:szCs w:val="18"/>
              </w:rPr>
            </w:pPr>
          </w:p>
        </w:tc>
        <w:tc>
          <w:tcPr>
            <w:tcW w:w="1395" w:type="dxa"/>
            <w:tcBorders>
              <w:top w:val="single" w:sz="4" w:space="0" w:color="auto"/>
              <w:left w:val="single" w:sz="4" w:space="0" w:color="auto"/>
              <w:bottom w:val="single" w:sz="4" w:space="0" w:color="auto"/>
              <w:right w:val="single" w:sz="4" w:space="0" w:color="auto"/>
            </w:tcBorders>
            <w:vAlign w:val="center"/>
          </w:tcPr>
          <w:p w14:paraId="1EE52756" w14:textId="6A493835" w:rsidR="00815A54" w:rsidRPr="002714B2" w:rsidRDefault="00815A54" w:rsidP="0057071C">
            <w:pPr>
              <w:spacing w:line="240" w:lineRule="auto"/>
              <w:jc w:val="center"/>
              <w:rPr>
                <w:rFonts w:ascii="Arial" w:hAnsi="Arial" w:cs="Arial"/>
                <w:sz w:val="18"/>
                <w:szCs w:val="18"/>
              </w:rPr>
            </w:pPr>
          </w:p>
        </w:tc>
      </w:tr>
      <w:tr w:rsidR="00815A54" w:rsidRPr="003716B5" w14:paraId="0B97566E" w14:textId="783DB785" w:rsidTr="00815A54">
        <w:trPr>
          <w:trHeight w:val="363"/>
          <w:jc w:val="center"/>
        </w:trPr>
        <w:tc>
          <w:tcPr>
            <w:tcW w:w="1260" w:type="dxa"/>
            <w:vMerge/>
            <w:tcBorders>
              <w:left w:val="single" w:sz="4" w:space="0" w:color="auto"/>
              <w:right w:val="single" w:sz="4" w:space="0" w:color="auto"/>
            </w:tcBorders>
            <w:vAlign w:val="center"/>
          </w:tcPr>
          <w:p w14:paraId="49E71093" w14:textId="77777777" w:rsidR="00815A54" w:rsidRPr="002714B2" w:rsidRDefault="00815A54" w:rsidP="0057071C">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4073AE05" w14:textId="77777777" w:rsidR="00815A54" w:rsidRPr="002714B2" w:rsidRDefault="00815A54" w:rsidP="0057071C">
            <w:pPr>
              <w:spacing w:line="240" w:lineRule="auto"/>
              <w:rPr>
                <w:rFonts w:ascii="Arial" w:hAnsi="Arial" w:cs="Arial"/>
                <w:b/>
                <w:sz w:val="18"/>
                <w:szCs w:val="18"/>
              </w:rPr>
            </w:pPr>
            <w:r w:rsidRPr="002714B2">
              <w:rPr>
                <w:rFonts w:ascii="Arial" w:hAnsi="Arial" w:cs="Arial"/>
                <w:b/>
                <w:sz w:val="18"/>
                <w:szCs w:val="18"/>
              </w:rPr>
              <w:t>Subtotal (WW-S4)</w:t>
            </w:r>
          </w:p>
        </w:tc>
        <w:tc>
          <w:tcPr>
            <w:tcW w:w="1395" w:type="dxa"/>
            <w:tcBorders>
              <w:top w:val="single" w:sz="4" w:space="0" w:color="auto"/>
              <w:left w:val="single" w:sz="4" w:space="0" w:color="auto"/>
              <w:bottom w:val="single" w:sz="4" w:space="0" w:color="auto"/>
              <w:right w:val="single" w:sz="4" w:space="0" w:color="auto"/>
            </w:tcBorders>
            <w:vAlign w:val="center"/>
          </w:tcPr>
          <w:p w14:paraId="30E7CEC2" w14:textId="77777777"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62.0</w:t>
            </w:r>
          </w:p>
        </w:tc>
        <w:tc>
          <w:tcPr>
            <w:tcW w:w="1395" w:type="dxa"/>
            <w:tcBorders>
              <w:top w:val="single" w:sz="4" w:space="0" w:color="auto"/>
              <w:left w:val="single" w:sz="4" w:space="0" w:color="auto"/>
              <w:bottom w:val="single" w:sz="4" w:space="0" w:color="auto"/>
              <w:right w:val="single" w:sz="4" w:space="0" w:color="auto"/>
            </w:tcBorders>
            <w:noWrap/>
            <w:vAlign w:val="center"/>
          </w:tcPr>
          <w:p w14:paraId="47F3B341" w14:textId="197C5251"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48.2</w:t>
            </w:r>
          </w:p>
        </w:tc>
        <w:tc>
          <w:tcPr>
            <w:tcW w:w="1395" w:type="dxa"/>
            <w:tcBorders>
              <w:top w:val="single" w:sz="4" w:space="0" w:color="auto"/>
              <w:left w:val="single" w:sz="4" w:space="0" w:color="auto"/>
              <w:bottom w:val="single" w:sz="4" w:space="0" w:color="auto"/>
              <w:right w:val="nil"/>
            </w:tcBorders>
            <w:noWrap/>
            <w:vAlign w:val="center"/>
          </w:tcPr>
          <w:p w14:paraId="6B30A917" w14:textId="1DDD1B8C"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13.1</w:t>
            </w:r>
          </w:p>
        </w:tc>
        <w:tc>
          <w:tcPr>
            <w:tcW w:w="1395" w:type="dxa"/>
            <w:tcBorders>
              <w:top w:val="single" w:sz="4" w:space="0" w:color="auto"/>
              <w:left w:val="single" w:sz="4" w:space="0" w:color="auto"/>
              <w:bottom w:val="single" w:sz="4" w:space="0" w:color="auto"/>
              <w:right w:val="single" w:sz="4" w:space="0" w:color="auto"/>
            </w:tcBorders>
            <w:vAlign w:val="center"/>
          </w:tcPr>
          <w:p w14:paraId="44D3C773" w14:textId="378FB761" w:rsidR="00815A54" w:rsidRPr="002714B2" w:rsidRDefault="00815A54" w:rsidP="0057071C">
            <w:pPr>
              <w:spacing w:line="240" w:lineRule="auto"/>
              <w:jc w:val="center"/>
              <w:rPr>
                <w:rFonts w:ascii="Arial" w:hAnsi="Arial" w:cs="Arial"/>
                <w:b/>
                <w:sz w:val="18"/>
                <w:szCs w:val="18"/>
              </w:rPr>
            </w:pPr>
            <w:r w:rsidRPr="002714B2">
              <w:rPr>
                <w:rFonts w:ascii="Arial" w:hAnsi="Arial" w:cs="Arial"/>
                <w:b/>
                <w:sz w:val="18"/>
                <w:szCs w:val="18"/>
              </w:rPr>
              <w:t>12.7</w:t>
            </w:r>
          </w:p>
        </w:tc>
      </w:tr>
      <w:tr w:rsidR="00815A54" w:rsidRPr="003716B5" w14:paraId="7B3EFA0B" w14:textId="77777777" w:rsidTr="00815A54">
        <w:trPr>
          <w:trHeight w:val="363"/>
          <w:jc w:val="center"/>
        </w:trPr>
        <w:tc>
          <w:tcPr>
            <w:tcW w:w="1260" w:type="dxa"/>
            <w:vMerge/>
            <w:tcBorders>
              <w:left w:val="single" w:sz="4" w:space="0" w:color="auto"/>
              <w:bottom w:val="single" w:sz="4" w:space="0" w:color="auto"/>
              <w:right w:val="single" w:sz="4" w:space="0" w:color="auto"/>
            </w:tcBorders>
            <w:vAlign w:val="center"/>
          </w:tcPr>
          <w:p w14:paraId="30137C7C" w14:textId="77777777" w:rsidR="00815A54" w:rsidRPr="002714B2" w:rsidRDefault="00815A54" w:rsidP="00B22C0E">
            <w:pPr>
              <w:spacing w:line="240" w:lineRule="auto"/>
              <w:jc w:val="center"/>
              <w:rPr>
                <w:rFonts w:ascii="Arial" w:hAnsi="Arial" w:cs="Arial"/>
                <w:sz w:val="18"/>
                <w:szCs w:val="18"/>
              </w:rPr>
            </w:pPr>
          </w:p>
        </w:tc>
        <w:tc>
          <w:tcPr>
            <w:tcW w:w="1890" w:type="dxa"/>
            <w:tcBorders>
              <w:top w:val="single" w:sz="4" w:space="0" w:color="auto"/>
              <w:left w:val="single" w:sz="4" w:space="0" w:color="auto"/>
              <w:bottom w:val="single" w:sz="4" w:space="0" w:color="auto"/>
              <w:right w:val="single" w:sz="4" w:space="0" w:color="auto"/>
            </w:tcBorders>
            <w:noWrap/>
            <w:vAlign w:val="center"/>
          </w:tcPr>
          <w:p w14:paraId="769B7497" w14:textId="2AA55B28" w:rsidR="00815A54" w:rsidRPr="002714B2" w:rsidRDefault="00815A54" w:rsidP="00B22C0E">
            <w:pPr>
              <w:spacing w:line="240" w:lineRule="auto"/>
              <w:rPr>
                <w:rFonts w:ascii="Arial" w:hAnsi="Arial" w:cs="Arial"/>
                <w:b/>
                <w:sz w:val="18"/>
                <w:szCs w:val="18"/>
              </w:rPr>
            </w:pPr>
            <w:r w:rsidRPr="002714B2">
              <w:rPr>
                <w:rFonts w:ascii="Arial" w:hAnsi="Arial" w:cs="Arial"/>
                <w:b/>
                <w:sz w:val="18"/>
                <w:szCs w:val="18"/>
              </w:rPr>
              <w:t>Reduction from CBRP Baseline</w:t>
            </w:r>
          </w:p>
        </w:tc>
        <w:tc>
          <w:tcPr>
            <w:tcW w:w="1395" w:type="dxa"/>
            <w:tcBorders>
              <w:top w:val="single" w:sz="4" w:space="0" w:color="auto"/>
              <w:left w:val="single" w:sz="4" w:space="0" w:color="auto"/>
              <w:bottom w:val="single" w:sz="4" w:space="0" w:color="auto"/>
              <w:right w:val="single" w:sz="4" w:space="0" w:color="auto"/>
            </w:tcBorders>
            <w:vAlign w:val="center"/>
          </w:tcPr>
          <w:p w14:paraId="44D4B300" w14:textId="24A6E114" w:rsidR="00815A54" w:rsidRPr="002714B2" w:rsidRDefault="00815A54" w:rsidP="00B22C0E">
            <w:pPr>
              <w:spacing w:line="240" w:lineRule="auto"/>
              <w:jc w:val="center"/>
              <w:rPr>
                <w:rFonts w:ascii="Arial" w:hAnsi="Arial" w:cs="Arial"/>
                <w:b/>
                <w:sz w:val="18"/>
                <w:szCs w:val="18"/>
              </w:rPr>
            </w:pPr>
            <w:r w:rsidRPr="002714B2">
              <w:rPr>
                <w:rFonts w:ascii="Arial" w:hAnsi="Arial" w:cs="Arial"/>
                <w:b/>
                <w:sz w:val="18"/>
                <w:szCs w:val="18"/>
              </w:rPr>
              <w:t>n/a</w:t>
            </w:r>
          </w:p>
        </w:tc>
        <w:tc>
          <w:tcPr>
            <w:tcW w:w="1395" w:type="dxa"/>
            <w:tcBorders>
              <w:top w:val="single" w:sz="4" w:space="0" w:color="auto"/>
              <w:left w:val="single" w:sz="4" w:space="0" w:color="auto"/>
              <w:bottom w:val="single" w:sz="4" w:space="0" w:color="auto"/>
              <w:right w:val="single" w:sz="4" w:space="0" w:color="auto"/>
            </w:tcBorders>
            <w:noWrap/>
            <w:vAlign w:val="center"/>
          </w:tcPr>
          <w:p w14:paraId="2EE3E171" w14:textId="5A549703" w:rsidR="00815A54" w:rsidRPr="002714B2" w:rsidRDefault="00815A54" w:rsidP="00B22C0E">
            <w:pPr>
              <w:spacing w:line="240" w:lineRule="auto"/>
              <w:jc w:val="center"/>
              <w:rPr>
                <w:rFonts w:ascii="Arial" w:hAnsi="Arial" w:cs="Arial"/>
                <w:b/>
                <w:sz w:val="18"/>
                <w:szCs w:val="18"/>
              </w:rPr>
            </w:pPr>
            <w:r w:rsidRPr="002714B2">
              <w:rPr>
                <w:rFonts w:ascii="Arial" w:hAnsi="Arial" w:cs="Arial"/>
                <w:b/>
                <w:sz w:val="18"/>
                <w:szCs w:val="18"/>
              </w:rPr>
              <w:t>-13.8</w:t>
            </w:r>
          </w:p>
        </w:tc>
        <w:tc>
          <w:tcPr>
            <w:tcW w:w="1395" w:type="dxa"/>
            <w:tcBorders>
              <w:top w:val="single" w:sz="4" w:space="0" w:color="auto"/>
              <w:left w:val="single" w:sz="4" w:space="0" w:color="auto"/>
              <w:bottom w:val="single" w:sz="4" w:space="0" w:color="auto"/>
              <w:right w:val="nil"/>
            </w:tcBorders>
            <w:noWrap/>
            <w:vAlign w:val="center"/>
          </w:tcPr>
          <w:p w14:paraId="774C68BD" w14:textId="1853EFE3" w:rsidR="00815A54" w:rsidRPr="002714B2" w:rsidRDefault="00815A54" w:rsidP="00B22C0E">
            <w:pPr>
              <w:spacing w:line="240" w:lineRule="auto"/>
              <w:jc w:val="center"/>
              <w:rPr>
                <w:rFonts w:ascii="Arial" w:hAnsi="Arial" w:cs="Arial"/>
                <w:b/>
                <w:sz w:val="18"/>
                <w:szCs w:val="18"/>
              </w:rPr>
            </w:pPr>
            <w:r w:rsidRPr="002714B2">
              <w:rPr>
                <w:rFonts w:ascii="Arial" w:hAnsi="Arial" w:cs="Arial"/>
                <w:b/>
                <w:sz w:val="18"/>
                <w:szCs w:val="18"/>
              </w:rPr>
              <w:t>-48.9</w:t>
            </w:r>
          </w:p>
        </w:tc>
        <w:tc>
          <w:tcPr>
            <w:tcW w:w="1395" w:type="dxa"/>
            <w:tcBorders>
              <w:top w:val="single" w:sz="4" w:space="0" w:color="auto"/>
              <w:left w:val="single" w:sz="4" w:space="0" w:color="auto"/>
              <w:bottom w:val="single" w:sz="4" w:space="0" w:color="auto"/>
              <w:right w:val="single" w:sz="4" w:space="0" w:color="auto"/>
            </w:tcBorders>
            <w:vAlign w:val="center"/>
          </w:tcPr>
          <w:p w14:paraId="495B1FCF" w14:textId="47EF113C" w:rsidR="00815A54" w:rsidRPr="002714B2" w:rsidRDefault="00815A54" w:rsidP="00B22C0E">
            <w:pPr>
              <w:spacing w:line="240" w:lineRule="auto"/>
              <w:jc w:val="center"/>
              <w:rPr>
                <w:rFonts w:ascii="Arial" w:hAnsi="Arial" w:cs="Arial"/>
                <w:b/>
                <w:sz w:val="18"/>
                <w:szCs w:val="18"/>
              </w:rPr>
            </w:pPr>
            <w:r w:rsidRPr="002714B2">
              <w:rPr>
                <w:rFonts w:ascii="Arial" w:hAnsi="Arial" w:cs="Arial"/>
                <w:b/>
                <w:sz w:val="18"/>
                <w:szCs w:val="18"/>
              </w:rPr>
              <w:t>-49.3</w:t>
            </w:r>
          </w:p>
        </w:tc>
      </w:tr>
      <w:tr w:rsidR="0057071C" w:rsidRPr="003716B5" w14:paraId="59667656" w14:textId="7D6E1803" w:rsidTr="00815A54">
        <w:trPr>
          <w:trHeight w:val="1223"/>
          <w:jc w:val="center"/>
        </w:trPr>
        <w:tc>
          <w:tcPr>
            <w:tcW w:w="8730" w:type="dxa"/>
            <w:gridSpan w:val="6"/>
            <w:tcBorders>
              <w:top w:val="single" w:sz="4" w:space="0" w:color="auto"/>
            </w:tcBorders>
          </w:tcPr>
          <w:p w14:paraId="039C2A2C" w14:textId="0197988D" w:rsidR="0057071C" w:rsidRPr="00DF34D6" w:rsidRDefault="0057071C" w:rsidP="00DF34D6">
            <w:pPr>
              <w:spacing w:after="20" w:line="259" w:lineRule="auto"/>
              <w:ind w:left="144" w:hanging="144"/>
              <w:rPr>
                <w:rFonts w:ascii="Arial" w:hAnsi="Arial" w:cs="Arial"/>
                <w:sz w:val="17"/>
                <w:szCs w:val="17"/>
              </w:rPr>
            </w:pPr>
            <w:r w:rsidRPr="003716B5">
              <w:rPr>
                <w:rFonts w:ascii="Arial" w:hAnsi="Arial" w:cs="Arial"/>
                <w:sz w:val="17"/>
                <w:szCs w:val="17"/>
                <w:vertAlign w:val="superscript"/>
              </w:rPr>
              <w:t>1</w:t>
            </w:r>
            <w:r w:rsidRPr="003716B5">
              <w:rPr>
                <w:rFonts w:ascii="Arial" w:hAnsi="Arial" w:cs="Arial"/>
                <w:sz w:val="17"/>
                <w:szCs w:val="17"/>
              </w:rPr>
              <w:t xml:space="preserve"> 2007 estimate for unmonitored areas based on </w:t>
            </w:r>
            <w:r w:rsidRPr="003716B5">
              <w:rPr>
                <w:rFonts w:ascii="Arial" w:hAnsi="Arial" w:cs="Arial"/>
                <w:i/>
                <w:sz w:val="17"/>
                <w:szCs w:val="17"/>
              </w:rPr>
              <w:t>E. coli</w:t>
            </w:r>
            <w:r w:rsidRPr="003716B5">
              <w:rPr>
                <w:rFonts w:ascii="Arial" w:hAnsi="Arial" w:cs="Arial"/>
                <w:sz w:val="17"/>
                <w:szCs w:val="17"/>
              </w:rPr>
              <w:t xml:space="preserve"> concentration of 600 MPN/100 mL, which was the geomean of all MS4 outfall samples in 2007</w:t>
            </w:r>
          </w:p>
        </w:tc>
      </w:tr>
    </w:tbl>
    <w:p w14:paraId="4AD6B5C1" w14:textId="77777777" w:rsidR="00524F10" w:rsidRDefault="00524F10" w:rsidP="00524F10">
      <w:pPr>
        <w:pStyle w:val="BodyText"/>
        <w:rPr>
          <w:szCs w:val="21"/>
          <w:lang w:bidi="en-US"/>
        </w:rPr>
      </w:pPr>
    </w:p>
    <w:p w14:paraId="00691271" w14:textId="24EA5086" w:rsidR="00524F10" w:rsidRDefault="00524F10" w:rsidP="00524F10">
      <w:pPr>
        <w:pStyle w:val="BodyText"/>
        <w:spacing w:after="40"/>
        <w:jc w:val="center"/>
        <w:rPr>
          <w:b/>
        </w:rPr>
      </w:pPr>
    </w:p>
    <w:p w14:paraId="2B680C87" w14:textId="5AE1FBAE" w:rsidR="00524F10" w:rsidRDefault="00524F10" w:rsidP="00524F10">
      <w:pPr>
        <w:pStyle w:val="LFTBody"/>
        <w:spacing w:after="40"/>
        <w:jc w:val="center"/>
        <w:rPr>
          <w:rFonts w:cstheme="minorHAnsi"/>
          <w:b/>
          <w:noProof/>
          <w:sz w:val="20"/>
          <w:szCs w:val="21"/>
          <w:lang w:bidi="ar-SA"/>
        </w:rPr>
      </w:pPr>
    </w:p>
    <w:p w14:paraId="358244C3" w14:textId="2243E29B" w:rsidR="00524F10" w:rsidRDefault="00524F10" w:rsidP="00524F10">
      <w:pPr>
        <w:pStyle w:val="BodyText"/>
        <w:spacing w:after="40"/>
        <w:jc w:val="center"/>
        <w:rPr>
          <w:szCs w:val="21"/>
          <w:lang w:bidi="en-US"/>
        </w:rPr>
      </w:pPr>
    </w:p>
    <w:p w14:paraId="2ECAEA47" w14:textId="77777777" w:rsidR="0032549C" w:rsidRPr="0032549C" w:rsidRDefault="0032549C" w:rsidP="0032549C">
      <w:pPr>
        <w:pStyle w:val="BodyText"/>
        <w:spacing w:after="0" w:line="240" w:lineRule="auto"/>
        <w:ind w:right="360"/>
        <w:rPr>
          <w:sz w:val="22"/>
          <w:szCs w:val="22"/>
          <w:lang w:bidi="en-US"/>
        </w:rPr>
      </w:pPr>
    </w:p>
    <w:p w14:paraId="2EE9FF1D" w14:textId="3AE63619" w:rsidR="00E75E60" w:rsidRPr="00B8053A" w:rsidRDefault="00E75E60" w:rsidP="00524F10">
      <w:pPr>
        <w:pStyle w:val="BodyText"/>
      </w:pPr>
    </w:p>
    <w:p w14:paraId="7A98AEFC" w14:textId="77777777" w:rsidR="00524F10" w:rsidRDefault="00524F10" w:rsidP="00524F10">
      <w:pPr>
        <w:pStyle w:val="BodyText"/>
        <w:spacing w:after="40"/>
        <w:jc w:val="center"/>
      </w:pPr>
      <w:r>
        <w:rPr>
          <w:noProof/>
        </w:rPr>
        <w:lastRenderedPageBreak/>
        <w:drawing>
          <wp:inline distT="0" distB="0" distL="0" distR="0" wp14:anchorId="773B1406" wp14:editId="7B120C13">
            <wp:extent cx="5949315" cy="3924300"/>
            <wp:effectExtent l="0" t="0" r="0" b="0"/>
            <wp:docPr id="42" name="Picture 4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CSD All .jpg"/>
                    <pic:cNvPicPr/>
                  </pic:nvPicPr>
                  <pic:blipFill rotWithShape="1">
                    <a:blip r:embed="rId38">
                      <a:extLst>
                        <a:ext uri="{28A0092B-C50C-407E-A947-70E740481C1C}">
                          <a14:useLocalDpi xmlns:a14="http://schemas.microsoft.com/office/drawing/2010/main" val="0"/>
                        </a:ext>
                      </a:extLst>
                    </a:blip>
                    <a:srcRect l="14445" t="9086" r="13333" b="6231"/>
                    <a:stretch>
                      <a:fillRect/>
                    </a:stretch>
                  </pic:blipFill>
                  <pic:spPr bwMode="auto">
                    <a:xfrm>
                      <a:off x="0" y="0"/>
                      <a:ext cx="6036644" cy="3981904"/>
                    </a:xfrm>
                    <a:prstGeom prst="rect">
                      <a:avLst/>
                    </a:prstGeom>
                    <a:ln>
                      <a:noFill/>
                    </a:ln>
                    <a:extLst>
                      <a:ext uri="{53640926-AAD7-44D8-BBD7-CCE9431645EC}">
                        <a14:shadowObscured xmlns:a14="http://schemas.microsoft.com/office/drawing/2010/main"/>
                      </a:ext>
                    </a:extLst>
                  </pic:spPr>
                </pic:pic>
              </a:graphicData>
            </a:graphic>
          </wp:inline>
        </w:drawing>
      </w:r>
    </w:p>
    <w:p w14:paraId="35B1C44D" w14:textId="53FB2ADC" w:rsidR="00F33FD0" w:rsidRPr="00F33FD0" w:rsidRDefault="00F33FD0" w:rsidP="00F33FD0">
      <w:pPr>
        <w:pStyle w:val="BodyText"/>
        <w:spacing w:after="40"/>
        <w:rPr>
          <w:rFonts w:ascii="Arial" w:hAnsi="Arial" w:cs="Arial"/>
          <w:sz w:val="16"/>
          <w:szCs w:val="16"/>
        </w:rPr>
      </w:pPr>
      <w:r w:rsidRPr="00F33FD0">
        <w:rPr>
          <w:rFonts w:ascii="Arial" w:hAnsi="Arial" w:cs="Arial"/>
          <w:sz w:val="16"/>
          <w:szCs w:val="16"/>
        </w:rPr>
        <w:t>Note: MS4 Program Core Samples = blue-filled diamonds; synoptic study sampled = open circles</w:t>
      </w:r>
    </w:p>
    <w:p w14:paraId="48C299DE" w14:textId="519386CB" w:rsidR="00F33FD0" w:rsidRDefault="00F33FD0" w:rsidP="00F33FD0">
      <w:pPr>
        <w:pStyle w:val="Caption"/>
      </w:pPr>
      <w:bookmarkStart w:id="86" w:name="_Toc217394566"/>
      <w:bookmarkStart w:id="87" w:name="_Toc217394761"/>
      <w:r w:rsidRPr="00F33FD0">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8</w:t>
      </w:r>
      <w:r w:rsidR="0023167A">
        <w:fldChar w:fldCharType="end"/>
      </w:r>
      <w:r w:rsidRPr="00F33FD0">
        <w:t xml:space="preserve">. Historical </w:t>
      </w:r>
      <w:r w:rsidRPr="00F33FD0">
        <w:rPr>
          <w:i/>
          <w:iCs w:val="0"/>
        </w:rPr>
        <w:t>E. coli</w:t>
      </w:r>
      <w:r w:rsidRPr="00F33FD0">
        <w:t xml:space="preserve"> Data at Magnolia Center Storm Drain Compared with Synoptic Study </w:t>
      </w:r>
      <w:r w:rsidRPr="00F33FD0">
        <w:rPr>
          <w:i/>
          <w:iCs w:val="0"/>
        </w:rPr>
        <w:t xml:space="preserve">E. </w:t>
      </w:r>
      <w:proofErr w:type="gramStart"/>
      <w:r w:rsidRPr="00F33FD0">
        <w:rPr>
          <w:i/>
          <w:iCs w:val="0"/>
        </w:rPr>
        <w:t>coli</w:t>
      </w:r>
      <w:proofErr w:type="gramEnd"/>
      <w:r w:rsidRPr="00F33FD0">
        <w:t xml:space="preserve"> Results (T1-MCSD)</w:t>
      </w:r>
      <w:bookmarkEnd w:id="86"/>
      <w:bookmarkEnd w:id="87"/>
    </w:p>
    <w:p w14:paraId="65F25149" w14:textId="77777777" w:rsidR="00E75E60" w:rsidRDefault="00E75E60" w:rsidP="005A0F40">
      <w:pPr>
        <w:pStyle w:val="Heading3"/>
        <w:spacing w:before="240"/>
        <w:rPr>
          <w:rFonts w:eastAsia="Constantia" w:cstheme="minorHAnsi"/>
        </w:rPr>
      </w:pPr>
      <w:bookmarkStart w:id="88" w:name="_Toc217410161"/>
      <w:r>
        <w:t>Santa Ana River Subwatershed</w:t>
      </w:r>
      <w:bookmarkEnd w:id="88"/>
    </w:p>
    <w:p w14:paraId="02AA9CF4" w14:textId="4B2894FB" w:rsidR="00524F10" w:rsidRDefault="00524F10" w:rsidP="00524F10">
      <w:pPr>
        <w:pStyle w:val="BodyText"/>
        <w:spacing w:after="200"/>
      </w:pPr>
      <w:r>
        <w:t xml:space="preserve">When DWF from MS4s is blended with tertiary treated POTW effluent (compliant with the facility’s </w:t>
      </w:r>
      <w:r w:rsidRPr="00046BE4">
        <w:rPr>
          <w:i/>
        </w:rPr>
        <w:t>E. coli</w:t>
      </w:r>
      <w:r>
        <w:t xml:space="preserve"> effluent limit),</w:t>
      </w:r>
      <w:r>
        <w:rPr>
          <w:rStyle w:val="FootnoteReference"/>
        </w:rPr>
        <w:footnoteReference w:id="18"/>
      </w:r>
      <w:r>
        <w:rPr>
          <w:vertAlign w:val="superscript"/>
        </w:rPr>
        <w:t xml:space="preserve">, </w:t>
      </w:r>
      <w:r>
        <w:rPr>
          <w:rStyle w:val="FootnoteReference"/>
        </w:rPr>
        <w:footnoteReference w:id="19"/>
      </w:r>
      <w:r>
        <w:t xml:space="preserve"> a mass balance calculation can approximate the expected </w:t>
      </w:r>
      <w:r w:rsidRPr="00673B66">
        <w:rPr>
          <w:i/>
        </w:rPr>
        <w:t>E. coli</w:t>
      </w:r>
      <w:r>
        <w:t xml:space="preserve"> concentrations </w:t>
      </w:r>
      <w:r w:rsidRPr="006D255F">
        <w:t>(</w:t>
      </w:r>
      <w:r w:rsidRPr="006D255F">
        <w:rPr>
          <w:i/>
        </w:rPr>
        <w:t>C</w:t>
      </w:r>
      <w:r>
        <w:rPr>
          <w:i/>
          <w:vertAlign w:val="subscript"/>
        </w:rPr>
        <w:t>MS4+POTW</w:t>
      </w:r>
      <w:r w:rsidRPr="006D255F">
        <w:t>)</w:t>
      </w:r>
      <w:r>
        <w:t xml:space="preserve"> within each impaired water (omitting any instream losses or gains)</w:t>
      </w:r>
      <w:r w:rsidR="003A764E">
        <w:t>, as follows:</w:t>
      </w:r>
      <w:r>
        <w:t xml:space="preserve"> </w:t>
      </w:r>
    </w:p>
    <w:p w14:paraId="1346D735" w14:textId="77777777" w:rsidR="00524F10" w:rsidRPr="006D255F" w:rsidRDefault="00785944" w:rsidP="00524F10">
      <w:pPr>
        <w:spacing w:after="200"/>
        <w:rPr>
          <w:sz w:val="21"/>
          <w:szCs w:val="21"/>
        </w:rPr>
      </w:pPr>
      <m:oMathPara>
        <m:oMath>
          <m:sSub>
            <m:sSubPr>
              <m:ctrlPr>
                <w:rPr>
                  <w:rFonts w:ascii="Cambria Math" w:hAnsi="Cambria Math"/>
                  <w:i/>
                  <w:sz w:val="21"/>
                  <w:szCs w:val="21"/>
                </w:rPr>
              </m:ctrlPr>
            </m:sSubPr>
            <m:e>
              <m:r>
                <w:rPr>
                  <w:rFonts w:ascii="Cambria Math" w:hAnsi="Cambria Math"/>
                  <w:sz w:val="21"/>
                  <w:szCs w:val="21"/>
                </w:rPr>
                <m:t>C</m:t>
              </m:r>
            </m:e>
            <m:sub>
              <m:r>
                <w:rPr>
                  <w:rFonts w:ascii="Cambria Math" w:hAnsi="Cambria Math"/>
                  <w:sz w:val="21"/>
                  <w:szCs w:val="21"/>
                </w:rPr>
                <m:t>MS4+POTW</m:t>
              </m:r>
            </m:sub>
          </m:sSub>
          <m:r>
            <w:rPr>
              <w:rFonts w:ascii="Cambria Math" w:hAnsi="Cambria Math"/>
              <w:sz w:val="21"/>
              <w:szCs w:val="21"/>
            </w:rPr>
            <m:t xml:space="preserve">= </m:t>
          </m:r>
          <m:f>
            <m:fPr>
              <m:ctrlPr>
                <w:rPr>
                  <w:rFonts w:ascii="Cambria Math" w:hAnsi="Cambria Math"/>
                  <w:i/>
                  <w:sz w:val="21"/>
                  <w:szCs w:val="21"/>
                </w:rPr>
              </m:ctrlPr>
            </m:fPr>
            <m:num>
              <m:d>
                <m:dPr>
                  <m:begChr m:val="["/>
                  <m:endChr m:val="]"/>
                  <m:ctrlPr>
                    <w:rPr>
                      <w:rFonts w:ascii="Cambria Math" w:hAnsi="Cambria Math"/>
                      <w:i/>
                      <w:sz w:val="21"/>
                      <w:szCs w:val="21"/>
                    </w:rPr>
                  </m:ctrlPr>
                </m:dPr>
                <m:e>
                  <m:nary>
                    <m:naryPr>
                      <m:chr m:val="∑"/>
                      <m:limLoc m:val="undOvr"/>
                      <m:ctrlPr>
                        <w:rPr>
                          <w:rFonts w:ascii="Cambria Math" w:hAnsi="Cambria Math"/>
                          <w:i/>
                          <w:sz w:val="21"/>
                          <w:szCs w:val="21"/>
                        </w:rPr>
                      </m:ctrlPr>
                    </m:naryPr>
                    <m:sub>
                      <m:r>
                        <w:rPr>
                          <w:rFonts w:ascii="Cambria Math" w:hAnsi="Cambria Math"/>
                          <w:sz w:val="21"/>
                          <w:szCs w:val="21"/>
                        </w:rPr>
                        <m:t>i</m:t>
                      </m:r>
                    </m:sub>
                    <m:sup>
                      <m:r>
                        <w:rPr>
                          <w:rFonts w:ascii="Cambria Math" w:hAnsi="Cambria Math"/>
                          <w:sz w:val="21"/>
                          <w:szCs w:val="21"/>
                        </w:rPr>
                        <m:t>j</m:t>
                      </m:r>
                    </m:sup>
                    <m:e>
                      <m:d>
                        <m:dPr>
                          <m:ctrlPr>
                            <w:rPr>
                              <w:rFonts w:ascii="Cambria Math" w:hAnsi="Cambria Math"/>
                              <w:i/>
                              <w:sz w:val="21"/>
                              <w:szCs w:val="21"/>
                            </w:rPr>
                          </m:ctrlPr>
                        </m:dPr>
                        <m:e>
                          <m:sSub>
                            <m:sSubPr>
                              <m:ctrlPr>
                                <w:rPr>
                                  <w:rFonts w:ascii="Cambria Math" w:hAnsi="Cambria Math"/>
                                  <w:i/>
                                  <w:sz w:val="21"/>
                                  <w:szCs w:val="21"/>
                                </w:rPr>
                              </m:ctrlPr>
                            </m:sSubPr>
                            <m:e>
                              <m:r>
                                <w:rPr>
                                  <w:rFonts w:ascii="Cambria Math" w:hAnsi="Cambria Math"/>
                                  <w:sz w:val="21"/>
                                  <w:szCs w:val="21"/>
                                </w:rPr>
                                <m:t>Q</m:t>
                              </m:r>
                            </m:e>
                            <m:sub>
                              <m:r>
                                <w:rPr>
                                  <w:rFonts w:ascii="Cambria Math" w:hAnsi="Cambria Math"/>
                                  <w:sz w:val="21"/>
                                  <w:szCs w:val="21"/>
                                </w:rPr>
                                <m:t>MS4</m:t>
                              </m:r>
                            </m:sub>
                          </m:sSub>
                          <m:r>
                            <w:rPr>
                              <w:rFonts w:ascii="Cambria Math" w:hAnsi="Cambria Math"/>
                              <w:sz w:val="21"/>
                              <w:szCs w:val="21"/>
                            </w:rPr>
                            <m:t>*</m:t>
                          </m:r>
                          <m:sSub>
                            <m:sSubPr>
                              <m:ctrlPr>
                                <w:rPr>
                                  <w:rFonts w:ascii="Cambria Math" w:hAnsi="Cambria Math"/>
                                  <w:i/>
                                  <w:sz w:val="21"/>
                                  <w:szCs w:val="21"/>
                                </w:rPr>
                              </m:ctrlPr>
                            </m:sSubPr>
                            <m:e>
                              <m:r>
                                <w:rPr>
                                  <w:rFonts w:ascii="Cambria Math" w:hAnsi="Cambria Math"/>
                                  <w:sz w:val="21"/>
                                  <w:szCs w:val="21"/>
                                </w:rPr>
                                <m:t>C</m:t>
                              </m:r>
                            </m:e>
                            <m:sub>
                              <m:r>
                                <w:rPr>
                                  <w:rFonts w:ascii="Cambria Math" w:hAnsi="Cambria Math"/>
                                  <w:sz w:val="21"/>
                                  <w:szCs w:val="21"/>
                                </w:rPr>
                                <m:t>MS4</m:t>
                              </m:r>
                            </m:sub>
                          </m:sSub>
                        </m:e>
                      </m:d>
                    </m:e>
                  </m:nary>
                </m:e>
              </m:d>
            </m:num>
            <m:den>
              <m:d>
                <m:dPr>
                  <m:ctrlPr>
                    <w:rPr>
                      <w:rFonts w:ascii="Cambria Math" w:hAnsi="Cambria Math"/>
                      <w:i/>
                      <w:sz w:val="21"/>
                      <w:szCs w:val="21"/>
                    </w:rPr>
                  </m:ctrlPr>
                </m:dPr>
                <m:e>
                  <m:sSub>
                    <m:sSubPr>
                      <m:ctrlPr>
                        <w:rPr>
                          <w:rFonts w:ascii="Cambria Math" w:hAnsi="Cambria Math"/>
                          <w:i/>
                          <w:sz w:val="21"/>
                          <w:szCs w:val="21"/>
                        </w:rPr>
                      </m:ctrlPr>
                    </m:sSubPr>
                    <m:e>
                      <m:r>
                        <w:rPr>
                          <w:rFonts w:ascii="Cambria Math" w:hAnsi="Cambria Math"/>
                          <w:sz w:val="21"/>
                          <w:szCs w:val="21"/>
                        </w:rPr>
                        <m:t>Q</m:t>
                      </m:r>
                    </m:e>
                    <m:sub>
                      <m:r>
                        <w:rPr>
                          <w:rFonts w:ascii="Cambria Math" w:hAnsi="Cambria Math"/>
                          <w:sz w:val="21"/>
                          <w:szCs w:val="21"/>
                        </w:rPr>
                        <m:t>MS4</m:t>
                      </m:r>
                    </m:sub>
                  </m:sSub>
                  <m:r>
                    <w:rPr>
                      <w:rFonts w:ascii="Cambria Math" w:hAnsi="Cambria Math"/>
                      <w:sz w:val="21"/>
                      <w:szCs w:val="21"/>
                    </w:rPr>
                    <m:t xml:space="preserve">+ </m:t>
                  </m:r>
                  <m:sSub>
                    <m:sSubPr>
                      <m:ctrlPr>
                        <w:rPr>
                          <w:rFonts w:ascii="Cambria Math" w:hAnsi="Cambria Math"/>
                          <w:i/>
                          <w:sz w:val="21"/>
                          <w:szCs w:val="21"/>
                        </w:rPr>
                      </m:ctrlPr>
                    </m:sSubPr>
                    <m:e>
                      <m:r>
                        <w:rPr>
                          <w:rFonts w:ascii="Cambria Math" w:hAnsi="Cambria Math"/>
                          <w:sz w:val="21"/>
                          <w:szCs w:val="21"/>
                        </w:rPr>
                        <m:t>Q</m:t>
                      </m:r>
                    </m:e>
                    <m:sub>
                      <m:r>
                        <w:rPr>
                          <w:rFonts w:ascii="Cambria Math" w:hAnsi="Cambria Math"/>
                          <w:sz w:val="21"/>
                          <w:szCs w:val="21"/>
                        </w:rPr>
                        <m:t>POTW</m:t>
                      </m:r>
                    </m:sub>
                  </m:sSub>
                </m:e>
              </m:d>
            </m:den>
          </m:f>
        </m:oMath>
      </m:oMathPara>
    </w:p>
    <w:p w14:paraId="13E254EC" w14:textId="62A64BBA" w:rsidR="00524F10" w:rsidRPr="00C94913" w:rsidRDefault="00FF0428" w:rsidP="00E75E60">
      <w:pPr>
        <w:pStyle w:val="BodyText"/>
        <w:spacing w:after="200"/>
      </w:pPr>
      <w:r>
        <w:t>Th</w:t>
      </w:r>
      <w:r w:rsidR="00647FF1">
        <w:t xml:space="preserve">is </w:t>
      </w:r>
      <w:r w:rsidR="003A764E">
        <w:t>source contribution analys</w:t>
      </w:r>
      <w:r>
        <w:t>i</w:t>
      </w:r>
      <w:r w:rsidR="00647FF1">
        <w:t xml:space="preserve">s </w:t>
      </w:r>
      <w:r w:rsidR="00D60499">
        <w:t xml:space="preserve">approach applies only to Reach 3 of the SAR because 1) </w:t>
      </w:r>
      <w:r w:rsidR="005B4266">
        <w:t xml:space="preserve">no POTW effluent was discharged to Chino Creek during the 2025 synoptic study period, and 2) extreme temporal variability </w:t>
      </w:r>
      <w:r w:rsidR="00D520D6">
        <w:t>of RP1 discharges to Cucamonga Creek make</w:t>
      </w:r>
      <w:r w:rsidR="007B1519">
        <w:t>s</w:t>
      </w:r>
      <w:r w:rsidR="00D520D6">
        <w:t xml:space="preserve"> a </w:t>
      </w:r>
      <w:r w:rsidR="008D3949">
        <w:t>snapshot</w:t>
      </w:r>
      <w:r w:rsidR="00326375">
        <w:t xml:space="preserve"> in time </w:t>
      </w:r>
      <w:r w:rsidR="00D16FEB">
        <w:t>synoptic sampling event infeasible (see Section 3.1.4 above</w:t>
      </w:r>
      <w:r w:rsidR="005E22CD">
        <w:t xml:space="preserve"> for more detailed characterization</w:t>
      </w:r>
      <w:r w:rsidR="00D16FEB">
        <w:t>)</w:t>
      </w:r>
      <w:r w:rsidR="005E22CD">
        <w:t xml:space="preserve">. For SAR Reach 3, the source contribution analysis </w:t>
      </w:r>
      <w:r w:rsidR="00264318">
        <w:t>compare</w:t>
      </w:r>
      <w:r>
        <w:t>s</w:t>
      </w:r>
      <w:r w:rsidR="00264318">
        <w:t xml:space="preserve"> estimated </w:t>
      </w:r>
      <w:r w:rsidR="00264318">
        <w:lastRenderedPageBreak/>
        <w:t xml:space="preserve">flow-weighted concentration </w:t>
      </w:r>
      <w:r w:rsidRPr="006D255F">
        <w:t>(</w:t>
      </w:r>
      <w:r w:rsidRPr="006D255F">
        <w:rPr>
          <w:i/>
        </w:rPr>
        <w:t>C</w:t>
      </w:r>
      <w:r>
        <w:rPr>
          <w:i/>
          <w:vertAlign w:val="subscript"/>
        </w:rPr>
        <w:t>MS4+POTW</w:t>
      </w:r>
      <w:r w:rsidRPr="006D255F">
        <w:t>)</w:t>
      </w:r>
      <w:r>
        <w:t xml:space="preserve"> </w:t>
      </w:r>
      <w:r w:rsidR="00521DEA">
        <w:t xml:space="preserve">of inflows </w:t>
      </w:r>
      <w:r w:rsidR="00264318">
        <w:t>with downstream measurements collected on the same day</w:t>
      </w:r>
      <w:r w:rsidR="00521DEA">
        <w:t>.</w:t>
      </w:r>
      <w:r w:rsidR="00264318">
        <w:t xml:space="preserve"> </w:t>
      </w:r>
      <w:r w:rsidR="00524F10" w:rsidRPr="001D2B19">
        <w:rPr>
          <w:rFonts w:eastAsia="Constantia"/>
        </w:rPr>
        <w:t>Th</w:t>
      </w:r>
      <w:r w:rsidR="00521DEA">
        <w:rPr>
          <w:rFonts w:eastAsia="Constantia"/>
        </w:rPr>
        <w:t xml:space="preserve">is approach </w:t>
      </w:r>
      <w:r w:rsidR="00524F10" w:rsidRPr="001D2B19">
        <w:rPr>
          <w:rFonts w:eastAsia="Constantia"/>
        </w:rPr>
        <w:t xml:space="preserve">is equivalent to the analyses </w:t>
      </w:r>
      <w:r w:rsidR="00524F10">
        <w:rPr>
          <w:rFonts w:eastAsia="Constantia"/>
        </w:rPr>
        <w:t xml:space="preserve">completed for the </w:t>
      </w:r>
      <w:r w:rsidR="00524F10" w:rsidRPr="001D2B19">
        <w:rPr>
          <w:rFonts w:eastAsia="Constantia"/>
        </w:rPr>
        <w:t>CBRPs (RCFC&amp;WCD 2011; SBCFCD 2011) and subsequent TMDL Triennial Reports (</w:t>
      </w:r>
      <w:r w:rsidR="00524F10">
        <w:rPr>
          <w:rFonts w:eastAsia="Constantia"/>
        </w:rPr>
        <w:t>SAWPA</w:t>
      </w:r>
      <w:r w:rsidR="00524F10" w:rsidRPr="001D2B19">
        <w:rPr>
          <w:rFonts w:eastAsia="Constantia"/>
        </w:rPr>
        <w:t xml:space="preserve"> 2013, 2017</w:t>
      </w:r>
      <w:r w:rsidR="00CC4DDA">
        <w:rPr>
          <w:rFonts w:eastAsia="Constantia"/>
        </w:rPr>
        <w:t>, 2020</w:t>
      </w:r>
      <w:r w:rsidR="00524F10" w:rsidRPr="001D2B19">
        <w:rPr>
          <w:rFonts w:eastAsia="Constantia"/>
        </w:rPr>
        <w:t xml:space="preserve">). </w:t>
      </w:r>
    </w:p>
    <w:p w14:paraId="1BCC67CC" w14:textId="2108251B" w:rsidR="00E83EA4" w:rsidRDefault="00330A29" w:rsidP="00E83EA4">
      <w:pPr>
        <w:pStyle w:val="BodyText"/>
      </w:pPr>
      <w:r w:rsidRPr="00DC57CD">
        <w:rPr>
          <w:b/>
        </w:rPr>
        <w:t>Figure 3-</w:t>
      </w:r>
      <w:r w:rsidR="004A7DFB">
        <w:rPr>
          <w:b/>
        </w:rPr>
        <w:t>10</w:t>
      </w:r>
      <w:r w:rsidR="00326375">
        <w:rPr>
          <w:b/>
        </w:rPr>
        <w:t xml:space="preserve"> </w:t>
      </w:r>
      <w:r w:rsidRPr="00DC57CD">
        <w:t>provides a schematic of the Santa Ana River Reach 3 subwatershed, including sources of flow to the river. The source evaluation analysis for this subwatershed involve</w:t>
      </w:r>
      <w:r w:rsidR="00443EDA">
        <w:t>s</w:t>
      </w:r>
      <w:r w:rsidRPr="00DC57CD">
        <w:t xml:space="preserve"> computation of a </w:t>
      </w:r>
      <w:r w:rsidR="00E51ACA">
        <w:t xml:space="preserve">flow-weighted </w:t>
      </w:r>
      <w:r w:rsidR="00440CE8">
        <w:t xml:space="preserve">average </w:t>
      </w:r>
      <w:r w:rsidRPr="00DC57CD">
        <w:rPr>
          <w:i/>
        </w:rPr>
        <w:t>E. coli</w:t>
      </w:r>
      <w:r w:rsidRPr="00DC57CD">
        <w:t xml:space="preserve"> concentration from MS4 outfalls and the three POTWs that discharge treated effluent in this subwatershed: City of Riverside’s </w:t>
      </w:r>
      <w:r>
        <w:t>R</w:t>
      </w:r>
      <w:r w:rsidRPr="00DC57CD">
        <w:t>WQCP, City of Colton and San Bernardino RIX facility, and the City of Rialto WWTP</w:t>
      </w:r>
      <w:r w:rsidR="001366A8">
        <w:t>.</w:t>
      </w:r>
      <w:r w:rsidRPr="00DC57CD">
        <w:t xml:space="preserve"> </w:t>
      </w:r>
      <w:r w:rsidR="00780192">
        <w:t xml:space="preserve">Upstream of these discharges the Santa Ana River is dry. This effluent travels approximately 5 miles down the Santa Ana River riverbed with no additional inflows from MS4s during dry weather conditions to the WW-MISSION monitoring location. </w:t>
      </w:r>
      <w:r w:rsidR="00DD1314">
        <w:t xml:space="preserve">The addition of a sampling station at Mission Boulevard </w:t>
      </w:r>
      <w:r w:rsidR="00DD1314">
        <w:rPr>
          <w:rFonts w:eastAsia="Constantia"/>
        </w:rPr>
        <w:t>(</w:t>
      </w:r>
      <w:r w:rsidR="008C59F2">
        <w:rPr>
          <w:rFonts w:eastAsia="Constantia"/>
        </w:rPr>
        <w:t>WW-MISSION</w:t>
      </w:r>
      <w:r w:rsidR="00DD1314">
        <w:rPr>
          <w:rFonts w:eastAsia="Constantia"/>
        </w:rPr>
        <w:t>)</w:t>
      </w:r>
      <w:r w:rsidR="008C59F2">
        <w:rPr>
          <w:rFonts w:eastAsia="Constantia"/>
        </w:rPr>
        <w:t xml:space="preserve"> </w:t>
      </w:r>
      <w:r w:rsidR="00440CE8">
        <w:rPr>
          <w:rFonts w:eastAsia="Constantia"/>
        </w:rPr>
        <w:t xml:space="preserve">characterizes instream sources </w:t>
      </w:r>
      <w:r w:rsidR="008C59F2">
        <w:rPr>
          <w:rFonts w:eastAsia="Constantia"/>
        </w:rPr>
        <w:t xml:space="preserve">from Reach 4 to Reach 3 of the SAR for inclusion in the estimation of expected downstream </w:t>
      </w:r>
      <w:r w:rsidR="008C59F2" w:rsidRPr="00841423">
        <w:rPr>
          <w:rFonts w:eastAsia="Constantia"/>
          <w:i/>
          <w:iCs/>
        </w:rPr>
        <w:t>E.</w:t>
      </w:r>
      <w:r w:rsidR="00C56F38">
        <w:rPr>
          <w:rFonts w:eastAsia="Constantia"/>
          <w:i/>
          <w:iCs/>
        </w:rPr>
        <w:t xml:space="preserve"> </w:t>
      </w:r>
      <w:r w:rsidR="008C59F2" w:rsidRPr="00841423">
        <w:rPr>
          <w:rFonts w:eastAsia="Constantia"/>
          <w:i/>
          <w:iCs/>
        </w:rPr>
        <w:t xml:space="preserve">coli </w:t>
      </w:r>
      <w:r w:rsidR="008C59F2">
        <w:rPr>
          <w:rFonts w:eastAsia="Constantia"/>
        </w:rPr>
        <w:t xml:space="preserve">concentration </w:t>
      </w:r>
      <w:r w:rsidR="009D6164">
        <w:rPr>
          <w:rFonts w:eastAsia="Constantia"/>
        </w:rPr>
        <w:t xml:space="preserve">at </w:t>
      </w:r>
      <w:r w:rsidR="008C59F2">
        <w:rPr>
          <w:rFonts w:eastAsia="Constantia"/>
        </w:rPr>
        <w:t xml:space="preserve">WW-S1 and WW-S4. </w:t>
      </w:r>
      <w:r w:rsidR="00780192">
        <w:t xml:space="preserve">Six </w:t>
      </w:r>
      <w:r w:rsidR="00780192" w:rsidRPr="00DC57CD">
        <w:t xml:space="preserve">Tier 1 </w:t>
      </w:r>
      <w:r w:rsidR="00780192">
        <w:t xml:space="preserve">MS4 outfalls </w:t>
      </w:r>
      <w:r w:rsidR="00780192" w:rsidRPr="00DC57CD">
        <w:t>account</w:t>
      </w:r>
      <w:r w:rsidR="00780192">
        <w:t>ed</w:t>
      </w:r>
      <w:r w:rsidR="00780192" w:rsidRPr="00DC57CD">
        <w:t xml:space="preserve"> for </w:t>
      </w:r>
      <w:r w:rsidR="00BC336A">
        <w:t xml:space="preserve">the </w:t>
      </w:r>
      <w:r w:rsidR="00780192" w:rsidRPr="00DC57CD">
        <w:t xml:space="preserve">DWF and associated </w:t>
      </w:r>
      <w:r w:rsidR="00780192" w:rsidRPr="00DC57CD">
        <w:rPr>
          <w:i/>
        </w:rPr>
        <w:t>E. coli</w:t>
      </w:r>
      <w:r w:rsidR="00780192" w:rsidRPr="00DC57CD">
        <w:t xml:space="preserve"> bacteria from MS4 sources</w:t>
      </w:r>
      <w:r w:rsidR="00780192">
        <w:t xml:space="preserve"> during the 2025 Synoptic Study</w:t>
      </w:r>
      <w:r w:rsidR="00780192" w:rsidRPr="00DC57CD">
        <w:t>.</w:t>
      </w:r>
    </w:p>
    <w:p w14:paraId="44B2BA6D" w14:textId="53F7369D" w:rsidR="006849F4" w:rsidRPr="005A0F40" w:rsidRDefault="006849F4" w:rsidP="006849F4">
      <w:pPr>
        <w:pStyle w:val="BodyText"/>
      </w:pPr>
      <w:r w:rsidRPr="005A0F40">
        <w:t>The 202</w:t>
      </w:r>
      <w:r w:rsidR="005A0F40">
        <w:t>0</w:t>
      </w:r>
      <w:r w:rsidRPr="005A0F40">
        <w:t xml:space="preserve"> source contribution analysis assumed DWF rates at WW-MISSION were equal to the daily metered POTW effluent from Rialto WWTP and </w:t>
      </w:r>
      <w:proofErr w:type="gramStart"/>
      <w:r w:rsidRPr="005A0F40">
        <w:t>RIX</w:t>
      </w:r>
      <w:r w:rsidR="00BC336A" w:rsidRPr="005A0F40">
        <w:t xml:space="preserve"> </w:t>
      </w:r>
      <w:r w:rsidRPr="005A0F40">
        <w:t>.</w:t>
      </w:r>
      <w:proofErr w:type="gramEnd"/>
      <w:r w:rsidRPr="005A0F40">
        <w:t xml:space="preserve"> This assumption neglected channel bottom seepage losses within Reach 4 of the Santa Ana River prior to the transition from Reach 4 to Reach 3 at Mission Boulevard. </w:t>
      </w:r>
      <w:r w:rsidR="005A0F40">
        <w:t>For the 2025 source contribution analysis, i</w:t>
      </w:r>
      <w:r w:rsidR="00BC336A" w:rsidRPr="005A0F40">
        <w:t>nfiltration</w:t>
      </w:r>
      <w:r w:rsidRPr="005A0F40">
        <w:t xml:space="preserve"> losses were approximated by comparing daily metered POTW discharges</w:t>
      </w:r>
      <w:r w:rsidR="00BC336A" w:rsidRPr="005A0F40">
        <w:t xml:space="preserve"> </w:t>
      </w:r>
      <w:r w:rsidRPr="005A0F40">
        <w:t xml:space="preserve">with downstream flow gauge records (USGS Station #11066460). </w:t>
      </w:r>
      <w:r w:rsidRPr="005A0F40">
        <w:rPr>
          <w:b/>
          <w:bCs/>
        </w:rPr>
        <w:t>Figure 3-</w:t>
      </w:r>
      <w:r w:rsidR="00F33FD0">
        <w:rPr>
          <w:b/>
          <w:bCs/>
        </w:rPr>
        <w:t>9</w:t>
      </w:r>
      <w:r w:rsidRPr="005A0F40">
        <w:t xml:space="preserve"> shows that percent of losses of POTW effluent range from 15-70 percent with the greatest losses in dry </w:t>
      </w:r>
      <w:r w:rsidR="006E176B" w:rsidRPr="005A0F40">
        <w:rPr>
          <w:noProof/>
        </w:rPr>
        <w:drawing>
          <wp:anchor distT="0" distB="0" distL="114300" distR="114300" simplePos="0" relativeHeight="251677696" behindDoc="0" locked="0" layoutInCell="1" allowOverlap="1" wp14:anchorId="3EF1FAC1" wp14:editId="6D1E3D04">
            <wp:simplePos x="0" y="0"/>
            <wp:positionH relativeFrom="column">
              <wp:posOffset>8890</wp:posOffset>
            </wp:positionH>
            <wp:positionV relativeFrom="line">
              <wp:posOffset>264633</wp:posOffset>
            </wp:positionV>
            <wp:extent cx="4142105" cy="2962275"/>
            <wp:effectExtent l="0" t="0" r="0" b="9525"/>
            <wp:wrapTopAndBottom/>
            <wp:docPr id="172308471" name="Picture 1" descr="A graph with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8471" name="Picture 1" descr="A graph with blue bar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42105" cy="2962275"/>
                    </a:xfrm>
                    <a:prstGeom prst="rect">
                      <a:avLst/>
                    </a:prstGeom>
                    <a:noFill/>
                  </pic:spPr>
                </pic:pic>
              </a:graphicData>
            </a:graphic>
            <wp14:sizeRelH relativeFrom="margin">
              <wp14:pctWidth>0</wp14:pctWidth>
            </wp14:sizeRelH>
            <wp14:sizeRelV relativeFrom="margin">
              <wp14:pctHeight>0</wp14:pctHeight>
            </wp14:sizeRelV>
          </wp:anchor>
        </w:drawing>
      </w:r>
      <w:r w:rsidRPr="005A0F40">
        <w:t xml:space="preserve">hydrologic years. </w:t>
      </w:r>
    </w:p>
    <w:p w14:paraId="72E4BC88" w14:textId="3CB04F0D" w:rsidR="006849F4" w:rsidRPr="005A0F40" w:rsidRDefault="00F33FD0" w:rsidP="00F33FD0">
      <w:pPr>
        <w:pStyle w:val="Caption"/>
        <w:spacing w:after="240"/>
      </w:pPr>
      <w:bookmarkStart w:id="89" w:name="_Toc217394567"/>
      <w:bookmarkStart w:id="90" w:name="_Toc217394762"/>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9</w:t>
      </w:r>
      <w:r w:rsidR="0023167A">
        <w:fldChar w:fldCharType="end"/>
      </w:r>
      <w:r>
        <w:t xml:space="preserve">. </w:t>
      </w:r>
      <w:r w:rsidRPr="00F33FD0">
        <w:t>Estimated Seepage Loss in Santa Ana River Reach 4</w:t>
      </w:r>
      <w:bookmarkEnd w:id="89"/>
      <w:bookmarkEnd w:id="90"/>
    </w:p>
    <w:p w14:paraId="4C21922F" w14:textId="757F0AB4" w:rsidR="006849F4" w:rsidRDefault="006849F4" w:rsidP="006849F4">
      <w:pPr>
        <w:pStyle w:val="BodyText"/>
      </w:pPr>
      <w:r w:rsidRPr="005A0F40">
        <w:lastRenderedPageBreak/>
        <w:t xml:space="preserve">Given the importance of </w:t>
      </w:r>
      <w:r w:rsidR="00BC336A" w:rsidRPr="005A0F40">
        <w:t xml:space="preserve">DWF losses due to </w:t>
      </w:r>
      <w:proofErr w:type="gramStart"/>
      <w:r w:rsidR="00BC336A" w:rsidRPr="005A0F40">
        <w:t xml:space="preserve">infiltration </w:t>
      </w:r>
      <w:r w:rsidRPr="005A0F40">
        <w:t>,</w:t>
      </w:r>
      <w:proofErr w:type="gramEnd"/>
      <w:r w:rsidRPr="005A0F40">
        <w:t xml:space="preserve"> an alternative approach was developed to no longer rely upon POTW effluent rates at the discharge point. Instead, the DWF rate associated with POTW discharges that arrives at WW-MISSION was estimate as follows: Q</w:t>
      </w:r>
      <w:r w:rsidRPr="005A0F40">
        <w:rPr>
          <w:vertAlign w:val="subscript"/>
        </w:rPr>
        <w:t>POTW</w:t>
      </w:r>
      <w:r w:rsidRPr="005A0F40">
        <w:t xml:space="preserve"> = Q</w:t>
      </w:r>
      <w:r w:rsidRPr="005A0F40">
        <w:rPr>
          <w:vertAlign w:val="subscript"/>
        </w:rPr>
        <w:t>USGS</w:t>
      </w:r>
      <w:r w:rsidRPr="005A0F40">
        <w:t xml:space="preserve"> – Q</w:t>
      </w:r>
      <w:r w:rsidRPr="005A0F40">
        <w:rPr>
          <w:vertAlign w:val="subscript"/>
        </w:rPr>
        <w:t>MS4</w:t>
      </w:r>
      <w:r w:rsidRPr="005A0F40">
        <w:t>, where Q</w:t>
      </w:r>
      <w:r w:rsidRPr="005A0F40">
        <w:rPr>
          <w:vertAlign w:val="subscript"/>
        </w:rPr>
        <w:t>MS4</w:t>
      </w:r>
      <w:r w:rsidRPr="005A0F40">
        <w:t xml:space="preserve"> is the sum of measured DWF at T1-MCSD, T1-BXSP, and T1-SNCH </w:t>
      </w:r>
      <w:r w:rsidR="007D7B02" w:rsidRPr="005A0F40">
        <w:t>and Q</w:t>
      </w:r>
      <w:r w:rsidR="007D7B02" w:rsidRPr="000A7506">
        <w:rPr>
          <w:vertAlign w:val="subscript"/>
        </w:rPr>
        <w:t xml:space="preserve">USGS </w:t>
      </w:r>
      <w:r w:rsidR="007D7B02" w:rsidRPr="000A7506">
        <w:t xml:space="preserve">is the daily average flow for the sample data. The </w:t>
      </w:r>
      <w:r w:rsidRPr="000A7506">
        <w:t>average Q</w:t>
      </w:r>
      <w:r w:rsidRPr="000A7506">
        <w:rPr>
          <w:vertAlign w:val="subscript"/>
        </w:rPr>
        <w:t>MS4</w:t>
      </w:r>
      <w:r w:rsidRPr="000A7506">
        <w:t xml:space="preserve"> in 2025 Synoptic study </w:t>
      </w:r>
      <w:r w:rsidR="007D7B02" w:rsidRPr="000A7506">
        <w:t xml:space="preserve">was </w:t>
      </w:r>
      <w:r w:rsidRPr="000A7506">
        <w:t>1.77 cfs.</w:t>
      </w:r>
      <w:r w:rsidRPr="00B60942">
        <w:t xml:space="preserve"> </w:t>
      </w:r>
    </w:p>
    <w:p w14:paraId="76E68535" w14:textId="1849E804" w:rsidR="00D62F66" w:rsidRPr="00730D56" w:rsidRDefault="009D6164" w:rsidP="00330A29">
      <w:pPr>
        <w:pStyle w:val="BodyText"/>
      </w:pPr>
      <w:r>
        <w:t>M</w:t>
      </w:r>
      <w:r w:rsidRPr="00DC57CD">
        <w:t>edian</w:t>
      </w:r>
      <w:r w:rsidR="00A11F84">
        <w:t>s</w:t>
      </w:r>
      <w:r>
        <w:t xml:space="preserve"> of</w:t>
      </w:r>
      <w:r w:rsidRPr="00DC57CD">
        <w:t xml:space="preserve"> weekly calculations </w:t>
      </w:r>
      <w:r w:rsidR="00A11F84">
        <w:t xml:space="preserve">of </w:t>
      </w:r>
      <w:r>
        <w:t>flow-weighted</w:t>
      </w:r>
      <w:r w:rsidR="00D62F66">
        <w:t xml:space="preserve"> average</w:t>
      </w:r>
      <w:r>
        <w:t xml:space="preserve"> </w:t>
      </w:r>
      <w:r w:rsidRPr="00A11F84">
        <w:rPr>
          <w:i/>
          <w:iCs/>
        </w:rPr>
        <w:t>E.</w:t>
      </w:r>
      <w:r w:rsidR="00A11F84">
        <w:rPr>
          <w:i/>
          <w:iCs/>
        </w:rPr>
        <w:t xml:space="preserve"> </w:t>
      </w:r>
      <w:r w:rsidRPr="00A11F84">
        <w:rPr>
          <w:i/>
          <w:iCs/>
        </w:rPr>
        <w:t>coli</w:t>
      </w:r>
      <w:r>
        <w:t xml:space="preserve"> con</w:t>
      </w:r>
      <w:r w:rsidR="00A11F84">
        <w:t xml:space="preserve">centration </w:t>
      </w:r>
      <w:r w:rsidR="002F7792">
        <w:t xml:space="preserve">during the 2025 Synoptic Study </w:t>
      </w:r>
      <w:r w:rsidR="00A773DE">
        <w:t xml:space="preserve">were </w:t>
      </w:r>
      <w:r w:rsidR="00447025">
        <w:t>403</w:t>
      </w:r>
      <w:r w:rsidRPr="00DC57CD">
        <w:t xml:space="preserve"> </w:t>
      </w:r>
      <w:r>
        <w:t>MPN</w:t>
      </w:r>
      <w:r w:rsidRPr="00DC57CD">
        <w:t>/100</w:t>
      </w:r>
      <w:r>
        <w:t xml:space="preserve"> </w:t>
      </w:r>
      <w:r w:rsidRPr="00DC57CD">
        <w:t xml:space="preserve">mL at WW-S1 and </w:t>
      </w:r>
      <w:r>
        <w:t>1</w:t>
      </w:r>
      <w:r w:rsidR="00447025">
        <w:t>63</w:t>
      </w:r>
      <w:r w:rsidRPr="00DC57CD">
        <w:t xml:space="preserve"> </w:t>
      </w:r>
      <w:r>
        <w:t>MPN</w:t>
      </w:r>
      <w:r w:rsidRPr="00DC57CD">
        <w:t>/100</w:t>
      </w:r>
      <w:r>
        <w:t xml:space="preserve"> </w:t>
      </w:r>
      <w:r w:rsidRPr="00DC57CD">
        <w:t>mL at WW-S4.</w:t>
      </w:r>
      <w:r w:rsidR="00A773DE">
        <w:t xml:space="preserve"> These estimates </w:t>
      </w:r>
      <w:r w:rsidR="00AD3FC3">
        <w:t>are significantly greater than calculated</w:t>
      </w:r>
      <w:r w:rsidR="00A773DE">
        <w:t xml:space="preserve"> values reported in previous </w:t>
      </w:r>
      <w:r w:rsidR="00AD3FC3">
        <w:t>Triennial TMDL reports</w:t>
      </w:r>
      <w:r w:rsidR="002B4005">
        <w:t xml:space="preserve"> that did not </w:t>
      </w:r>
      <w:r w:rsidR="008030DD">
        <w:t xml:space="preserve">account for </w:t>
      </w:r>
      <w:r w:rsidR="00A773DE">
        <w:t xml:space="preserve">in-stream sources </w:t>
      </w:r>
      <w:r w:rsidR="008030DD">
        <w:t>u</w:t>
      </w:r>
      <w:r w:rsidR="00A40F5B">
        <w:t>pstream</w:t>
      </w:r>
      <w:r w:rsidR="00A773DE">
        <w:t xml:space="preserve"> </w:t>
      </w:r>
      <w:r w:rsidR="008030DD">
        <w:t xml:space="preserve">from </w:t>
      </w:r>
      <w:r w:rsidR="00D62F66">
        <w:t xml:space="preserve">upstream of </w:t>
      </w:r>
      <w:r w:rsidR="00A773DE">
        <w:t xml:space="preserve">Mission Boulevard. </w:t>
      </w:r>
      <w:r w:rsidR="00A555F3">
        <w:t xml:space="preserve">In fact, </w:t>
      </w:r>
      <w:r w:rsidR="006F24FE">
        <w:t xml:space="preserve">after accounting for increased </w:t>
      </w:r>
      <w:r w:rsidR="006F24FE" w:rsidRPr="00A40F5B">
        <w:rPr>
          <w:i/>
          <w:iCs/>
        </w:rPr>
        <w:t>E. coli</w:t>
      </w:r>
      <w:r w:rsidR="006F24FE">
        <w:t xml:space="preserve"> within the SAR upstream of WW-MISSION, estimated downstream concentrations </w:t>
      </w:r>
      <w:r w:rsidR="00E1342E">
        <w:t>exceeded measured concentrations (</w:t>
      </w:r>
      <w:r w:rsidR="00E1342E" w:rsidRPr="000A7512">
        <w:rPr>
          <w:b/>
          <w:bCs/>
        </w:rPr>
        <w:t>Figure 3-1</w:t>
      </w:r>
      <w:r w:rsidR="00A37FF7">
        <w:rPr>
          <w:b/>
          <w:bCs/>
        </w:rPr>
        <w:t>1</w:t>
      </w:r>
      <w:r w:rsidR="00E1342E">
        <w:t>).</w:t>
      </w:r>
      <w:r w:rsidR="00D801DC">
        <w:t xml:space="preserve"> </w:t>
      </w:r>
      <w:r w:rsidR="00A313B2">
        <w:t xml:space="preserve">In other words, the Task Force has </w:t>
      </w:r>
      <w:r w:rsidR="00F024CC">
        <w:t xml:space="preserve">now identified with confidence the source that was previously reported as “unaccounted”. </w:t>
      </w:r>
      <w:r w:rsidR="00AB3D2D">
        <w:t xml:space="preserve">As </w:t>
      </w:r>
      <w:r w:rsidR="00387E86">
        <w:t xml:space="preserve">was </w:t>
      </w:r>
      <w:r w:rsidR="00387E86" w:rsidRPr="00730D56">
        <w:t>noted in the 2023 Triennial TMDL report</w:t>
      </w:r>
      <w:r w:rsidR="00455B72" w:rsidRPr="00730D56">
        <w:t xml:space="preserve">, the majority </w:t>
      </w:r>
      <w:r w:rsidR="000B792A" w:rsidRPr="00730D56">
        <w:t>o</w:t>
      </w:r>
      <w:r w:rsidR="00455B72" w:rsidRPr="00730D56">
        <w:t xml:space="preserve">f </w:t>
      </w:r>
      <w:r w:rsidR="00455B72" w:rsidRPr="00730D56">
        <w:rPr>
          <w:i/>
        </w:rPr>
        <w:t>E.</w:t>
      </w:r>
      <w:r w:rsidR="000F5010" w:rsidRPr="00730D56">
        <w:rPr>
          <w:i/>
        </w:rPr>
        <w:t xml:space="preserve"> </w:t>
      </w:r>
      <w:r w:rsidR="00455B72" w:rsidRPr="00730D56">
        <w:rPr>
          <w:i/>
        </w:rPr>
        <w:t>coli</w:t>
      </w:r>
      <w:r w:rsidR="00455B72" w:rsidRPr="00730D56">
        <w:t xml:space="preserve"> load to Reach 3 </w:t>
      </w:r>
      <w:r w:rsidR="00F6736D" w:rsidRPr="00730D56">
        <w:t xml:space="preserve">during dry weather </w:t>
      </w:r>
      <w:r w:rsidR="00EB61EE" w:rsidRPr="00730D56">
        <w:t xml:space="preserve">is associated with </w:t>
      </w:r>
      <w:r w:rsidR="00567BE5" w:rsidRPr="00730D56">
        <w:t>instream sources</w:t>
      </w:r>
      <w:r w:rsidR="00E700C9" w:rsidRPr="00730D56">
        <w:t>.</w:t>
      </w:r>
      <w:r w:rsidR="00091DAA" w:rsidRPr="00730D56">
        <w:t xml:space="preserve"> </w:t>
      </w:r>
      <w:r w:rsidR="00E2788E" w:rsidRPr="00730D56">
        <w:t xml:space="preserve">During the </w:t>
      </w:r>
      <w:r w:rsidR="0000671A" w:rsidRPr="00730D56">
        <w:t>five-week</w:t>
      </w:r>
      <w:r w:rsidR="00E2788E" w:rsidRPr="00730D56">
        <w:t xml:space="preserve"> 2025 Synoptic Study, this in-stream source represented </w:t>
      </w:r>
      <w:r w:rsidR="00447025">
        <w:t>~</w:t>
      </w:r>
      <w:r w:rsidR="00155E93" w:rsidRPr="00730D56">
        <w:t>7</w:t>
      </w:r>
      <w:r w:rsidR="00447025">
        <w:t>0</w:t>
      </w:r>
      <w:r w:rsidR="00E2788E" w:rsidRPr="00730D56">
        <w:t xml:space="preserve"> percent of the total </w:t>
      </w:r>
      <w:r w:rsidR="00826A62" w:rsidRPr="00730D56">
        <w:t xml:space="preserve">load of </w:t>
      </w:r>
      <w:r w:rsidR="00826A62" w:rsidRPr="00730D56">
        <w:rPr>
          <w:i/>
          <w:iCs/>
        </w:rPr>
        <w:t>E. coli</w:t>
      </w:r>
      <w:r w:rsidR="00826A62" w:rsidRPr="00730D56">
        <w:t xml:space="preserve"> to Reach 3 of the SAR </w:t>
      </w:r>
      <w:r w:rsidR="000C6872">
        <w:t xml:space="preserve">based on medians </w:t>
      </w:r>
      <w:r w:rsidR="00826A62" w:rsidRPr="00730D56">
        <w:t>(</w:t>
      </w:r>
      <w:r w:rsidR="00826A62" w:rsidRPr="00730D56">
        <w:rPr>
          <w:b/>
          <w:bCs/>
        </w:rPr>
        <w:t>Figure 3-1</w:t>
      </w:r>
      <w:r w:rsidR="00A37FF7">
        <w:rPr>
          <w:b/>
          <w:bCs/>
        </w:rPr>
        <w:t>2</w:t>
      </w:r>
      <w:r w:rsidR="00826A62" w:rsidRPr="00730D56">
        <w:t xml:space="preserve">). </w:t>
      </w:r>
      <w:r w:rsidR="00091DAA" w:rsidRPr="00730D56">
        <w:t xml:space="preserve">Ongoing collection of routine samples at the WW-MISSION site validates the </w:t>
      </w:r>
      <w:r w:rsidR="00CD70F6" w:rsidRPr="00730D56">
        <w:t xml:space="preserve">persistent nature of </w:t>
      </w:r>
      <w:r w:rsidR="00FE6581" w:rsidRPr="00730D56">
        <w:t>this source</w:t>
      </w:r>
      <w:r w:rsidR="00CD70F6" w:rsidRPr="00730D56">
        <w:t xml:space="preserve"> </w:t>
      </w:r>
      <w:r w:rsidR="00275039" w:rsidRPr="00730D56">
        <w:t xml:space="preserve">and show that samples collected during the 2025 Synoptic Study were </w:t>
      </w:r>
      <w:r w:rsidR="001B3394" w:rsidRPr="00730D56">
        <w:t xml:space="preserve">representative of the </w:t>
      </w:r>
      <w:r w:rsidR="00CA73D2" w:rsidRPr="00730D56">
        <w:t xml:space="preserve">range of measured </w:t>
      </w:r>
      <w:r w:rsidR="00CA73D2" w:rsidRPr="00730D56">
        <w:rPr>
          <w:i/>
          <w:iCs/>
        </w:rPr>
        <w:t>E. coli</w:t>
      </w:r>
      <w:r w:rsidR="00CA73D2" w:rsidRPr="00730D56">
        <w:t xml:space="preserve"> over the period of record from 2019 – 20</w:t>
      </w:r>
      <w:r w:rsidR="00E51386" w:rsidRPr="00730D56">
        <w:t>2</w:t>
      </w:r>
      <w:r w:rsidR="00CA73D2" w:rsidRPr="00730D56">
        <w:t xml:space="preserve">5 </w:t>
      </w:r>
      <w:r w:rsidR="00607C9E" w:rsidRPr="00730D56">
        <w:t>(</w:t>
      </w:r>
      <w:r w:rsidR="00607C9E" w:rsidRPr="00730D56">
        <w:rPr>
          <w:b/>
          <w:bCs/>
        </w:rPr>
        <w:t>Figure 3-</w:t>
      </w:r>
      <w:r w:rsidR="00FE6581" w:rsidRPr="00730D56">
        <w:rPr>
          <w:b/>
          <w:bCs/>
        </w:rPr>
        <w:t>1</w:t>
      </w:r>
      <w:r w:rsidR="00A37FF7">
        <w:rPr>
          <w:b/>
          <w:bCs/>
        </w:rPr>
        <w:t>3</w:t>
      </w:r>
      <w:r w:rsidR="00607C9E" w:rsidRPr="00730D56">
        <w:t xml:space="preserve">). </w:t>
      </w:r>
    </w:p>
    <w:p w14:paraId="664477B0" w14:textId="76BFED1A" w:rsidR="00521DEA" w:rsidRDefault="00E51808" w:rsidP="00DF12AF">
      <w:pPr>
        <w:pStyle w:val="BodyText"/>
        <w:spacing w:after="120"/>
      </w:pPr>
      <w:r w:rsidRPr="00730D56">
        <w:t xml:space="preserve">For the remaining </w:t>
      </w:r>
      <w:r w:rsidR="00155E93" w:rsidRPr="00730D56">
        <w:t>~</w:t>
      </w:r>
      <w:r w:rsidR="00447025">
        <w:t>3</w:t>
      </w:r>
      <w:r w:rsidR="00155E93" w:rsidRPr="00730D56">
        <w:t>0</w:t>
      </w:r>
      <w:r w:rsidR="0036471F" w:rsidRPr="00730D56">
        <w:t xml:space="preserve"> percent of </w:t>
      </w:r>
      <w:r w:rsidR="0036471F" w:rsidRPr="00730D56">
        <w:rPr>
          <w:i/>
          <w:iCs/>
        </w:rPr>
        <w:t>E.</w:t>
      </w:r>
      <w:r w:rsidR="00155E93" w:rsidRPr="00730D56">
        <w:rPr>
          <w:i/>
          <w:iCs/>
        </w:rPr>
        <w:t xml:space="preserve"> </w:t>
      </w:r>
      <w:r w:rsidR="0036471F" w:rsidRPr="00730D56">
        <w:rPr>
          <w:i/>
          <w:iCs/>
        </w:rPr>
        <w:t>coli</w:t>
      </w:r>
      <w:r w:rsidR="0036471F" w:rsidRPr="00730D56">
        <w:t xml:space="preserve"> load to Reach 3 of the SAR, the relative role of the six monitored Tier 1 MS4 outfalls </w:t>
      </w:r>
      <w:r w:rsidR="00447025">
        <w:t xml:space="preserve">(upstream of WW-S4 compliance sites) </w:t>
      </w:r>
      <w:r w:rsidR="0036471F" w:rsidRPr="00730D56">
        <w:t>varied week to week</w:t>
      </w:r>
      <w:r w:rsidR="00155E93" w:rsidRPr="00730D56">
        <w:t xml:space="preserve"> (</w:t>
      </w:r>
      <w:r w:rsidR="00155E93" w:rsidRPr="00730D56">
        <w:rPr>
          <w:b/>
          <w:bCs/>
        </w:rPr>
        <w:t>Figure 3-1</w:t>
      </w:r>
      <w:r w:rsidR="00A37FF7">
        <w:rPr>
          <w:b/>
          <w:bCs/>
        </w:rPr>
        <w:t>4</w:t>
      </w:r>
      <w:r w:rsidR="00155E93" w:rsidRPr="00730D56">
        <w:t>)</w:t>
      </w:r>
      <w:r w:rsidR="00870935" w:rsidRPr="00730D56">
        <w:t>. Persistently high concentrations were observed in</w:t>
      </w:r>
      <w:r w:rsidR="004071C3" w:rsidRPr="00730D56">
        <w:t xml:space="preserve"> </w:t>
      </w:r>
      <w:r w:rsidR="00870935" w:rsidRPr="00730D56">
        <w:t>T1-MCSD</w:t>
      </w:r>
      <w:r w:rsidR="004071C3" w:rsidRPr="00730D56">
        <w:t>, T1-BXSP, T1-SSCH, and T1-DAY</w:t>
      </w:r>
      <w:r w:rsidR="00383E85" w:rsidRPr="00730D56">
        <w:t xml:space="preserve">; however, low DWF volumes limited the influence </w:t>
      </w:r>
      <w:r w:rsidR="00904729" w:rsidRPr="00730D56">
        <w:t xml:space="preserve">on downstream blended concentration </w:t>
      </w:r>
      <w:r w:rsidR="00383E85" w:rsidRPr="00730D56">
        <w:t>in the case of T1-SSCH and T</w:t>
      </w:r>
      <w:r w:rsidR="00B13405" w:rsidRPr="00730D56">
        <w:t xml:space="preserve">1-DAY. A significantly different condition </w:t>
      </w:r>
      <w:r w:rsidR="00320F93" w:rsidRPr="00730D56">
        <w:t xml:space="preserve">involving a large release of water </w:t>
      </w:r>
      <w:r w:rsidR="00B13405" w:rsidRPr="00730D56">
        <w:t>was observed</w:t>
      </w:r>
      <w:r w:rsidR="00A34E16" w:rsidRPr="00730D56">
        <w:t xml:space="preserve"> at T1-BXSP </w:t>
      </w:r>
      <w:r w:rsidR="00CC377B" w:rsidRPr="00730D56">
        <w:t>on 9/2/25 (</w:t>
      </w:r>
      <w:r w:rsidR="00A34E16" w:rsidRPr="00730D56">
        <w:t xml:space="preserve">week 5 of the </w:t>
      </w:r>
      <w:r w:rsidR="00E51386" w:rsidRPr="00730D56">
        <w:t xml:space="preserve">synoptic </w:t>
      </w:r>
      <w:r w:rsidR="00A34E16" w:rsidRPr="00730D56">
        <w:t>study</w:t>
      </w:r>
      <w:r w:rsidR="00E51386" w:rsidRPr="00730D56">
        <w:t>)</w:t>
      </w:r>
      <w:r w:rsidR="001E116E" w:rsidRPr="00730D56">
        <w:t xml:space="preserve"> that </w:t>
      </w:r>
      <w:r w:rsidR="00364F93" w:rsidRPr="00730D56">
        <w:t>increas</w:t>
      </w:r>
      <w:r w:rsidR="001E116E" w:rsidRPr="00730D56">
        <w:t xml:space="preserve">ed the </w:t>
      </w:r>
      <w:r w:rsidR="00364F93" w:rsidRPr="00730D56">
        <w:t>DWF rate from 0.</w:t>
      </w:r>
      <w:r w:rsidR="00DA1263" w:rsidRPr="00730D56">
        <w:t xml:space="preserve">09 </w:t>
      </w:r>
      <w:r w:rsidR="00364F93" w:rsidRPr="00730D56">
        <w:t>-</w:t>
      </w:r>
      <w:r w:rsidR="00DA1263" w:rsidRPr="00730D56">
        <w:t xml:space="preserve"> </w:t>
      </w:r>
      <w:r w:rsidR="00364F93" w:rsidRPr="00730D56">
        <w:t>0.</w:t>
      </w:r>
      <w:r w:rsidR="00DA1263" w:rsidRPr="00730D56">
        <w:t xml:space="preserve">11 cfs </w:t>
      </w:r>
      <w:r w:rsidR="00364F93" w:rsidRPr="00730D56">
        <w:t>measured in weeks 1-4 to 7</w:t>
      </w:r>
      <w:r w:rsidR="001E116E" w:rsidRPr="00730D56">
        <w:t>.4</w:t>
      </w:r>
      <w:r w:rsidR="00364F93" w:rsidRPr="00730D56">
        <w:t xml:space="preserve"> cfs. </w:t>
      </w:r>
      <w:r w:rsidR="00953F9B" w:rsidRPr="00730D56">
        <w:rPr>
          <w:i/>
          <w:iCs/>
        </w:rPr>
        <w:t>E.</w:t>
      </w:r>
      <w:r w:rsidR="00C56F64" w:rsidRPr="00730D56">
        <w:rPr>
          <w:i/>
          <w:iCs/>
        </w:rPr>
        <w:t xml:space="preserve"> </w:t>
      </w:r>
      <w:r w:rsidR="00953F9B" w:rsidRPr="00730D56">
        <w:rPr>
          <w:i/>
          <w:iCs/>
        </w:rPr>
        <w:t>coli</w:t>
      </w:r>
      <w:r w:rsidR="00953F9B" w:rsidRPr="00730D56">
        <w:t xml:space="preserve"> loads increased 200</w:t>
      </w:r>
      <w:r w:rsidR="00C56F64" w:rsidRPr="00730D56">
        <w:t>-</w:t>
      </w:r>
      <w:r w:rsidR="00953F9B" w:rsidRPr="00730D56">
        <w:t xml:space="preserve">fold from a week 1-4 average of </w:t>
      </w:r>
      <w:r w:rsidR="00B12D2C" w:rsidRPr="00730D56">
        <w:t xml:space="preserve">12 billion MPN/day to over </w:t>
      </w:r>
      <w:r w:rsidR="00C56F64" w:rsidRPr="00730D56">
        <w:t xml:space="preserve">2300 billion MPN/day. </w:t>
      </w:r>
      <w:r w:rsidR="00F83036" w:rsidRPr="00730D56">
        <w:t xml:space="preserve">In previous synoptic surveys, the </w:t>
      </w:r>
      <w:r w:rsidR="00133982" w:rsidRPr="00730D56">
        <w:t xml:space="preserve">potential for large water releases to cause fecal bacteria to be mobilized has been noted </w:t>
      </w:r>
      <w:r w:rsidR="00674FEA" w:rsidRPr="00730D56">
        <w:t>(see summary for Chino Creek in Appendix C).</w:t>
      </w:r>
      <w:r w:rsidR="00F83036" w:rsidRPr="00730D56">
        <w:t xml:space="preserve"> </w:t>
      </w:r>
      <w:r w:rsidR="003C1FC2" w:rsidRPr="00730D56">
        <w:t xml:space="preserve">RCFC&amp;WCD </w:t>
      </w:r>
      <w:r w:rsidR="00A34E16" w:rsidRPr="00730D56">
        <w:t>field crews resample</w:t>
      </w:r>
      <w:r w:rsidR="00C603FC" w:rsidRPr="00730D56">
        <w:t>d</w:t>
      </w:r>
      <w:r w:rsidR="00A34E16" w:rsidRPr="00730D56">
        <w:t xml:space="preserve"> </w:t>
      </w:r>
      <w:r w:rsidR="006C3B95" w:rsidRPr="00730D56">
        <w:t xml:space="preserve">T1-BXSP during week 5 </w:t>
      </w:r>
      <w:r w:rsidR="00D81570" w:rsidRPr="00730D56">
        <w:t xml:space="preserve">on 9/4/25. The </w:t>
      </w:r>
      <w:r w:rsidR="00C603FC" w:rsidRPr="00730D56">
        <w:t xml:space="preserve">increased DWF </w:t>
      </w:r>
      <w:r w:rsidR="00D81570" w:rsidRPr="00730D56">
        <w:t xml:space="preserve">condition </w:t>
      </w:r>
      <w:r w:rsidR="001D577C" w:rsidRPr="00730D56">
        <w:t xml:space="preserve">persisted </w:t>
      </w:r>
      <w:r w:rsidR="00C603FC" w:rsidRPr="00730D56">
        <w:t xml:space="preserve">at the </w:t>
      </w:r>
      <w:r w:rsidR="00A34E16" w:rsidRPr="00730D56">
        <w:t xml:space="preserve">site </w:t>
      </w:r>
      <w:r w:rsidR="00D762C0" w:rsidRPr="00730D56">
        <w:t>on 9/4/25 with measured flowrate of 2.0 cfs</w:t>
      </w:r>
      <w:r w:rsidR="00AA0D9D" w:rsidRPr="00730D56">
        <w:t xml:space="preserve">; however, </w:t>
      </w:r>
      <w:r w:rsidR="00AA0D9D" w:rsidRPr="00730D56">
        <w:rPr>
          <w:i/>
          <w:iCs/>
        </w:rPr>
        <w:t>E. coli</w:t>
      </w:r>
      <w:r w:rsidR="00AA0D9D" w:rsidRPr="00730D56">
        <w:t xml:space="preserve"> load was </w:t>
      </w:r>
      <w:r w:rsidR="001032CB" w:rsidRPr="00730D56">
        <w:t>reduced to 68 billion MPN/day</w:t>
      </w:r>
      <w:r w:rsidR="00D762C0" w:rsidRPr="00730D56">
        <w:t>.</w:t>
      </w:r>
      <w:r w:rsidR="001032CB" w:rsidRPr="00730D56">
        <w:t xml:space="preserve"> </w:t>
      </w:r>
      <w:r w:rsidR="00DE7BDB" w:rsidRPr="00730D56">
        <w:t>Results from re</w:t>
      </w:r>
      <w:r w:rsidR="00730D56">
        <w:t>-</w:t>
      </w:r>
      <w:r w:rsidR="00DE7BDB" w:rsidRPr="00730D56">
        <w:t xml:space="preserve">sampling on </w:t>
      </w:r>
      <w:r w:rsidR="001032CB" w:rsidRPr="00730D56">
        <w:t xml:space="preserve">9/4/25 </w:t>
      </w:r>
      <w:r w:rsidR="00A32F99" w:rsidRPr="00730D56">
        <w:t xml:space="preserve">were used to represent week 5 at T1-BXSP </w:t>
      </w:r>
      <w:r w:rsidR="001032CB" w:rsidRPr="00730D56">
        <w:t xml:space="preserve">in </w:t>
      </w:r>
      <w:r w:rsidR="00DE24CB" w:rsidRPr="00730D56">
        <w:t>source contribution analys</w:t>
      </w:r>
      <w:r w:rsidR="00904729" w:rsidRPr="00730D56">
        <w:t>e</w:t>
      </w:r>
      <w:r w:rsidR="00DE24CB" w:rsidRPr="00730D56">
        <w:t xml:space="preserve">s </w:t>
      </w:r>
      <w:r w:rsidR="00904729" w:rsidRPr="00730D56">
        <w:t xml:space="preserve">below </w:t>
      </w:r>
      <w:r w:rsidR="00A32F99" w:rsidRPr="00730D56">
        <w:t>(</w:t>
      </w:r>
      <w:r w:rsidR="0015608E" w:rsidRPr="00730D56">
        <w:t xml:space="preserve">also </w:t>
      </w:r>
      <w:r w:rsidR="00A32F99" w:rsidRPr="00730D56">
        <w:t xml:space="preserve">see Section 3.1.3 above) </w:t>
      </w:r>
      <w:r w:rsidR="00DE24CB" w:rsidRPr="00730D56">
        <w:t xml:space="preserve">and to </w:t>
      </w:r>
      <w:r w:rsidR="00521DEA" w:rsidRPr="00730D56">
        <w:t>support</w:t>
      </w:r>
      <w:r w:rsidR="00521DEA">
        <w:t xml:space="preserve"> </w:t>
      </w:r>
      <w:r w:rsidR="00521DEA" w:rsidRPr="00730D56">
        <w:t>prioritization</w:t>
      </w:r>
      <w:r w:rsidR="00DE24CB" w:rsidRPr="00730D56">
        <w:t xml:space="preserve"> (see Section 4).</w:t>
      </w:r>
    </w:p>
    <w:p w14:paraId="6D83E54A" w14:textId="64A6E97D" w:rsidR="001A13A9" w:rsidRDefault="001A13A9" w:rsidP="00DF12AF">
      <w:pPr>
        <w:pStyle w:val="BodyText"/>
        <w:spacing w:after="120"/>
      </w:pPr>
      <w:r>
        <w:rPr>
          <w:noProof/>
        </w:rPr>
        <w:lastRenderedPageBreak/>
        <w:drawing>
          <wp:inline distT="0" distB="0" distL="0" distR="0" wp14:anchorId="4FC8ABE8" wp14:editId="7D313F40">
            <wp:extent cx="6154602" cy="7124700"/>
            <wp:effectExtent l="0" t="0" r="0" b="0"/>
            <wp:docPr id="16188295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t="6189"/>
                    <a:stretch>
                      <a:fillRect/>
                    </a:stretch>
                  </pic:blipFill>
                  <pic:spPr bwMode="auto">
                    <a:xfrm>
                      <a:off x="0" y="0"/>
                      <a:ext cx="6165187" cy="7136954"/>
                    </a:xfrm>
                    <a:prstGeom prst="rect">
                      <a:avLst/>
                    </a:prstGeom>
                    <a:noFill/>
                    <a:ln>
                      <a:noFill/>
                    </a:ln>
                    <a:extLst>
                      <a:ext uri="{53640926-AAD7-44D8-BBD7-CCE9431645EC}">
                        <a14:shadowObscured xmlns:a14="http://schemas.microsoft.com/office/drawing/2010/main"/>
                      </a:ext>
                    </a:extLst>
                  </pic:spPr>
                </pic:pic>
              </a:graphicData>
            </a:graphic>
          </wp:inline>
        </w:drawing>
      </w:r>
    </w:p>
    <w:p w14:paraId="7CDC5DC8" w14:textId="00B7F50A" w:rsidR="008C59F2" w:rsidRDefault="00F33FD0" w:rsidP="00F33FD0">
      <w:pPr>
        <w:pStyle w:val="Caption"/>
      </w:pPr>
      <w:bookmarkStart w:id="91" w:name="_Toc217394568"/>
      <w:bookmarkStart w:id="92" w:name="_Toc217394763"/>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10</w:t>
      </w:r>
      <w:r w:rsidR="0023167A">
        <w:fldChar w:fldCharType="end"/>
      </w:r>
      <w:r>
        <w:t xml:space="preserve">. </w:t>
      </w:r>
      <w:r w:rsidRPr="00F33FD0">
        <w:t>Schematic Showing Known Bacteria Inputs, D</w:t>
      </w:r>
      <w:r>
        <w:t>ry Weather</w:t>
      </w:r>
      <w:r w:rsidRPr="00F33FD0">
        <w:t xml:space="preserve"> Inflows and POTW Effluent Discharges to the Santa Ana River in Relation to Downstream Compliance Monitoring Sites</w:t>
      </w:r>
      <w:bookmarkEnd w:id="91"/>
      <w:bookmarkEnd w:id="92"/>
    </w:p>
    <w:p w14:paraId="70171708" w14:textId="5F29B22F" w:rsidR="00524F10" w:rsidRDefault="00C60E55" w:rsidP="004A7DFB">
      <w:pPr>
        <w:pStyle w:val="BodyText"/>
        <w:keepNext/>
        <w:spacing w:after="200"/>
        <w:rPr>
          <w:b/>
          <w:szCs w:val="21"/>
        </w:rPr>
      </w:pPr>
      <w:r>
        <w:rPr>
          <w:b/>
          <w:noProof/>
          <w:szCs w:val="21"/>
        </w:rPr>
        <w:lastRenderedPageBreak/>
        <w:drawing>
          <wp:inline distT="0" distB="0" distL="0" distR="0" wp14:anchorId="2118AF1B" wp14:editId="6C8AF53E">
            <wp:extent cx="4227830" cy="3500755"/>
            <wp:effectExtent l="0" t="0" r="1270" b="4445"/>
            <wp:docPr id="14034680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27830" cy="3500755"/>
                    </a:xfrm>
                    <a:prstGeom prst="rect">
                      <a:avLst/>
                    </a:prstGeom>
                    <a:noFill/>
                  </pic:spPr>
                </pic:pic>
              </a:graphicData>
            </a:graphic>
          </wp:inline>
        </w:drawing>
      </w:r>
      <w:r w:rsidR="00E94EFA">
        <w:rPr>
          <w:b/>
          <w:noProof/>
          <w:szCs w:val="21"/>
        </w:rPr>
        <w:drawing>
          <wp:inline distT="0" distB="0" distL="0" distR="0" wp14:anchorId="5186463F" wp14:editId="5CF45033">
            <wp:extent cx="4233672" cy="3474720"/>
            <wp:effectExtent l="0" t="0" r="0" b="0"/>
            <wp:docPr id="4203805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33672" cy="3474720"/>
                    </a:xfrm>
                    <a:prstGeom prst="rect">
                      <a:avLst/>
                    </a:prstGeom>
                    <a:noFill/>
                  </pic:spPr>
                </pic:pic>
              </a:graphicData>
            </a:graphic>
          </wp:inline>
        </w:drawing>
      </w:r>
    </w:p>
    <w:p w14:paraId="4881E40B" w14:textId="502A6B13" w:rsidR="00447025" w:rsidRDefault="004A7DFB" w:rsidP="004A7DFB">
      <w:pPr>
        <w:pStyle w:val="Caption"/>
        <w:rPr>
          <w:b w:val="0"/>
          <w:bCs/>
          <w:szCs w:val="24"/>
        </w:rPr>
      </w:pPr>
      <w:bookmarkStart w:id="93" w:name="_Toc217394569"/>
      <w:bookmarkStart w:id="94" w:name="_Toc217394764"/>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11</w:t>
      </w:r>
      <w:r w:rsidR="0023167A">
        <w:fldChar w:fldCharType="end"/>
      </w:r>
      <w:r>
        <w:t xml:space="preserve">. </w:t>
      </w:r>
      <w:r w:rsidRPr="004A7DFB">
        <w:t xml:space="preserve">Comparison of Estimated Blended </w:t>
      </w:r>
      <w:r w:rsidRPr="004A7DFB">
        <w:rPr>
          <w:i/>
          <w:iCs w:val="0"/>
        </w:rPr>
        <w:t xml:space="preserve">E. </w:t>
      </w:r>
      <w:proofErr w:type="gramStart"/>
      <w:r w:rsidRPr="004A7DFB">
        <w:rPr>
          <w:i/>
          <w:iCs w:val="0"/>
        </w:rPr>
        <w:t>coli</w:t>
      </w:r>
      <w:proofErr w:type="gramEnd"/>
      <w:r w:rsidRPr="004A7DFB">
        <w:t xml:space="preserve"> Concentration</w:t>
      </w:r>
      <w:r>
        <w:t>s</w:t>
      </w:r>
      <w:r w:rsidRPr="004A7DFB">
        <w:t xml:space="preserve"> of MS4 Inflows with Downstream Watershed-wide Compliance Monitoring Data for Santa Ana River </w:t>
      </w:r>
      <w:r>
        <w:t>Sites</w:t>
      </w:r>
      <w:bookmarkEnd w:id="93"/>
      <w:bookmarkEnd w:id="94"/>
    </w:p>
    <w:p w14:paraId="157D47BB" w14:textId="77777777" w:rsidR="004A7DFB" w:rsidRDefault="00447025" w:rsidP="004A7DFB">
      <w:pPr>
        <w:pStyle w:val="BodyText"/>
        <w:spacing w:after="0"/>
        <w:rPr>
          <w:b/>
          <w:bCs/>
          <w:szCs w:val="24"/>
        </w:rPr>
      </w:pPr>
      <w:r>
        <w:rPr>
          <w:b/>
          <w:bCs/>
          <w:noProof/>
          <w:szCs w:val="24"/>
        </w:rPr>
        <w:lastRenderedPageBreak/>
        <w:drawing>
          <wp:inline distT="0" distB="0" distL="0" distR="0" wp14:anchorId="0CC85973" wp14:editId="4B24DB8C">
            <wp:extent cx="4334256" cy="3364992"/>
            <wp:effectExtent l="19050" t="19050" r="28575" b="26035"/>
            <wp:docPr id="4042958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28A0092B-C50C-407E-A947-70E740481C1C}">
                          <a14:useLocalDpi xmlns:a14="http://schemas.microsoft.com/office/drawing/2010/main" val="0"/>
                        </a:ext>
                      </a:extLst>
                    </a:blip>
                    <a:srcRect l="4506" t="14629" r="3522" b="741"/>
                    <a:stretch>
                      <a:fillRect/>
                    </a:stretch>
                  </pic:blipFill>
                  <pic:spPr bwMode="auto">
                    <a:xfrm>
                      <a:off x="0" y="0"/>
                      <a:ext cx="4334256" cy="33649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C437CA" w14:textId="4CCD2D6E" w:rsidR="004A7DFB" w:rsidRPr="004A7DFB" w:rsidRDefault="004A7DFB" w:rsidP="004A7DFB">
      <w:pPr>
        <w:pStyle w:val="BodyText"/>
        <w:spacing w:after="120"/>
        <w:rPr>
          <w:rFonts w:ascii="Arial" w:hAnsi="Arial" w:cs="Arial"/>
          <w:sz w:val="16"/>
          <w:szCs w:val="16"/>
        </w:rPr>
      </w:pPr>
      <w:r w:rsidRPr="004A7DFB">
        <w:rPr>
          <w:rFonts w:ascii="Arial" w:hAnsi="Arial" w:cs="Arial"/>
          <w:sz w:val="16"/>
          <w:szCs w:val="16"/>
        </w:rPr>
        <w:t>Note: EVLD and EVLE discharge downstream of TMDL compliance monitoring sites.</w:t>
      </w:r>
    </w:p>
    <w:p w14:paraId="1CB10EBE" w14:textId="532CE88F" w:rsidR="004A7DFB" w:rsidRDefault="004A7DFB" w:rsidP="004A7DFB">
      <w:pPr>
        <w:pStyle w:val="Caption"/>
        <w:spacing w:after="240"/>
      </w:pPr>
      <w:bookmarkStart w:id="95" w:name="_Toc217394570"/>
      <w:bookmarkStart w:id="96" w:name="_Toc217394765"/>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12</w:t>
      </w:r>
      <w:r w:rsidR="0023167A">
        <w:fldChar w:fldCharType="end"/>
      </w:r>
      <w:r>
        <w:t xml:space="preserve">. </w:t>
      </w:r>
      <w:r w:rsidRPr="004A7DFB">
        <w:t>Relative Contribution</w:t>
      </w:r>
      <w:r>
        <w:t>s</w:t>
      </w:r>
      <w:r w:rsidRPr="004A7DFB">
        <w:t xml:space="preserve"> during 2025 Synoptic Study of </w:t>
      </w:r>
      <w:r w:rsidRPr="004A7DFB">
        <w:rPr>
          <w:i/>
          <w:iCs w:val="0"/>
        </w:rPr>
        <w:t>E. coli</w:t>
      </w:r>
      <w:r w:rsidRPr="004A7DFB">
        <w:t xml:space="preserve"> Load</w:t>
      </w:r>
      <w:r>
        <w:t>s</w:t>
      </w:r>
      <w:r w:rsidRPr="004A7DFB">
        <w:t xml:space="preserve"> (billion MPN/day) to Santa Ana River Reach 3 from Upstream Tier 1 MS4 Outfalls</w:t>
      </w:r>
      <w:bookmarkEnd w:id="95"/>
      <w:bookmarkEnd w:id="96"/>
    </w:p>
    <w:p w14:paraId="60EF6DF7" w14:textId="4E5F7DB4" w:rsidR="004A7DFB" w:rsidRDefault="003741D0" w:rsidP="004A7DFB">
      <w:pPr>
        <w:tabs>
          <w:tab w:val="left" w:pos="2792"/>
        </w:tabs>
        <w:spacing w:before="240" w:after="40"/>
        <w:rPr>
          <w:b/>
          <w:szCs w:val="21"/>
        </w:rPr>
      </w:pPr>
      <w:r>
        <w:rPr>
          <w:b/>
          <w:noProof/>
          <w:szCs w:val="21"/>
        </w:rPr>
        <w:drawing>
          <wp:inline distT="0" distB="0" distL="0" distR="0" wp14:anchorId="343D24A5" wp14:editId="4A12837D">
            <wp:extent cx="5438775" cy="3262812"/>
            <wp:effectExtent l="19050" t="19050" r="9525" b="13970"/>
            <wp:docPr id="13399722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2726" cy="3265182"/>
                    </a:xfrm>
                    <a:prstGeom prst="rect">
                      <a:avLst/>
                    </a:prstGeom>
                    <a:noFill/>
                    <a:ln>
                      <a:solidFill>
                        <a:schemeClr val="bg1">
                          <a:lumMod val="50000"/>
                        </a:schemeClr>
                      </a:solidFill>
                    </a:ln>
                  </pic:spPr>
                </pic:pic>
              </a:graphicData>
            </a:graphic>
          </wp:inline>
        </w:drawing>
      </w:r>
    </w:p>
    <w:p w14:paraId="7FFD8E59" w14:textId="22DCB40C" w:rsidR="004A7DFB" w:rsidRDefault="004A7DFB" w:rsidP="004A7DFB">
      <w:pPr>
        <w:pStyle w:val="Caption"/>
      </w:pPr>
      <w:bookmarkStart w:id="97" w:name="_Toc217394571"/>
      <w:bookmarkStart w:id="98" w:name="_Toc217394766"/>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13</w:t>
      </w:r>
      <w:r w:rsidR="0023167A">
        <w:fldChar w:fldCharType="end"/>
      </w:r>
      <w:r>
        <w:t xml:space="preserve">. </w:t>
      </w:r>
      <w:r w:rsidRPr="004A7DFB">
        <w:t>E. coli Concentrations in Santa Ana River at Mission Boulevard (WW-MISSION) during Dry Weather (2019-2025, n=151)</w:t>
      </w:r>
      <w:bookmarkEnd w:id="97"/>
      <w:bookmarkEnd w:id="98"/>
    </w:p>
    <w:p w14:paraId="104E3FA6" w14:textId="479848BF" w:rsidR="00354FC6" w:rsidRDefault="00354FC6" w:rsidP="004A7DFB">
      <w:pPr>
        <w:pStyle w:val="LFTBody"/>
        <w:keepNext/>
        <w:spacing w:after="0" w:line="240" w:lineRule="auto"/>
        <w:rPr>
          <w:rFonts w:ascii="Times New Roman" w:hAnsi="Times New Roman" w:cs="Times New Roman"/>
          <w:b/>
          <w:sz w:val="24"/>
          <w:szCs w:val="24"/>
        </w:rPr>
      </w:pPr>
      <w:r w:rsidRPr="00354FC6">
        <w:rPr>
          <w:rFonts w:ascii="Times New Roman" w:hAnsi="Times New Roman" w:cs="Times New Roman"/>
          <w:b/>
          <w:noProof/>
          <w:sz w:val="24"/>
          <w:szCs w:val="24"/>
        </w:rPr>
        <w:lastRenderedPageBreak/>
        <w:drawing>
          <wp:inline distT="0" distB="0" distL="0" distR="0" wp14:anchorId="51074CBF" wp14:editId="72C4A009">
            <wp:extent cx="4852670" cy="3072765"/>
            <wp:effectExtent l="0" t="0" r="5080" b="0"/>
            <wp:docPr id="15186988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52670" cy="3072765"/>
                    </a:xfrm>
                    <a:prstGeom prst="rect">
                      <a:avLst/>
                    </a:prstGeom>
                    <a:noFill/>
                  </pic:spPr>
                </pic:pic>
              </a:graphicData>
            </a:graphic>
          </wp:inline>
        </w:drawing>
      </w:r>
      <w:r w:rsidRPr="00354FC6">
        <w:rPr>
          <w:rFonts w:ascii="Times New Roman" w:hAnsi="Times New Roman" w:cs="Times New Roman"/>
          <w:b/>
          <w:sz w:val="24"/>
          <w:szCs w:val="24"/>
        </w:rPr>
        <w:t xml:space="preserve"> </w:t>
      </w:r>
    </w:p>
    <w:p w14:paraId="1146AD13" w14:textId="5E1A3B11" w:rsidR="004A7DFB" w:rsidRPr="004A7DFB" w:rsidRDefault="004A7DFB" w:rsidP="004A7DFB">
      <w:pPr>
        <w:pStyle w:val="LFTBody"/>
        <w:keepNext/>
        <w:spacing w:after="120" w:line="240" w:lineRule="auto"/>
        <w:rPr>
          <w:rFonts w:ascii="Arial" w:hAnsi="Arial" w:cs="Arial"/>
          <w:bCs/>
          <w:sz w:val="16"/>
          <w:szCs w:val="16"/>
        </w:rPr>
      </w:pPr>
      <w:r w:rsidRPr="004A7DFB">
        <w:rPr>
          <w:rFonts w:ascii="Arial" w:hAnsi="Arial" w:cs="Arial"/>
          <w:bCs/>
          <w:sz w:val="16"/>
          <w:szCs w:val="16"/>
        </w:rPr>
        <w:t>Note: this figure does not account for loads from EVLD and EVLE.</w:t>
      </w:r>
    </w:p>
    <w:p w14:paraId="1C7C0CF4" w14:textId="6D2207AD" w:rsidR="004A7DFB" w:rsidRDefault="004A7DFB" w:rsidP="004A7DFB">
      <w:pPr>
        <w:pStyle w:val="Caption"/>
        <w:spacing w:after="240"/>
      </w:pPr>
      <w:bookmarkStart w:id="99" w:name="_Toc217394572"/>
      <w:bookmarkStart w:id="100" w:name="_Toc217394767"/>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14</w:t>
      </w:r>
      <w:r w:rsidR="0023167A">
        <w:fldChar w:fldCharType="end"/>
      </w:r>
      <w:r>
        <w:t xml:space="preserve">. </w:t>
      </w:r>
      <w:r w:rsidRPr="004A7DFB">
        <w:t xml:space="preserve">Relative Loading from Tier 1 Sites to Total MS4 </w:t>
      </w:r>
      <w:r w:rsidRPr="004A7DFB">
        <w:rPr>
          <w:i/>
          <w:iCs w:val="0"/>
        </w:rPr>
        <w:t>E. coli</w:t>
      </w:r>
      <w:r w:rsidRPr="004A7DFB">
        <w:t xml:space="preserve"> Load to the Santa Ana River Reach 3 Upstream from WW-S4 Compliance Monitoring Site</w:t>
      </w:r>
      <w:bookmarkEnd w:id="99"/>
      <w:bookmarkEnd w:id="100"/>
    </w:p>
    <w:p w14:paraId="2D5729CE" w14:textId="77777777" w:rsidR="00E75E60" w:rsidRPr="008E4903" w:rsidRDefault="00E75E60" w:rsidP="00E75E60">
      <w:pPr>
        <w:pStyle w:val="Heading3"/>
      </w:pPr>
      <w:bookmarkStart w:id="101" w:name="_Toc217410162"/>
      <w:r w:rsidRPr="008E4903">
        <w:t>Chino Creek Subwatershed</w:t>
      </w:r>
      <w:bookmarkEnd w:id="101"/>
    </w:p>
    <w:p w14:paraId="03EB83E7" w14:textId="7F0EC045" w:rsidR="00E75E60" w:rsidRDefault="00E75E60" w:rsidP="00E75E60">
      <w:pPr>
        <w:pStyle w:val="BodyText"/>
      </w:pPr>
      <w:r w:rsidRPr="004F2BD3">
        <w:rPr>
          <w:b/>
        </w:rPr>
        <w:t>Figure 3-</w:t>
      </w:r>
      <w:r w:rsidR="0091794C">
        <w:rPr>
          <w:b/>
        </w:rPr>
        <w:t>1</w:t>
      </w:r>
      <w:r w:rsidR="00743480">
        <w:rPr>
          <w:b/>
        </w:rPr>
        <w:t>5</w:t>
      </w:r>
      <w:r>
        <w:t xml:space="preserve"> provides a schematic of the Chino Creek subwatershed, including sources of flow (e.g., POTWs and Tier 1 sites) and flow diversions. DWF from most of the Chino Creek subwatershed does not reach the downstream compliance site at Central Avenue (WW-C7) because of diversions. For example, DWF in San Antonio Channel, the largest tributary to Chino Creek, is diverted into a series of retention basins that span from San Antonio Dam in the upper part of the subwatershed to Brooks Basin in the City of Montclair. Downstream of the diversion to Brooks Basin, there are five MS4 outfalls to Chino Creek that comprise nearly all the DWF (see </w:t>
      </w:r>
      <w:r w:rsidRPr="004F2BD3">
        <w:t>Figure 3-</w:t>
      </w:r>
      <w:r w:rsidR="0088378B">
        <w:t>1</w:t>
      </w:r>
      <w:r w:rsidR="00743480">
        <w:t>5</w:t>
      </w:r>
      <w:r>
        <w:t xml:space="preserve">). </w:t>
      </w:r>
    </w:p>
    <w:p w14:paraId="7D2FF401" w14:textId="741E5E7F" w:rsidR="00E75E60" w:rsidRDefault="00E75E60" w:rsidP="00E75E60">
      <w:pPr>
        <w:pStyle w:val="BodyText"/>
      </w:pPr>
      <w:r>
        <w:t xml:space="preserve">During the 2025 dry season and the Synoptic Study, IEUA’s Carbon Canyon WRP, the only source of treated effluent to Chino Creek, discharged no effluent to Chino Creek. Consequently, </w:t>
      </w:r>
      <w:r w:rsidRPr="00F24520">
        <w:t xml:space="preserve">the source evaluation analysis for the Chino Creek watershed involves computation of a flow-weighted concentration for the five Tier 1 MS4 outfalls with DWF. The estimated blended </w:t>
      </w:r>
      <w:r w:rsidRPr="00F24520">
        <w:rPr>
          <w:i/>
        </w:rPr>
        <w:t>E. coli</w:t>
      </w:r>
      <w:r w:rsidRPr="00F24520">
        <w:t xml:space="preserve"> concentration was found to be greater than the concentration of </w:t>
      </w:r>
      <w:r w:rsidRPr="00F24520">
        <w:rPr>
          <w:i/>
        </w:rPr>
        <w:t>E. coli</w:t>
      </w:r>
      <w:r w:rsidRPr="00F24520">
        <w:t xml:space="preserve"> at the downstream watershed-wide compliance monitoring site at Central Avenue in </w:t>
      </w:r>
      <w:r w:rsidR="00484C03">
        <w:t>three</w:t>
      </w:r>
      <w:r w:rsidRPr="00F24520">
        <w:t xml:space="preserve"> of the five sampled dates (</w:t>
      </w:r>
      <w:r w:rsidRPr="00F24520">
        <w:rPr>
          <w:b/>
        </w:rPr>
        <w:t>Figure 3-1</w:t>
      </w:r>
      <w:r w:rsidR="00D93793">
        <w:rPr>
          <w:b/>
        </w:rPr>
        <w:t>6</w:t>
      </w:r>
      <w:r w:rsidRPr="00F24520">
        <w:t xml:space="preserve">). On the other two dates, the downstream measured </w:t>
      </w:r>
      <w:r w:rsidRPr="00F24520">
        <w:rPr>
          <w:i/>
          <w:iCs/>
        </w:rPr>
        <w:t>E. coli</w:t>
      </w:r>
      <w:r w:rsidRPr="00F24520">
        <w:t xml:space="preserve"> was higher than blend of inflows</w:t>
      </w:r>
      <w:r>
        <w:t xml:space="preserve"> by a small margin. This finding suggests that in-stream processes generally yield a net decay in fecal bacteria between upstream sources and the impaired portion of Chino Creek, and that non-MS4 sources of </w:t>
      </w:r>
      <w:r w:rsidRPr="00367717">
        <w:rPr>
          <w:i/>
        </w:rPr>
        <w:t>E. coli</w:t>
      </w:r>
      <w:r>
        <w:t xml:space="preserve"> in Chino Creek are likely to be minimal during dry weather. </w:t>
      </w:r>
      <w:r w:rsidRPr="00F23718">
        <w:rPr>
          <w:b/>
        </w:rPr>
        <w:t>Figure 3-</w:t>
      </w:r>
      <w:r>
        <w:rPr>
          <w:b/>
        </w:rPr>
        <w:t>1</w:t>
      </w:r>
      <w:r w:rsidR="00D93793">
        <w:rPr>
          <w:b/>
        </w:rPr>
        <w:t>7</w:t>
      </w:r>
      <w:r w:rsidR="0091794C">
        <w:rPr>
          <w:b/>
        </w:rPr>
        <w:t xml:space="preserve"> </w:t>
      </w:r>
      <w:r>
        <w:t>shows that T1-</w:t>
      </w:r>
      <w:r>
        <w:lastRenderedPageBreak/>
        <w:t xml:space="preserve">CHINOCRK and T1-BRSC account for at least 80 percent of total MS4 </w:t>
      </w:r>
      <w:r w:rsidRPr="000C4166">
        <w:rPr>
          <w:i/>
          <w:iCs/>
        </w:rPr>
        <w:t>E. coli</w:t>
      </w:r>
      <w:r>
        <w:t xml:space="preserve"> load to Chino Creek during the 2025 Synoptic Study period.</w:t>
      </w:r>
    </w:p>
    <w:p w14:paraId="5BD9C107" w14:textId="77777777" w:rsidR="003A34AF" w:rsidRDefault="006644C3" w:rsidP="00E75E60">
      <w:pPr>
        <w:pStyle w:val="BodyText"/>
        <w:rPr>
          <w:b/>
          <w:sz w:val="22"/>
          <w:szCs w:val="22"/>
        </w:rPr>
      </w:pPr>
      <w:r>
        <w:rPr>
          <w:b/>
          <w:noProof/>
          <w:sz w:val="22"/>
          <w:szCs w:val="22"/>
        </w:rPr>
        <w:drawing>
          <wp:inline distT="0" distB="0" distL="0" distR="0" wp14:anchorId="440F0960" wp14:editId="4D484822">
            <wp:extent cx="4888024" cy="7000875"/>
            <wp:effectExtent l="0" t="0" r="8255" b="0"/>
            <wp:docPr id="754732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90965" cy="7005088"/>
                    </a:xfrm>
                    <a:prstGeom prst="rect">
                      <a:avLst/>
                    </a:prstGeom>
                    <a:noFill/>
                  </pic:spPr>
                </pic:pic>
              </a:graphicData>
            </a:graphic>
          </wp:inline>
        </w:drawing>
      </w:r>
    </w:p>
    <w:p w14:paraId="3B5D3AF4" w14:textId="1BDF6AC5" w:rsidR="004A7DFB" w:rsidRDefault="004A7DFB" w:rsidP="004A7DFB">
      <w:pPr>
        <w:pStyle w:val="Caption"/>
      </w:pPr>
      <w:bookmarkStart w:id="102" w:name="_Toc217394573"/>
      <w:bookmarkStart w:id="103" w:name="_Toc217394768"/>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15</w:t>
      </w:r>
      <w:r w:rsidR="0023167A">
        <w:fldChar w:fldCharType="end"/>
      </w:r>
      <w:r>
        <w:t xml:space="preserve">. </w:t>
      </w:r>
      <w:r w:rsidRPr="004A7DFB">
        <w:t>Schematic Showing Known Bacteria Inputs</w:t>
      </w:r>
      <w:r>
        <w:t xml:space="preserve">, </w:t>
      </w:r>
      <w:r w:rsidRPr="004A7DFB">
        <w:t>D</w:t>
      </w:r>
      <w:r>
        <w:t>ry Weather</w:t>
      </w:r>
      <w:r w:rsidRPr="004A7DFB">
        <w:t xml:space="preserve"> Inflows and POTW Effluent Discharges to Chino Creek in Relation to Downstream Compliance Monitoring Site</w:t>
      </w:r>
      <w:bookmarkEnd w:id="102"/>
      <w:bookmarkEnd w:id="103"/>
    </w:p>
    <w:p w14:paraId="14F35DB8" w14:textId="565C1C67" w:rsidR="004A7DFB" w:rsidRDefault="00E75E60" w:rsidP="004A7DFB">
      <w:pPr>
        <w:pStyle w:val="LFTBody"/>
        <w:keepNext/>
        <w:tabs>
          <w:tab w:val="left" w:pos="2930"/>
        </w:tabs>
        <w:spacing w:after="0" w:line="240" w:lineRule="auto"/>
        <w:ind w:right="-187"/>
        <w:rPr>
          <w:rFonts w:ascii="Times New Roman" w:hAnsi="Times New Roman" w:cs="Times New Roman"/>
          <w:b/>
          <w:szCs w:val="21"/>
        </w:rPr>
      </w:pPr>
      <w:r>
        <w:rPr>
          <w:rFonts w:ascii="Times New Roman" w:hAnsi="Times New Roman" w:cs="Times New Roman"/>
          <w:b/>
          <w:noProof/>
          <w:szCs w:val="21"/>
        </w:rPr>
        <w:lastRenderedPageBreak/>
        <w:drawing>
          <wp:inline distT="0" distB="0" distL="0" distR="0" wp14:anchorId="0D5B17FA" wp14:editId="26BA806C">
            <wp:extent cx="4468495" cy="3657600"/>
            <wp:effectExtent l="0" t="0" r="8255" b="0"/>
            <wp:docPr id="308537139" name="Picture 9"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37139" name="Picture 9" descr="A graph with numbers and lines&#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68495" cy="3657600"/>
                    </a:xfrm>
                    <a:prstGeom prst="rect">
                      <a:avLst/>
                    </a:prstGeom>
                    <a:noFill/>
                  </pic:spPr>
                </pic:pic>
              </a:graphicData>
            </a:graphic>
          </wp:inline>
        </w:drawing>
      </w:r>
    </w:p>
    <w:p w14:paraId="1258BDAC" w14:textId="5D1CEF10" w:rsidR="004A7DFB" w:rsidRDefault="004A7DFB" w:rsidP="004A7DFB">
      <w:pPr>
        <w:pStyle w:val="Caption"/>
        <w:spacing w:after="240"/>
      </w:pPr>
      <w:bookmarkStart w:id="104" w:name="_Toc217394574"/>
      <w:bookmarkStart w:id="105" w:name="_Toc217394769"/>
      <w:bookmarkStart w:id="106" w:name="_Hlk216280851"/>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16</w:t>
      </w:r>
      <w:r w:rsidR="0023167A">
        <w:fldChar w:fldCharType="end"/>
      </w:r>
      <w:r>
        <w:t xml:space="preserve">. </w:t>
      </w:r>
      <w:r w:rsidRPr="004A7DFB">
        <w:t xml:space="preserve">Comparison of Estimated Blended </w:t>
      </w:r>
      <w:r w:rsidRPr="004A7DFB">
        <w:rPr>
          <w:i/>
          <w:iCs w:val="0"/>
        </w:rPr>
        <w:t xml:space="preserve">E. </w:t>
      </w:r>
      <w:proofErr w:type="gramStart"/>
      <w:r w:rsidRPr="004A7DFB">
        <w:rPr>
          <w:i/>
          <w:iCs w:val="0"/>
        </w:rPr>
        <w:t>coli</w:t>
      </w:r>
      <w:proofErr w:type="gramEnd"/>
      <w:r w:rsidRPr="004A7DFB">
        <w:t xml:space="preserve"> Concentration</w:t>
      </w:r>
      <w:r>
        <w:t>s</w:t>
      </w:r>
      <w:r w:rsidRPr="004A7DFB">
        <w:t xml:space="preserve"> of MS4 Inflows with Downstream Watershed-wide Compliance Site Data for Chino Creek at Central Avenue</w:t>
      </w:r>
      <w:bookmarkEnd w:id="104"/>
      <w:bookmarkEnd w:id="105"/>
    </w:p>
    <w:p w14:paraId="5C05F967" w14:textId="6C3DC419" w:rsidR="004A7DFB" w:rsidRPr="004A7DFB" w:rsidRDefault="004A7DFB" w:rsidP="004A7DFB">
      <w:r>
        <w:rPr>
          <w:b/>
          <w:noProof/>
          <w:szCs w:val="21"/>
        </w:rPr>
        <w:drawing>
          <wp:inline distT="0" distB="0" distL="0" distR="0" wp14:anchorId="1898F190" wp14:editId="3E77EC2B">
            <wp:extent cx="4974590" cy="3157855"/>
            <wp:effectExtent l="0" t="0" r="0" b="4445"/>
            <wp:docPr id="1367670512" name="Picture 10"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0512" name="Picture 10" descr="A graph of different colored bars&#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4590" cy="3157855"/>
                    </a:xfrm>
                    <a:prstGeom prst="rect">
                      <a:avLst/>
                    </a:prstGeom>
                    <a:noFill/>
                  </pic:spPr>
                </pic:pic>
              </a:graphicData>
            </a:graphic>
          </wp:inline>
        </w:drawing>
      </w:r>
    </w:p>
    <w:p w14:paraId="198C6A5E" w14:textId="6A627275" w:rsidR="004A7DFB" w:rsidRDefault="004A7DFB" w:rsidP="004A7DFB">
      <w:pPr>
        <w:pStyle w:val="Caption"/>
      </w:pPr>
      <w:bookmarkStart w:id="107" w:name="_Toc217394575"/>
      <w:bookmarkStart w:id="108" w:name="_Toc217394770"/>
      <w:bookmarkEnd w:id="106"/>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17</w:t>
      </w:r>
      <w:r w:rsidR="0023167A">
        <w:fldChar w:fldCharType="end"/>
      </w:r>
      <w:r>
        <w:t xml:space="preserve">. </w:t>
      </w:r>
      <w:r w:rsidRPr="004A7DFB">
        <w:t xml:space="preserve">Relative Loading from Tier 1 Sites to Total MS4 </w:t>
      </w:r>
      <w:r w:rsidRPr="004A7DFB">
        <w:rPr>
          <w:i/>
          <w:iCs w:val="0"/>
        </w:rPr>
        <w:t>E. coli</w:t>
      </w:r>
      <w:r w:rsidRPr="004A7DFB">
        <w:t xml:space="preserve"> Load</w:t>
      </w:r>
      <w:r>
        <w:t>s</w:t>
      </w:r>
      <w:r w:rsidRPr="004A7DFB">
        <w:t xml:space="preserve"> to the Chino Creek at Central Avenue Compliance Site</w:t>
      </w:r>
      <w:bookmarkEnd w:id="107"/>
      <w:bookmarkEnd w:id="108"/>
    </w:p>
    <w:p w14:paraId="1AB72B5F" w14:textId="71C44177" w:rsidR="00650379" w:rsidRPr="008873C0" w:rsidRDefault="00650379" w:rsidP="005E58F5">
      <w:pPr>
        <w:pStyle w:val="Heading3"/>
      </w:pPr>
      <w:bookmarkStart w:id="109" w:name="_Toc217410163"/>
      <w:r w:rsidRPr="008873C0">
        <w:lastRenderedPageBreak/>
        <w:t>Cucamonga Creek Subwatershed</w:t>
      </w:r>
      <w:bookmarkEnd w:id="109"/>
    </w:p>
    <w:p w14:paraId="0007A565" w14:textId="0B0E3EA3" w:rsidR="00650379" w:rsidRDefault="00650379" w:rsidP="00650379">
      <w:pPr>
        <w:pStyle w:val="BodyText"/>
        <w:spacing w:after="200"/>
      </w:pPr>
      <w:r w:rsidRPr="006A7136">
        <w:t>On April 8, 2015, USEPA approved the use attainability analysis that removed the water contact recreation beneficial use (REC1) use from Cucamonga Creek Reach 1.</w:t>
      </w:r>
      <w:r w:rsidRPr="006A7136">
        <w:rPr>
          <w:rStyle w:val="FootnoteReference"/>
        </w:rPr>
        <w:footnoteReference w:id="20"/>
      </w:r>
      <w:r w:rsidRPr="006A7136">
        <w:rPr>
          <w:vertAlign w:val="superscript"/>
        </w:rPr>
        <w:t xml:space="preserve">, </w:t>
      </w:r>
      <w:r w:rsidRPr="006A7136">
        <w:rPr>
          <w:rStyle w:val="FootnoteReference"/>
          <w:rFonts w:cstheme="minorHAnsi"/>
          <w:bCs/>
          <w:szCs w:val="24"/>
        </w:rPr>
        <w:footnoteReference w:id="21"/>
      </w:r>
      <w:r w:rsidR="006849F4" w:rsidRPr="006A7136">
        <w:rPr>
          <w:vertAlign w:val="superscript"/>
        </w:rPr>
        <w:t>,</w:t>
      </w:r>
      <w:r w:rsidR="006849F4" w:rsidRPr="006A7136">
        <w:t>.</w:t>
      </w:r>
      <w:r w:rsidR="006849F4" w:rsidRPr="006A7136">
        <w:rPr>
          <w:rStyle w:val="FootnoteReference"/>
        </w:rPr>
        <w:footnoteReference w:id="22"/>
      </w:r>
      <w:r w:rsidR="006849F4" w:rsidRPr="006A7136">
        <w:t xml:space="preserve"> Prior </w:t>
      </w:r>
      <w:r w:rsidRPr="006A7136">
        <w:t>to this regulatory decision, numerous drainages that discharge to Cucamonga Creek Reach 1 were classified as Tier 1 sites; thus, the 2012 source contribution analysis included an evaluation of nine MS4 outfalls that discharged into Cucamonga Creek between 23</w:t>
      </w:r>
      <w:r w:rsidRPr="006A7136">
        <w:rPr>
          <w:vertAlign w:val="superscript"/>
        </w:rPr>
        <w:t>rd</w:t>
      </w:r>
      <w:r w:rsidRPr="006A7136">
        <w:t xml:space="preserve"> Street in Upland at the upper end of the reach and Hellman Avenue Bridge, at the lower end of the reach. With the de-designation of REC1, all </w:t>
      </w:r>
      <w:r w:rsidR="00FB25D6" w:rsidRPr="006A7136">
        <w:t xml:space="preserve">outfalls into the concrete lined segment of Cucamonga Creek </w:t>
      </w:r>
      <w:r w:rsidRPr="006A7136">
        <w:t>became Tier 2 and the only Tier 1 site in this subwatershed is where Cucamonga Creek Reach 1 drains into Mill-Cucamonga Creek downstream of Hellman Avenue (T1-CUCAMONGA).</w:t>
      </w:r>
      <w:r>
        <w:t xml:space="preserve"> </w:t>
      </w:r>
    </w:p>
    <w:p w14:paraId="4060CAEA" w14:textId="36A95100" w:rsidR="00650379" w:rsidRDefault="00650379" w:rsidP="00650379">
      <w:pPr>
        <w:pStyle w:val="BodyText"/>
        <w:spacing w:after="200"/>
      </w:pPr>
      <w:r>
        <w:t>Per the objectives of the Synoptic Study, flow and bacteria data from the T1-CUCAMONGA site were used to prioritize the site along with all other Tier 1 sites in the watershed</w:t>
      </w:r>
      <w:r w:rsidR="009B4C7C">
        <w:t xml:space="preserve"> (see Section 3.3 below)</w:t>
      </w:r>
      <w:r>
        <w:t>. While useful from an overall watershed standpoint, the findings from this site on their own do not provide information regarding where to prioritize future DWF/</w:t>
      </w:r>
      <w:r w:rsidRPr="00B50866">
        <w:rPr>
          <w:i/>
        </w:rPr>
        <w:t>E. coli</w:t>
      </w:r>
      <w:r>
        <w:t xml:space="preserve"> mitigation activities within the Cucamonga Creek subwatershed. To assist with that evaluation, </w:t>
      </w:r>
      <w:r w:rsidR="009E5DEA">
        <w:t xml:space="preserve">upstream </w:t>
      </w:r>
      <w:r w:rsidR="00744744">
        <w:t xml:space="preserve">Tier 2 </w:t>
      </w:r>
      <w:r w:rsidR="003047ED">
        <w:t xml:space="preserve">surveys led by SBCFCD </w:t>
      </w:r>
      <w:r w:rsidR="009609E5">
        <w:t>(referred to as “10-week surveys</w:t>
      </w:r>
      <w:r w:rsidR="00B56C7C">
        <w:t>”</w:t>
      </w:r>
      <w:r w:rsidR="009609E5">
        <w:t xml:space="preserve">) </w:t>
      </w:r>
      <w:r w:rsidR="003047ED">
        <w:t xml:space="preserve">and </w:t>
      </w:r>
      <w:r w:rsidR="00FB6B8E">
        <w:t xml:space="preserve">results from the 2019 and </w:t>
      </w:r>
      <w:r w:rsidR="003047ED">
        <w:t>2025 synoptic stud</w:t>
      </w:r>
      <w:r w:rsidR="00FB6B8E">
        <w:t xml:space="preserve">ies are used </w:t>
      </w:r>
      <w:r w:rsidR="00B62C78">
        <w:t>to support a source contribution analysis within the Cucamonga Creek watershed.</w:t>
      </w:r>
    </w:p>
    <w:p w14:paraId="1A2B3236" w14:textId="6E2CA6D0" w:rsidR="006849F4" w:rsidRDefault="00F608A8" w:rsidP="00F608A8">
      <w:pPr>
        <w:pStyle w:val="BodyText"/>
        <w:spacing w:after="200"/>
      </w:pPr>
      <w:r>
        <w:t xml:space="preserve">Since 2017, </w:t>
      </w:r>
      <w:r w:rsidRPr="00D41DBB">
        <w:t xml:space="preserve">SBCFCD has collected </w:t>
      </w:r>
      <w:r>
        <w:t xml:space="preserve">weekly </w:t>
      </w:r>
      <w:r w:rsidRPr="00D41DBB">
        <w:t xml:space="preserve">fecal bacteria samples </w:t>
      </w:r>
      <w:r>
        <w:t>over a 10 consecutive week period under</w:t>
      </w:r>
      <w:r w:rsidRPr="00D41DBB">
        <w:t xml:space="preserve"> dry weather </w:t>
      </w:r>
      <w:r>
        <w:t xml:space="preserve">conditions from within Cucamonga Creek. Samples are collected at various sites along a longitudinal profile </w:t>
      </w:r>
      <w:r w:rsidRPr="00D41DBB">
        <w:t xml:space="preserve">to evaluate </w:t>
      </w:r>
      <w:r>
        <w:t xml:space="preserve">bacteria </w:t>
      </w:r>
      <w:r w:rsidRPr="00D41DBB">
        <w:t xml:space="preserve">source loads and guide implementation of the CBRP. </w:t>
      </w:r>
      <w:r w:rsidRPr="00CD133C">
        <w:rPr>
          <w:b/>
          <w:bCs/>
        </w:rPr>
        <w:t>Figure 3-</w:t>
      </w:r>
      <w:r w:rsidR="0088378B">
        <w:rPr>
          <w:b/>
          <w:bCs/>
        </w:rPr>
        <w:t>1</w:t>
      </w:r>
      <w:r w:rsidR="00D93793">
        <w:rPr>
          <w:b/>
          <w:bCs/>
        </w:rPr>
        <w:t>8</w:t>
      </w:r>
      <w:r w:rsidRPr="00CD133C">
        <w:t xml:space="preserve"> illustrates the location of Tier 2 sample sites upstream of the Tier 1 site. </w:t>
      </w:r>
      <w:r w:rsidRPr="001233EA">
        <w:rPr>
          <w:b/>
          <w:bCs/>
        </w:rPr>
        <w:t>Table 3-</w:t>
      </w:r>
      <w:r w:rsidR="0088378B">
        <w:rPr>
          <w:b/>
          <w:bCs/>
        </w:rPr>
        <w:t>5</w:t>
      </w:r>
      <w:r w:rsidRPr="001233EA">
        <w:t xml:space="preserve"> summarizes</w:t>
      </w:r>
      <w:r>
        <w:t xml:space="preserve"> data sources used to support the analysis. DWF and </w:t>
      </w:r>
      <w:r w:rsidRPr="00770DCE">
        <w:rPr>
          <w:i/>
        </w:rPr>
        <w:t>E. coli</w:t>
      </w:r>
      <w:r>
        <w:t xml:space="preserve"> data were evaluated over the 2016 to 2025 </w:t>
      </w:r>
      <w:proofErr w:type="gramStart"/>
      <w:r>
        <w:t>time period</w:t>
      </w:r>
      <w:proofErr w:type="gramEnd"/>
      <w:r>
        <w:t xml:space="preserve">. </w:t>
      </w:r>
      <w:r w:rsidRPr="003C3194">
        <w:rPr>
          <w:b/>
          <w:bCs/>
        </w:rPr>
        <w:t>Table 3-</w:t>
      </w:r>
      <w:r w:rsidR="0088378B">
        <w:rPr>
          <w:b/>
          <w:bCs/>
        </w:rPr>
        <w:t>6</w:t>
      </w:r>
      <w:r w:rsidRPr="003C3194">
        <w:t xml:space="preserve"> presents summary bacterial indicator statistics from the </w:t>
      </w:r>
      <w:r>
        <w:t>nine</w:t>
      </w:r>
      <w:r w:rsidRPr="003C3194">
        <w:t xml:space="preserve"> years of data</w:t>
      </w:r>
      <w:r>
        <w:t xml:space="preserve"> collection. Sites listed in the </w:t>
      </w:r>
      <w:r w:rsidRPr="0084414D">
        <w:t>table (rows) are ordered from upstream to downstream.</w:t>
      </w:r>
      <w:r>
        <w:t xml:space="preserve"> </w:t>
      </w:r>
    </w:p>
    <w:p w14:paraId="05147720" w14:textId="77777777" w:rsidR="004A7DFB" w:rsidRDefault="006849F4" w:rsidP="00FE1BB9">
      <w:pPr>
        <w:pStyle w:val="BodyText"/>
        <w:rPr>
          <w:b/>
          <w:bCs/>
          <w:noProof/>
        </w:rPr>
      </w:pPr>
      <w:r w:rsidRPr="006A7136">
        <w:t>Source contribution analysis for the Mill-Cucamonga Creek compliance site (WW-M6) considers (a) bacterial loading assessment from the single Tier 1 site (T1-CUCAMONGA); and (b) accounting for the diversion, treatment, and discharge of bacteria load from the MCW control measure located upstream of the compliance site</w:t>
      </w:r>
      <w:r w:rsidR="00FE1BB9" w:rsidRPr="006A7136">
        <w:t xml:space="preserve">. </w:t>
      </w:r>
      <w:r w:rsidR="00F608A8" w:rsidRPr="006A7136">
        <w:t>Results from the downstream TMDL compliance monitoring site on Mill-Cucamonga Creek (WW-M6) are from sampling performed during the same 10-week periods when SBCFCD was also conducting its Tier 2 source investigations or during the 2019 and 2025 synoptic studies, though not necessarily on the same sampling dates</w:t>
      </w:r>
      <w:r w:rsidR="00F608A8" w:rsidRPr="00B60942">
        <w:t>.</w:t>
      </w:r>
      <w:r w:rsidR="004A7DFB" w:rsidRPr="004A7DFB">
        <w:rPr>
          <w:b/>
          <w:bCs/>
          <w:noProof/>
        </w:rPr>
        <w:t xml:space="preserve"> </w:t>
      </w:r>
    </w:p>
    <w:p w14:paraId="0B36B213" w14:textId="4ECF62F7" w:rsidR="008D5232" w:rsidRDefault="004A7DFB" w:rsidP="004A7DFB">
      <w:pPr>
        <w:pStyle w:val="BodyText"/>
        <w:spacing w:after="0"/>
      </w:pPr>
      <w:r w:rsidRPr="006A7136">
        <w:rPr>
          <w:b/>
          <w:bCs/>
          <w:noProof/>
        </w:rPr>
        <w:lastRenderedPageBreak/>
        <w:drawing>
          <wp:inline distT="0" distB="0" distL="0" distR="0" wp14:anchorId="0BD6133E" wp14:editId="2EACF064">
            <wp:extent cx="4435475" cy="6683375"/>
            <wp:effectExtent l="19050" t="19050" r="22225" b="22225"/>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435475" cy="6683375"/>
                    </a:xfrm>
                    <a:prstGeom prst="rect">
                      <a:avLst/>
                    </a:prstGeom>
                    <a:ln>
                      <a:solidFill>
                        <a:schemeClr val="bg1">
                          <a:lumMod val="50000"/>
                        </a:schemeClr>
                      </a:solidFill>
                    </a:ln>
                  </pic:spPr>
                </pic:pic>
              </a:graphicData>
            </a:graphic>
          </wp:inline>
        </w:drawing>
      </w:r>
    </w:p>
    <w:p w14:paraId="62BA94F5" w14:textId="42BA87F1" w:rsidR="004A7DFB" w:rsidRPr="004A7DFB" w:rsidRDefault="004A7DFB" w:rsidP="00FE1BB9">
      <w:pPr>
        <w:pStyle w:val="BodyText"/>
        <w:rPr>
          <w:rFonts w:ascii="Arial" w:hAnsi="Arial" w:cs="Arial"/>
          <w:sz w:val="16"/>
          <w:szCs w:val="16"/>
        </w:rPr>
      </w:pPr>
      <w:r w:rsidRPr="004A7DFB">
        <w:rPr>
          <w:rFonts w:ascii="Arial" w:hAnsi="Arial" w:cs="Arial"/>
          <w:sz w:val="16"/>
          <w:szCs w:val="16"/>
        </w:rPr>
        <w:t>Note: blue bar indicates curbed section of the stream where RP1 discharge is isolated from DWF from MS4 systems.</w:t>
      </w:r>
    </w:p>
    <w:p w14:paraId="46EB15F6" w14:textId="73EBF01B" w:rsidR="004A7DFB" w:rsidRDefault="004A7DFB" w:rsidP="004A7DFB">
      <w:pPr>
        <w:pStyle w:val="Caption"/>
        <w:spacing w:after="240"/>
      </w:pPr>
      <w:bookmarkStart w:id="110" w:name="_Toc217394576"/>
      <w:bookmarkStart w:id="111" w:name="_Toc217394771"/>
      <w:bookmarkStart w:id="112" w:name="_Hlk121563168"/>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18</w:t>
      </w:r>
      <w:r w:rsidR="0023167A">
        <w:fldChar w:fldCharType="end"/>
      </w:r>
      <w:r>
        <w:t>.</w:t>
      </w:r>
      <w:r w:rsidRPr="004A7DFB">
        <w:t xml:space="preserve"> Schematic of Dry Weather Flow Retention and Key Inflows to Cucamonga Creek</w:t>
      </w:r>
      <w:bookmarkEnd w:id="110"/>
      <w:bookmarkEnd w:id="111"/>
    </w:p>
    <w:p w14:paraId="6974BD29" w14:textId="33864F59" w:rsidR="004A7DFB" w:rsidRPr="004A7DFB" w:rsidRDefault="004A7DFB" w:rsidP="004A7DFB">
      <w:pPr>
        <w:spacing w:line="240" w:lineRule="auto"/>
        <w:rPr>
          <w:rFonts w:ascii="Arial Bold" w:eastAsiaTheme="minorHAnsi" w:hAnsi="Arial Bold" w:cstheme="minorBidi"/>
          <w:b/>
          <w:iCs/>
          <w:color w:val="000000" w:themeColor="text1"/>
          <w:sz w:val="20"/>
          <w:szCs w:val="18"/>
        </w:rPr>
      </w:pPr>
      <w:r>
        <w:br w:type="page"/>
      </w:r>
    </w:p>
    <w:tbl>
      <w:tblPr>
        <w:tblStyle w:val="TableGrid"/>
        <w:tblpPr w:leftFromText="187" w:rightFromText="187" w:bottomFromText="144" w:vertAnchor="text" w:tblpY="1"/>
        <w:tblOverlap w:val="never"/>
        <w:tblW w:w="9090" w:type="dxa"/>
        <w:tblLook w:val="04A0" w:firstRow="1" w:lastRow="0" w:firstColumn="1" w:lastColumn="0" w:noHBand="0" w:noVBand="1"/>
      </w:tblPr>
      <w:tblGrid>
        <w:gridCol w:w="1890"/>
        <w:gridCol w:w="1800"/>
        <w:gridCol w:w="5400"/>
      </w:tblGrid>
      <w:tr w:rsidR="00564402" w:rsidRPr="0061155F" w14:paraId="6F607A72" w14:textId="77777777" w:rsidTr="006A7136">
        <w:trPr>
          <w:trHeight w:val="540"/>
        </w:trPr>
        <w:tc>
          <w:tcPr>
            <w:tcW w:w="9090" w:type="dxa"/>
            <w:gridSpan w:val="3"/>
            <w:tcBorders>
              <w:top w:val="nil"/>
              <w:left w:val="nil"/>
              <w:bottom w:val="single" w:sz="4" w:space="0" w:color="auto"/>
              <w:right w:val="nil"/>
            </w:tcBorders>
            <w:vAlign w:val="center"/>
          </w:tcPr>
          <w:p w14:paraId="084F9053" w14:textId="39509526" w:rsidR="0021179E" w:rsidRPr="0061155F" w:rsidRDefault="003A34AF" w:rsidP="003A34AF">
            <w:pPr>
              <w:pStyle w:val="Caption"/>
              <w:keepNext/>
            </w:pPr>
            <w:bookmarkStart w:id="113" w:name="_Toc217391762"/>
            <w:r>
              <w:lastRenderedPageBreak/>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5</w:t>
            </w:r>
            <w:r w:rsidR="00FE614C">
              <w:fldChar w:fldCharType="end"/>
            </w:r>
            <w:r>
              <w:t xml:space="preserve">. </w:t>
            </w:r>
            <w:r w:rsidR="0021179E" w:rsidRPr="0061155F">
              <w:t xml:space="preserve">Summary of Data </w:t>
            </w:r>
            <w:r w:rsidR="0021179E">
              <w:t>Sources (2017-202</w:t>
            </w:r>
            <w:r w:rsidR="009F3E12">
              <w:t>5</w:t>
            </w:r>
            <w:r w:rsidR="0021179E">
              <w:t>) U</w:t>
            </w:r>
            <w:r w:rsidR="0021179E" w:rsidRPr="0061155F">
              <w:t xml:space="preserve">sed to Support </w:t>
            </w:r>
            <w:r w:rsidR="0021179E">
              <w:t xml:space="preserve">Tier 2 </w:t>
            </w:r>
            <w:r w:rsidR="0021179E" w:rsidRPr="0061155F">
              <w:t xml:space="preserve">Source Investigation </w:t>
            </w:r>
            <w:r w:rsidR="0021179E">
              <w:t xml:space="preserve">in the </w:t>
            </w:r>
            <w:r w:rsidR="0021179E" w:rsidRPr="0061155F">
              <w:t xml:space="preserve">Cucamonga Creek </w:t>
            </w:r>
            <w:r w:rsidR="0021179E">
              <w:t>Subwatershed</w:t>
            </w:r>
            <w:bookmarkEnd w:id="113"/>
          </w:p>
        </w:tc>
      </w:tr>
      <w:tr w:rsidR="00564402" w:rsidRPr="00B11007" w14:paraId="02AB749D" w14:textId="77777777" w:rsidTr="006A7136">
        <w:trPr>
          <w:trHeight w:val="530"/>
        </w:trPr>
        <w:tc>
          <w:tcPr>
            <w:tcW w:w="1890" w:type="dxa"/>
            <w:tcBorders>
              <w:top w:val="single" w:sz="4" w:space="0" w:color="auto"/>
              <w:right w:val="single" w:sz="4" w:space="0" w:color="auto"/>
            </w:tcBorders>
            <w:shd w:val="clear" w:color="auto" w:fill="F2F2F2" w:themeFill="background1" w:themeFillShade="F2"/>
            <w:vAlign w:val="center"/>
          </w:tcPr>
          <w:p w14:paraId="63464D64" w14:textId="77777777"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sz w:val="18"/>
                <w:szCs w:val="18"/>
              </w:rPr>
              <w:t>Data Type</w:t>
            </w:r>
          </w:p>
        </w:tc>
        <w:tc>
          <w:tcPr>
            <w:tcW w:w="1800" w:type="dxa"/>
            <w:tcBorders>
              <w:top w:val="single" w:sz="4" w:space="0" w:color="auto"/>
              <w:left w:val="single" w:sz="4" w:space="0" w:color="auto"/>
              <w:right w:val="single" w:sz="4" w:space="0" w:color="auto"/>
            </w:tcBorders>
            <w:shd w:val="clear" w:color="auto" w:fill="F2F2F2" w:themeFill="background1" w:themeFillShade="F2"/>
            <w:vAlign w:val="center"/>
          </w:tcPr>
          <w:p w14:paraId="1B13D769" w14:textId="77777777"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sz w:val="18"/>
                <w:szCs w:val="18"/>
              </w:rPr>
              <w:t>Source</w:t>
            </w:r>
          </w:p>
        </w:tc>
        <w:tc>
          <w:tcPr>
            <w:tcW w:w="5400" w:type="dxa"/>
            <w:tcBorders>
              <w:top w:val="single" w:sz="4" w:space="0" w:color="auto"/>
              <w:left w:val="single" w:sz="4" w:space="0" w:color="auto"/>
            </w:tcBorders>
            <w:shd w:val="clear" w:color="auto" w:fill="F2F2F2" w:themeFill="background1" w:themeFillShade="F2"/>
            <w:vAlign w:val="center"/>
          </w:tcPr>
          <w:p w14:paraId="633BA811" w14:textId="3DE814D0"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sz w:val="18"/>
                <w:szCs w:val="18"/>
              </w:rPr>
              <w:t>Locations (See Figure 3-</w:t>
            </w:r>
            <w:r w:rsidR="009F3E12" w:rsidRPr="002714B2">
              <w:rPr>
                <w:rFonts w:ascii="Arial" w:hAnsi="Arial" w:cs="Arial"/>
                <w:b/>
                <w:bCs/>
                <w:sz w:val="18"/>
                <w:szCs w:val="18"/>
              </w:rPr>
              <w:t>4</w:t>
            </w:r>
            <w:r w:rsidRPr="002714B2">
              <w:rPr>
                <w:rFonts w:ascii="Arial" w:hAnsi="Arial" w:cs="Arial"/>
                <w:b/>
                <w:bCs/>
                <w:sz w:val="18"/>
                <w:szCs w:val="18"/>
              </w:rPr>
              <w:t>)</w:t>
            </w:r>
          </w:p>
        </w:tc>
      </w:tr>
      <w:tr w:rsidR="00564402" w:rsidRPr="0061155F" w14:paraId="34C8E0C2" w14:textId="77777777" w:rsidTr="001F00EA">
        <w:trPr>
          <w:trHeight w:val="710"/>
        </w:trPr>
        <w:tc>
          <w:tcPr>
            <w:tcW w:w="1890" w:type="dxa"/>
            <w:vMerge w:val="restart"/>
            <w:vAlign w:val="center"/>
          </w:tcPr>
          <w:p w14:paraId="06A555C0" w14:textId="77777777" w:rsidR="00B536CC" w:rsidRPr="002714B2" w:rsidRDefault="00B536CC" w:rsidP="001F00EA">
            <w:pPr>
              <w:spacing w:line="240" w:lineRule="auto"/>
              <w:jc w:val="center"/>
              <w:rPr>
                <w:rFonts w:ascii="Arial" w:hAnsi="Arial" w:cs="Arial"/>
                <w:sz w:val="18"/>
                <w:szCs w:val="18"/>
              </w:rPr>
            </w:pPr>
            <w:r w:rsidRPr="002714B2">
              <w:rPr>
                <w:rFonts w:ascii="Arial" w:hAnsi="Arial" w:cs="Arial"/>
                <w:i/>
                <w:iCs/>
                <w:sz w:val="18"/>
                <w:szCs w:val="18"/>
              </w:rPr>
              <w:t>E. coli</w:t>
            </w:r>
            <w:r w:rsidRPr="002714B2">
              <w:rPr>
                <w:rFonts w:ascii="Arial" w:hAnsi="Arial" w:cs="Arial"/>
                <w:sz w:val="18"/>
                <w:szCs w:val="18"/>
              </w:rPr>
              <w:t xml:space="preserve"> Concentration and Flow Measurement</w:t>
            </w:r>
          </w:p>
        </w:tc>
        <w:tc>
          <w:tcPr>
            <w:tcW w:w="1800" w:type="dxa"/>
            <w:vAlign w:val="center"/>
          </w:tcPr>
          <w:p w14:paraId="0FD74866" w14:textId="77777777" w:rsidR="00B536CC" w:rsidRPr="002714B2" w:rsidRDefault="00B536CC" w:rsidP="001F00EA">
            <w:pPr>
              <w:spacing w:line="240" w:lineRule="auto"/>
              <w:jc w:val="center"/>
              <w:rPr>
                <w:rFonts w:ascii="Arial" w:hAnsi="Arial" w:cs="Arial"/>
                <w:sz w:val="18"/>
                <w:szCs w:val="18"/>
                <w:vertAlign w:val="superscript"/>
              </w:rPr>
            </w:pPr>
            <w:r w:rsidRPr="002714B2">
              <w:rPr>
                <w:rFonts w:ascii="Arial" w:hAnsi="Arial" w:cs="Arial"/>
                <w:sz w:val="18"/>
                <w:szCs w:val="18"/>
              </w:rPr>
              <w:t>SBCFCD 10-week Studies</w:t>
            </w:r>
            <w:r w:rsidRPr="002714B2">
              <w:rPr>
                <w:rFonts w:ascii="Arial" w:hAnsi="Arial" w:cs="Arial"/>
                <w:sz w:val="18"/>
                <w:szCs w:val="18"/>
                <w:vertAlign w:val="superscript"/>
              </w:rPr>
              <w:t>1</w:t>
            </w:r>
          </w:p>
        </w:tc>
        <w:tc>
          <w:tcPr>
            <w:tcW w:w="5400" w:type="dxa"/>
            <w:vAlign w:val="center"/>
          </w:tcPr>
          <w:p w14:paraId="51012A84" w14:textId="26C4056C" w:rsidR="00B536CC" w:rsidRPr="002714B2" w:rsidRDefault="00B536CC" w:rsidP="001F00EA">
            <w:pPr>
              <w:spacing w:line="240" w:lineRule="auto"/>
              <w:rPr>
                <w:rFonts w:ascii="Arial" w:hAnsi="Arial" w:cs="Arial"/>
                <w:sz w:val="18"/>
                <w:szCs w:val="18"/>
              </w:rPr>
            </w:pPr>
            <w:r w:rsidRPr="002714B2">
              <w:rPr>
                <w:rFonts w:ascii="Arial" w:hAnsi="Arial" w:cs="Arial"/>
                <w:sz w:val="18"/>
                <w:szCs w:val="18"/>
              </w:rPr>
              <w:t xml:space="preserve">Airport U/S, Airport D/S, Hwy 60, </w:t>
            </w:r>
            <w:proofErr w:type="spellStart"/>
            <w:r w:rsidRPr="002714B2">
              <w:rPr>
                <w:rFonts w:ascii="Arial" w:hAnsi="Arial" w:cs="Arial"/>
                <w:sz w:val="18"/>
                <w:szCs w:val="18"/>
              </w:rPr>
              <w:t>RivDr</w:t>
            </w:r>
            <w:proofErr w:type="spellEnd"/>
            <w:r w:rsidRPr="002714B2">
              <w:rPr>
                <w:rFonts w:ascii="Arial" w:hAnsi="Arial" w:cs="Arial"/>
                <w:sz w:val="18"/>
                <w:szCs w:val="18"/>
              </w:rPr>
              <w:t xml:space="preserve"> Chino MS4, Chino RP1, DEER In, CHRIS Mid, CHRIS D/S, CHRIS, CLCH, T1-CUCAMONGA</w:t>
            </w:r>
            <w:r w:rsidRPr="002714B2">
              <w:rPr>
                <w:rFonts w:ascii="Arial" w:hAnsi="Arial" w:cs="Arial"/>
                <w:sz w:val="18"/>
                <w:szCs w:val="18"/>
                <w:vertAlign w:val="superscript"/>
              </w:rPr>
              <w:t>1</w:t>
            </w:r>
            <w:r w:rsidRPr="002714B2">
              <w:rPr>
                <w:rFonts w:ascii="Arial" w:hAnsi="Arial" w:cs="Arial"/>
                <w:sz w:val="18"/>
                <w:szCs w:val="18"/>
              </w:rPr>
              <w:t>, BASEFLOW, MCW IN, MCW OUT</w:t>
            </w:r>
          </w:p>
        </w:tc>
      </w:tr>
      <w:tr w:rsidR="00564402" w:rsidRPr="0061155F" w14:paraId="28110A16" w14:textId="77777777" w:rsidTr="009F3E12">
        <w:trPr>
          <w:trHeight w:val="522"/>
        </w:trPr>
        <w:tc>
          <w:tcPr>
            <w:tcW w:w="1890" w:type="dxa"/>
            <w:vMerge/>
            <w:vAlign w:val="center"/>
          </w:tcPr>
          <w:p w14:paraId="196349B2" w14:textId="77777777" w:rsidR="00B536CC" w:rsidRPr="002714B2" w:rsidRDefault="00B536CC" w:rsidP="001F00EA">
            <w:pPr>
              <w:spacing w:line="240" w:lineRule="auto"/>
              <w:jc w:val="center"/>
              <w:rPr>
                <w:rFonts w:ascii="Arial" w:hAnsi="Arial" w:cs="Arial"/>
                <w:sz w:val="18"/>
                <w:szCs w:val="18"/>
              </w:rPr>
            </w:pPr>
          </w:p>
        </w:tc>
        <w:tc>
          <w:tcPr>
            <w:tcW w:w="1800" w:type="dxa"/>
            <w:vAlign w:val="center"/>
          </w:tcPr>
          <w:p w14:paraId="110EF5A1" w14:textId="77777777" w:rsidR="00B536CC" w:rsidRPr="002714B2" w:rsidRDefault="00B536CC" w:rsidP="001F00EA">
            <w:pPr>
              <w:spacing w:line="240" w:lineRule="auto"/>
              <w:jc w:val="center"/>
              <w:rPr>
                <w:rFonts w:ascii="Arial" w:hAnsi="Arial" w:cs="Arial"/>
                <w:sz w:val="18"/>
                <w:szCs w:val="18"/>
              </w:rPr>
            </w:pPr>
            <w:r w:rsidRPr="002714B2">
              <w:rPr>
                <w:rFonts w:ascii="Arial" w:hAnsi="Arial" w:cs="Arial"/>
                <w:sz w:val="18"/>
                <w:szCs w:val="18"/>
              </w:rPr>
              <w:t>RBMP</w:t>
            </w:r>
          </w:p>
        </w:tc>
        <w:tc>
          <w:tcPr>
            <w:tcW w:w="5400" w:type="dxa"/>
            <w:vAlign w:val="center"/>
          </w:tcPr>
          <w:p w14:paraId="05F1CB4D" w14:textId="77777777" w:rsidR="00B536CC" w:rsidRPr="002714B2" w:rsidRDefault="00B536CC" w:rsidP="001F00EA">
            <w:pPr>
              <w:spacing w:line="240" w:lineRule="auto"/>
              <w:rPr>
                <w:rFonts w:ascii="Arial" w:hAnsi="Arial" w:cs="Arial"/>
                <w:sz w:val="18"/>
                <w:szCs w:val="18"/>
              </w:rPr>
            </w:pPr>
            <w:r w:rsidRPr="002714B2">
              <w:rPr>
                <w:rFonts w:ascii="Arial" w:hAnsi="Arial" w:cs="Arial"/>
                <w:sz w:val="18"/>
                <w:szCs w:val="18"/>
              </w:rPr>
              <w:t>P4-SBC1</w:t>
            </w:r>
            <w:r w:rsidRPr="002714B2">
              <w:rPr>
                <w:rFonts w:ascii="Arial" w:hAnsi="Arial" w:cs="Arial"/>
                <w:sz w:val="18"/>
                <w:szCs w:val="18"/>
                <w:vertAlign w:val="superscript"/>
              </w:rPr>
              <w:t>2</w:t>
            </w:r>
            <w:r w:rsidRPr="002714B2">
              <w:rPr>
                <w:rFonts w:ascii="Arial" w:hAnsi="Arial" w:cs="Arial"/>
                <w:sz w:val="18"/>
                <w:szCs w:val="18"/>
              </w:rPr>
              <w:t>, WW-M6</w:t>
            </w:r>
            <w:r w:rsidRPr="002714B2">
              <w:rPr>
                <w:rFonts w:ascii="Arial" w:hAnsi="Arial" w:cs="Arial"/>
                <w:sz w:val="18"/>
                <w:szCs w:val="18"/>
                <w:vertAlign w:val="superscript"/>
              </w:rPr>
              <w:t>3</w:t>
            </w:r>
          </w:p>
        </w:tc>
      </w:tr>
      <w:tr w:rsidR="00564402" w:rsidRPr="0061155F" w14:paraId="35A0BA4A" w14:textId="77777777" w:rsidTr="009F3E12">
        <w:trPr>
          <w:trHeight w:val="522"/>
        </w:trPr>
        <w:tc>
          <w:tcPr>
            <w:tcW w:w="1890" w:type="dxa"/>
            <w:vMerge/>
            <w:vAlign w:val="center"/>
          </w:tcPr>
          <w:p w14:paraId="6C2499E9" w14:textId="77777777" w:rsidR="00B536CC" w:rsidRPr="002714B2" w:rsidRDefault="00B536CC" w:rsidP="001F00EA">
            <w:pPr>
              <w:spacing w:line="240" w:lineRule="auto"/>
              <w:jc w:val="center"/>
              <w:rPr>
                <w:rFonts w:ascii="Arial" w:hAnsi="Arial" w:cs="Arial"/>
                <w:sz w:val="18"/>
                <w:szCs w:val="18"/>
              </w:rPr>
            </w:pPr>
          </w:p>
        </w:tc>
        <w:tc>
          <w:tcPr>
            <w:tcW w:w="1800" w:type="dxa"/>
            <w:vAlign w:val="center"/>
          </w:tcPr>
          <w:p w14:paraId="5331797A" w14:textId="25E42CA4" w:rsidR="00B536CC" w:rsidRPr="002714B2" w:rsidRDefault="00593817" w:rsidP="001F00EA">
            <w:pPr>
              <w:spacing w:line="240" w:lineRule="auto"/>
              <w:jc w:val="center"/>
              <w:rPr>
                <w:rFonts w:ascii="Arial" w:hAnsi="Arial" w:cs="Arial"/>
                <w:sz w:val="18"/>
                <w:szCs w:val="18"/>
              </w:rPr>
            </w:pPr>
            <w:r w:rsidRPr="002714B2">
              <w:rPr>
                <w:rFonts w:ascii="Arial" w:hAnsi="Arial" w:cs="Arial"/>
                <w:sz w:val="18"/>
                <w:szCs w:val="18"/>
              </w:rPr>
              <w:t>Synoptic Surveys</w:t>
            </w:r>
          </w:p>
        </w:tc>
        <w:tc>
          <w:tcPr>
            <w:tcW w:w="5400" w:type="dxa"/>
            <w:vAlign w:val="center"/>
          </w:tcPr>
          <w:p w14:paraId="2C0E24A6" w14:textId="149427A9" w:rsidR="00B536CC" w:rsidRPr="002714B2" w:rsidRDefault="00BD6179" w:rsidP="001F00EA">
            <w:pPr>
              <w:spacing w:line="240" w:lineRule="auto"/>
              <w:rPr>
                <w:rFonts w:ascii="Arial" w:hAnsi="Arial" w:cs="Arial"/>
                <w:sz w:val="18"/>
                <w:szCs w:val="18"/>
              </w:rPr>
            </w:pPr>
            <w:r w:rsidRPr="002714B2">
              <w:rPr>
                <w:rFonts w:ascii="Arial" w:hAnsi="Arial" w:cs="Arial"/>
                <w:sz w:val="18"/>
                <w:szCs w:val="18"/>
              </w:rPr>
              <w:t>H</w:t>
            </w:r>
            <w:r w:rsidR="000A7CBB" w:rsidRPr="002714B2">
              <w:rPr>
                <w:rFonts w:ascii="Arial" w:hAnsi="Arial" w:cs="Arial"/>
                <w:sz w:val="18"/>
                <w:szCs w:val="18"/>
              </w:rPr>
              <w:t>wy60</w:t>
            </w:r>
            <w:r w:rsidR="00A12053" w:rsidRPr="002714B2">
              <w:rPr>
                <w:rFonts w:ascii="Arial" w:hAnsi="Arial" w:cs="Arial"/>
                <w:sz w:val="18"/>
                <w:szCs w:val="18"/>
              </w:rPr>
              <w:t xml:space="preserve">, Chino RP1, CHRIS, CLCH, </w:t>
            </w:r>
            <w:r w:rsidRPr="002714B2">
              <w:rPr>
                <w:rFonts w:ascii="Arial" w:hAnsi="Arial" w:cs="Arial"/>
                <w:sz w:val="18"/>
                <w:szCs w:val="18"/>
              </w:rPr>
              <w:t xml:space="preserve">EVLA, EVLB, </w:t>
            </w:r>
            <w:r w:rsidR="00A12053" w:rsidRPr="002714B2">
              <w:rPr>
                <w:rFonts w:ascii="Arial" w:hAnsi="Arial" w:cs="Arial"/>
                <w:sz w:val="18"/>
                <w:szCs w:val="18"/>
              </w:rPr>
              <w:t>T1-CUCAMONGA</w:t>
            </w:r>
            <w:r w:rsidR="00A12053" w:rsidRPr="002714B2">
              <w:rPr>
                <w:rFonts w:ascii="Arial" w:hAnsi="Arial" w:cs="Arial"/>
                <w:sz w:val="18"/>
                <w:szCs w:val="18"/>
                <w:vertAlign w:val="superscript"/>
              </w:rPr>
              <w:t>1</w:t>
            </w:r>
          </w:p>
        </w:tc>
      </w:tr>
      <w:tr w:rsidR="00564402" w:rsidRPr="0061155F" w14:paraId="78C0EFF3" w14:textId="77777777" w:rsidTr="001F00EA">
        <w:trPr>
          <w:trHeight w:val="504"/>
        </w:trPr>
        <w:tc>
          <w:tcPr>
            <w:tcW w:w="1890" w:type="dxa"/>
            <w:vAlign w:val="center"/>
          </w:tcPr>
          <w:p w14:paraId="3057B071"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 xml:space="preserve">RP1 Flow </w:t>
            </w:r>
          </w:p>
        </w:tc>
        <w:tc>
          <w:tcPr>
            <w:tcW w:w="1800" w:type="dxa"/>
            <w:vAlign w:val="center"/>
          </w:tcPr>
          <w:p w14:paraId="2F18BB97"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IEUA</w:t>
            </w:r>
          </w:p>
        </w:tc>
        <w:tc>
          <w:tcPr>
            <w:tcW w:w="5400" w:type="dxa"/>
            <w:vAlign w:val="center"/>
          </w:tcPr>
          <w:p w14:paraId="62E14FD8" w14:textId="77777777" w:rsidR="0021179E" w:rsidRPr="002714B2" w:rsidRDefault="0021179E" w:rsidP="001F00EA">
            <w:pPr>
              <w:spacing w:line="240" w:lineRule="auto"/>
              <w:rPr>
                <w:rFonts w:ascii="Arial" w:hAnsi="Arial" w:cs="Arial"/>
                <w:sz w:val="18"/>
                <w:szCs w:val="18"/>
              </w:rPr>
            </w:pPr>
            <w:r w:rsidRPr="002714B2">
              <w:rPr>
                <w:rFonts w:ascii="Arial" w:hAnsi="Arial" w:cs="Arial"/>
                <w:sz w:val="18"/>
                <w:szCs w:val="18"/>
              </w:rPr>
              <w:t>RP1</w:t>
            </w:r>
          </w:p>
        </w:tc>
      </w:tr>
      <w:tr w:rsidR="00564402" w:rsidRPr="0061155F" w14:paraId="68D55C12" w14:textId="77777777" w:rsidTr="001F00EA">
        <w:trPr>
          <w:trHeight w:val="504"/>
        </w:trPr>
        <w:tc>
          <w:tcPr>
            <w:tcW w:w="1890" w:type="dxa"/>
            <w:vAlign w:val="center"/>
          </w:tcPr>
          <w:p w14:paraId="1CC23F5B"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Recharge Basins</w:t>
            </w:r>
          </w:p>
        </w:tc>
        <w:tc>
          <w:tcPr>
            <w:tcW w:w="1800" w:type="dxa"/>
            <w:vAlign w:val="center"/>
          </w:tcPr>
          <w:p w14:paraId="6305461F"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IEUA</w:t>
            </w:r>
          </w:p>
        </w:tc>
        <w:tc>
          <w:tcPr>
            <w:tcW w:w="5400" w:type="dxa"/>
            <w:vAlign w:val="center"/>
          </w:tcPr>
          <w:p w14:paraId="5C5FF8B7" w14:textId="77777777" w:rsidR="0021179E" w:rsidRPr="002714B2" w:rsidRDefault="0021179E" w:rsidP="001F00EA">
            <w:pPr>
              <w:spacing w:line="240" w:lineRule="auto"/>
              <w:rPr>
                <w:rFonts w:ascii="Arial" w:hAnsi="Arial" w:cs="Arial"/>
                <w:sz w:val="18"/>
                <w:szCs w:val="18"/>
              </w:rPr>
            </w:pPr>
            <w:r w:rsidRPr="002714B2">
              <w:rPr>
                <w:rFonts w:ascii="Arial" w:hAnsi="Arial" w:cs="Arial"/>
                <w:sz w:val="18"/>
                <w:szCs w:val="18"/>
              </w:rPr>
              <w:t>Turner 1-4 and Ely Basins</w:t>
            </w:r>
          </w:p>
        </w:tc>
      </w:tr>
      <w:tr w:rsidR="00564402" w:rsidRPr="0061155F" w14:paraId="6BE01092" w14:textId="77777777" w:rsidTr="001F00EA">
        <w:trPr>
          <w:trHeight w:val="504"/>
        </w:trPr>
        <w:tc>
          <w:tcPr>
            <w:tcW w:w="1890" w:type="dxa"/>
            <w:vAlign w:val="center"/>
          </w:tcPr>
          <w:p w14:paraId="5C3A0557"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In-stream Flow</w:t>
            </w:r>
          </w:p>
        </w:tc>
        <w:tc>
          <w:tcPr>
            <w:tcW w:w="1800" w:type="dxa"/>
            <w:vAlign w:val="center"/>
          </w:tcPr>
          <w:p w14:paraId="38EBBC8A"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USGS</w:t>
            </w:r>
          </w:p>
        </w:tc>
        <w:tc>
          <w:tcPr>
            <w:tcW w:w="5400" w:type="dxa"/>
            <w:vAlign w:val="center"/>
          </w:tcPr>
          <w:p w14:paraId="46ACBD1E" w14:textId="77777777" w:rsidR="0021179E" w:rsidRPr="002714B2" w:rsidRDefault="0021179E" w:rsidP="001F00EA">
            <w:pPr>
              <w:spacing w:line="240" w:lineRule="auto"/>
              <w:rPr>
                <w:rFonts w:ascii="Arial" w:hAnsi="Arial" w:cs="Arial"/>
                <w:sz w:val="18"/>
                <w:szCs w:val="18"/>
              </w:rPr>
            </w:pPr>
            <w:r w:rsidRPr="002714B2">
              <w:rPr>
                <w:rFonts w:ascii="Arial" w:hAnsi="Arial" w:cs="Arial"/>
                <w:sz w:val="18"/>
                <w:szCs w:val="18"/>
              </w:rPr>
              <w:t>Cucamonga Creek at Merrill Ave (Station# 11073495)</w:t>
            </w:r>
          </w:p>
        </w:tc>
      </w:tr>
      <w:tr w:rsidR="00564402" w:rsidRPr="0061155F" w14:paraId="416F580F" w14:textId="77777777" w:rsidTr="001F00EA">
        <w:trPr>
          <w:trHeight w:val="746"/>
        </w:trPr>
        <w:tc>
          <w:tcPr>
            <w:tcW w:w="9090" w:type="dxa"/>
            <w:gridSpan w:val="3"/>
            <w:tcBorders>
              <w:top w:val="single" w:sz="4" w:space="0" w:color="auto"/>
              <w:left w:val="nil"/>
              <w:bottom w:val="nil"/>
              <w:right w:val="nil"/>
            </w:tcBorders>
          </w:tcPr>
          <w:p w14:paraId="0DE8A7BB" w14:textId="0A4F52C0" w:rsidR="0021179E" w:rsidRPr="00CD133C" w:rsidRDefault="0021179E" w:rsidP="001F00EA">
            <w:pPr>
              <w:spacing w:after="40" w:line="240" w:lineRule="auto"/>
              <w:ind w:left="-110"/>
              <w:rPr>
                <w:rFonts w:ascii="Arial" w:hAnsi="Arial" w:cs="Arial"/>
                <w:sz w:val="18"/>
                <w:szCs w:val="18"/>
              </w:rPr>
            </w:pPr>
            <w:r>
              <w:rPr>
                <w:rFonts w:ascii="Arial" w:hAnsi="Arial" w:cs="Arial"/>
                <w:sz w:val="18"/>
                <w:szCs w:val="18"/>
                <w:vertAlign w:val="superscript"/>
              </w:rPr>
              <w:t>1</w:t>
            </w:r>
            <w:r>
              <w:rPr>
                <w:rFonts w:ascii="Arial" w:hAnsi="Arial" w:cs="Arial"/>
                <w:sz w:val="18"/>
                <w:szCs w:val="18"/>
              </w:rPr>
              <w:t xml:space="preserve"> BASEFLOW, MCW IN AND MCW OUT sites are downstream of T1-</w:t>
            </w:r>
            <w:r w:rsidRPr="00CD133C">
              <w:rPr>
                <w:rFonts w:ascii="Arial" w:hAnsi="Arial" w:cs="Arial"/>
                <w:sz w:val="18"/>
                <w:szCs w:val="18"/>
              </w:rPr>
              <w:t>CUCAMONGA (</w:t>
            </w:r>
            <w:r>
              <w:rPr>
                <w:rFonts w:ascii="Arial" w:hAnsi="Arial" w:cs="Arial"/>
                <w:sz w:val="18"/>
                <w:szCs w:val="18"/>
              </w:rPr>
              <w:t>s</w:t>
            </w:r>
            <w:r w:rsidRPr="00CD133C">
              <w:rPr>
                <w:rFonts w:ascii="Arial" w:hAnsi="Arial" w:cs="Arial"/>
                <w:sz w:val="18"/>
                <w:szCs w:val="18"/>
              </w:rPr>
              <w:t>ee Figure 4-</w:t>
            </w:r>
            <w:r w:rsidR="00C006F7">
              <w:rPr>
                <w:rFonts w:ascii="Arial" w:hAnsi="Arial" w:cs="Arial"/>
                <w:sz w:val="18"/>
                <w:szCs w:val="18"/>
              </w:rPr>
              <w:t>1</w:t>
            </w:r>
          </w:p>
          <w:p w14:paraId="3177599F" w14:textId="77777777" w:rsidR="0021179E" w:rsidRPr="00CD133C" w:rsidRDefault="0021179E" w:rsidP="001F00EA">
            <w:pPr>
              <w:spacing w:after="40" w:line="240" w:lineRule="auto"/>
              <w:ind w:left="-110"/>
              <w:rPr>
                <w:rFonts w:ascii="Arial" w:hAnsi="Arial" w:cs="Arial"/>
                <w:sz w:val="18"/>
                <w:szCs w:val="18"/>
              </w:rPr>
            </w:pPr>
            <w:r w:rsidRPr="00CD133C">
              <w:rPr>
                <w:rFonts w:ascii="Arial" w:hAnsi="Arial" w:cs="Arial"/>
                <w:sz w:val="18"/>
                <w:szCs w:val="18"/>
                <w:vertAlign w:val="superscript"/>
              </w:rPr>
              <w:t>2</w:t>
            </w:r>
            <w:r w:rsidRPr="00CD133C">
              <w:rPr>
                <w:rFonts w:ascii="Arial" w:hAnsi="Arial" w:cs="Arial"/>
                <w:sz w:val="18"/>
                <w:szCs w:val="18"/>
              </w:rPr>
              <w:t xml:space="preserve"> Co-located sites, upstream side of Hellman Avenue Bridge</w:t>
            </w:r>
            <w:r>
              <w:rPr>
                <w:rFonts w:ascii="Arial" w:hAnsi="Arial" w:cs="Arial"/>
                <w:sz w:val="18"/>
                <w:szCs w:val="18"/>
              </w:rPr>
              <w:t>:</w:t>
            </w:r>
            <w:r w:rsidRPr="00CD133C">
              <w:rPr>
                <w:rFonts w:ascii="Arial" w:hAnsi="Arial" w:cs="Arial"/>
                <w:sz w:val="18"/>
                <w:szCs w:val="18"/>
              </w:rPr>
              <w:t xml:space="preserve"> T1-CUCAMONGA, HELLMAN, and P4-SBC1</w:t>
            </w:r>
          </w:p>
          <w:p w14:paraId="4AB5F470" w14:textId="77777777" w:rsidR="0021179E" w:rsidRPr="0061155F" w:rsidRDefault="0021179E" w:rsidP="001F00EA">
            <w:pPr>
              <w:spacing w:after="40" w:line="240" w:lineRule="auto"/>
              <w:ind w:left="-110"/>
              <w:rPr>
                <w:rFonts w:ascii="Arial" w:hAnsi="Arial" w:cs="Arial"/>
                <w:sz w:val="18"/>
                <w:szCs w:val="18"/>
              </w:rPr>
            </w:pPr>
            <w:r w:rsidRPr="00CD133C">
              <w:rPr>
                <w:rFonts w:ascii="Arial" w:hAnsi="Arial" w:cs="Arial"/>
                <w:sz w:val="18"/>
                <w:szCs w:val="18"/>
                <w:vertAlign w:val="superscript"/>
              </w:rPr>
              <w:t>3</w:t>
            </w:r>
            <w:r w:rsidRPr="00CD133C">
              <w:rPr>
                <w:rFonts w:ascii="Arial" w:hAnsi="Arial" w:cs="Arial"/>
                <w:sz w:val="18"/>
                <w:szCs w:val="18"/>
              </w:rPr>
              <w:t xml:space="preserve"> TMDL compliance monitoring site downstream of T1-CUCAMONGA in Mill-Cucamonga Creek (see Figure 4-8)</w:t>
            </w:r>
          </w:p>
        </w:tc>
      </w:tr>
    </w:tbl>
    <w:tbl>
      <w:tblPr>
        <w:tblStyle w:val="TableGrid"/>
        <w:tblW w:w="9095" w:type="dxa"/>
        <w:jc w:val="center"/>
        <w:tblLook w:val="04A0" w:firstRow="1" w:lastRow="0" w:firstColumn="1" w:lastColumn="0" w:noHBand="0" w:noVBand="1"/>
      </w:tblPr>
      <w:tblGrid>
        <w:gridCol w:w="1871"/>
        <w:gridCol w:w="1806"/>
        <w:gridCol w:w="1806"/>
        <w:gridCol w:w="1806"/>
        <w:gridCol w:w="1806"/>
      </w:tblGrid>
      <w:tr w:rsidR="0021179E" w:rsidRPr="004B4A6E" w14:paraId="1CF21069" w14:textId="77777777" w:rsidTr="006A7136">
        <w:trPr>
          <w:trHeight w:val="540"/>
          <w:jc w:val="center"/>
        </w:trPr>
        <w:tc>
          <w:tcPr>
            <w:tcW w:w="9095" w:type="dxa"/>
            <w:gridSpan w:val="5"/>
            <w:tcBorders>
              <w:top w:val="nil"/>
              <w:left w:val="nil"/>
              <w:bottom w:val="single" w:sz="4" w:space="0" w:color="auto"/>
              <w:right w:val="nil"/>
            </w:tcBorders>
            <w:vAlign w:val="center"/>
          </w:tcPr>
          <w:p w14:paraId="057963B0" w14:textId="499D4F13" w:rsidR="0021179E" w:rsidRPr="004B4A6E" w:rsidRDefault="003A34AF" w:rsidP="003A34AF">
            <w:pPr>
              <w:pStyle w:val="Caption"/>
              <w:keepNext/>
            </w:pPr>
            <w:bookmarkStart w:id="114" w:name="_Toc217391763"/>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6</w:t>
            </w:r>
            <w:r w:rsidR="00FE614C">
              <w:fldChar w:fldCharType="end"/>
            </w:r>
            <w:r>
              <w:t xml:space="preserve">. </w:t>
            </w:r>
            <w:r w:rsidR="0021179E" w:rsidRPr="003C3194">
              <w:t>Summary</w:t>
            </w:r>
            <w:r w:rsidR="0021179E" w:rsidRPr="004B4A6E">
              <w:t xml:space="preserve"> of </w:t>
            </w:r>
            <w:r w:rsidR="0021179E" w:rsidRPr="00A94C91">
              <w:t>E. coli</w:t>
            </w:r>
            <w:r w:rsidR="0021179E" w:rsidRPr="004B4A6E">
              <w:t xml:space="preserve"> Sampl</w:t>
            </w:r>
            <w:r w:rsidR="0021179E">
              <w:t xml:space="preserve">e </w:t>
            </w:r>
            <w:r w:rsidR="0021179E" w:rsidRPr="00EF2737">
              <w:t xml:space="preserve">Results in Cucamonga Creek </w:t>
            </w:r>
            <w:r w:rsidR="0021179E">
              <w:t>Subw</w:t>
            </w:r>
            <w:r w:rsidR="0021179E" w:rsidRPr="00EF2737">
              <w:t>atershed, Tier 2 Source Investigations (201</w:t>
            </w:r>
            <w:r w:rsidR="006A7136">
              <w:t>6</w:t>
            </w:r>
            <w:r w:rsidR="0021179E" w:rsidRPr="00EF2737">
              <w:t>-202</w:t>
            </w:r>
            <w:r w:rsidR="003B1188">
              <w:t>5</w:t>
            </w:r>
            <w:r w:rsidR="0021179E" w:rsidRPr="00EF2737">
              <w:t>) (see Figures 3-5 and 4-8 for site</w:t>
            </w:r>
            <w:r w:rsidR="0021179E">
              <w:t xml:space="preserve"> locations)</w:t>
            </w:r>
            <w:bookmarkEnd w:id="114"/>
          </w:p>
        </w:tc>
      </w:tr>
      <w:tr w:rsidR="0021179E" w:rsidRPr="004B4A6E" w14:paraId="7F7A38F3" w14:textId="77777777" w:rsidTr="006A7136">
        <w:trPr>
          <w:trHeight w:val="530"/>
          <w:jc w:val="center"/>
        </w:trPr>
        <w:tc>
          <w:tcPr>
            <w:tcW w:w="187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6C4BD6" w14:textId="77777777"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sz w:val="18"/>
                <w:szCs w:val="18"/>
              </w:rPr>
              <w:t>Site</w:t>
            </w:r>
          </w:p>
        </w:tc>
        <w:tc>
          <w:tcPr>
            <w:tcW w:w="18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A6135B" w14:textId="77777777"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sz w:val="18"/>
                <w:szCs w:val="18"/>
              </w:rPr>
              <w:t>No. of Samples (Period)</w:t>
            </w:r>
            <w:r w:rsidRPr="002714B2">
              <w:rPr>
                <w:rFonts w:ascii="Arial" w:hAnsi="Arial" w:cs="Arial"/>
                <w:b/>
                <w:bCs/>
                <w:sz w:val="18"/>
                <w:szCs w:val="18"/>
                <w:vertAlign w:val="superscript"/>
              </w:rPr>
              <w:t>1</w:t>
            </w:r>
          </w:p>
        </w:tc>
        <w:tc>
          <w:tcPr>
            <w:tcW w:w="18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414FE5" w14:textId="77777777"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i/>
                <w:iCs/>
                <w:sz w:val="18"/>
                <w:szCs w:val="18"/>
              </w:rPr>
              <w:t>E. coli</w:t>
            </w:r>
            <w:r w:rsidRPr="002714B2">
              <w:rPr>
                <w:rFonts w:ascii="Arial" w:hAnsi="Arial" w:cs="Arial"/>
                <w:b/>
                <w:bCs/>
                <w:sz w:val="18"/>
                <w:szCs w:val="18"/>
              </w:rPr>
              <w:t xml:space="preserve"> Geomean (MPN/100 mL)</w:t>
            </w:r>
          </w:p>
        </w:tc>
        <w:tc>
          <w:tcPr>
            <w:tcW w:w="18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A2C2C2" w14:textId="77777777"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sz w:val="18"/>
                <w:szCs w:val="18"/>
              </w:rPr>
              <w:t>Median Flow (cfs)</w:t>
            </w:r>
          </w:p>
        </w:tc>
        <w:tc>
          <w:tcPr>
            <w:tcW w:w="18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1659A8" w14:textId="77777777" w:rsidR="0021179E" w:rsidRPr="002714B2" w:rsidRDefault="0021179E" w:rsidP="001F00EA">
            <w:pPr>
              <w:spacing w:line="240" w:lineRule="auto"/>
              <w:jc w:val="center"/>
              <w:rPr>
                <w:rFonts w:ascii="Arial" w:hAnsi="Arial" w:cs="Arial"/>
                <w:b/>
                <w:bCs/>
                <w:sz w:val="18"/>
                <w:szCs w:val="18"/>
              </w:rPr>
            </w:pPr>
            <w:r w:rsidRPr="002714B2">
              <w:rPr>
                <w:rFonts w:ascii="Arial" w:hAnsi="Arial" w:cs="Arial"/>
                <w:b/>
                <w:bCs/>
                <w:sz w:val="18"/>
                <w:szCs w:val="18"/>
              </w:rPr>
              <w:t xml:space="preserve">Median </w:t>
            </w:r>
            <w:r w:rsidRPr="002714B2">
              <w:rPr>
                <w:rFonts w:ascii="Arial" w:hAnsi="Arial" w:cs="Arial"/>
                <w:b/>
                <w:bCs/>
                <w:i/>
                <w:iCs/>
                <w:sz w:val="18"/>
                <w:szCs w:val="18"/>
              </w:rPr>
              <w:t>E. coli</w:t>
            </w:r>
            <w:r w:rsidRPr="002714B2">
              <w:rPr>
                <w:rFonts w:ascii="Arial" w:hAnsi="Arial" w:cs="Arial"/>
                <w:b/>
                <w:bCs/>
                <w:sz w:val="18"/>
                <w:szCs w:val="18"/>
              </w:rPr>
              <w:t xml:space="preserve"> Load (MPN/Day)</w:t>
            </w:r>
          </w:p>
        </w:tc>
      </w:tr>
      <w:tr w:rsidR="0021179E" w:rsidRPr="004B4A6E" w14:paraId="490D3CD4" w14:textId="77777777" w:rsidTr="006A7136">
        <w:trPr>
          <w:trHeight w:val="302"/>
          <w:jc w:val="center"/>
        </w:trPr>
        <w:tc>
          <w:tcPr>
            <w:tcW w:w="1871" w:type="dxa"/>
            <w:tcBorders>
              <w:top w:val="single" w:sz="4" w:space="0" w:color="auto"/>
            </w:tcBorders>
            <w:vAlign w:val="center"/>
          </w:tcPr>
          <w:p w14:paraId="0EE7C7F4"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Airport U/S</w:t>
            </w:r>
          </w:p>
        </w:tc>
        <w:tc>
          <w:tcPr>
            <w:tcW w:w="1806" w:type="dxa"/>
            <w:tcBorders>
              <w:top w:val="single" w:sz="4" w:space="0" w:color="auto"/>
            </w:tcBorders>
            <w:vAlign w:val="center"/>
          </w:tcPr>
          <w:p w14:paraId="6CEE90EA" w14:textId="165C1D3E"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7</w:t>
            </w:r>
            <w:r w:rsidR="0021179E" w:rsidRPr="002714B2">
              <w:rPr>
                <w:rFonts w:ascii="Arial" w:hAnsi="Arial" w:cs="Arial"/>
                <w:sz w:val="18"/>
                <w:szCs w:val="18"/>
              </w:rPr>
              <w:t>0 (2017-202</w:t>
            </w:r>
            <w:r w:rsidRPr="002714B2">
              <w:rPr>
                <w:rFonts w:ascii="Arial" w:hAnsi="Arial" w:cs="Arial"/>
                <w:sz w:val="18"/>
                <w:szCs w:val="18"/>
              </w:rPr>
              <w:t>4</w:t>
            </w:r>
            <w:r w:rsidR="0021179E" w:rsidRPr="002714B2">
              <w:rPr>
                <w:rFonts w:ascii="Arial" w:hAnsi="Arial" w:cs="Arial"/>
                <w:sz w:val="18"/>
                <w:szCs w:val="18"/>
              </w:rPr>
              <w:t>)</w:t>
            </w:r>
          </w:p>
        </w:tc>
        <w:tc>
          <w:tcPr>
            <w:tcW w:w="1806" w:type="dxa"/>
            <w:tcBorders>
              <w:top w:val="single" w:sz="4" w:space="0" w:color="auto"/>
            </w:tcBorders>
            <w:vAlign w:val="center"/>
          </w:tcPr>
          <w:p w14:paraId="173A4078" w14:textId="1B9F958D" w:rsidR="0021179E" w:rsidRPr="002714B2" w:rsidRDefault="006A7136" w:rsidP="001F00EA">
            <w:pPr>
              <w:spacing w:line="240" w:lineRule="auto"/>
              <w:jc w:val="center"/>
              <w:rPr>
                <w:rFonts w:ascii="Arial" w:hAnsi="Arial" w:cs="Arial"/>
                <w:sz w:val="18"/>
                <w:szCs w:val="18"/>
              </w:rPr>
            </w:pPr>
            <w:r w:rsidRPr="002714B2">
              <w:rPr>
                <w:rFonts w:ascii="Arial" w:hAnsi="Arial" w:cs="Arial"/>
                <w:color w:val="000000"/>
                <w:sz w:val="18"/>
                <w:szCs w:val="18"/>
              </w:rPr>
              <w:t>27</w:t>
            </w:r>
          </w:p>
        </w:tc>
        <w:tc>
          <w:tcPr>
            <w:tcW w:w="1806" w:type="dxa"/>
            <w:tcBorders>
              <w:top w:val="single" w:sz="4" w:space="0" w:color="auto"/>
            </w:tcBorders>
            <w:vAlign w:val="center"/>
          </w:tcPr>
          <w:p w14:paraId="30C7FEF5" w14:textId="11180D20"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w:t>
            </w:r>
            <w:r w:rsidR="006A7136" w:rsidRPr="002714B2">
              <w:rPr>
                <w:rFonts w:ascii="Arial" w:hAnsi="Arial" w:cs="Arial"/>
                <w:sz w:val="18"/>
                <w:szCs w:val="18"/>
              </w:rPr>
              <w:t>3</w:t>
            </w:r>
          </w:p>
        </w:tc>
        <w:tc>
          <w:tcPr>
            <w:tcW w:w="1806" w:type="dxa"/>
            <w:tcBorders>
              <w:top w:val="single" w:sz="4" w:space="0" w:color="auto"/>
            </w:tcBorders>
            <w:vAlign w:val="center"/>
          </w:tcPr>
          <w:p w14:paraId="038CBBCC"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0.2</w:t>
            </w:r>
          </w:p>
        </w:tc>
      </w:tr>
      <w:tr w:rsidR="0021179E" w:rsidRPr="004B4A6E" w14:paraId="223C6FAB" w14:textId="77777777" w:rsidTr="00551F40">
        <w:trPr>
          <w:trHeight w:val="302"/>
          <w:jc w:val="center"/>
        </w:trPr>
        <w:tc>
          <w:tcPr>
            <w:tcW w:w="1871" w:type="dxa"/>
            <w:vAlign w:val="center"/>
          </w:tcPr>
          <w:p w14:paraId="1BE361F1"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Airport D/S</w:t>
            </w:r>
          </w:p>
        </w:tc>
        <w:tc>
          <w:tcPr>
            <w:tcW w:w="1806" w:type="dxa"/>
            <w:vAlign w:val="center"/>
          </w:tcPr>
          <w:p w14:paraId="7D31149E" w14:textId="40866C35"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7</w:t>
            </w:r>
            <w:r w:rsidR="0021179E" w:rsidRPr="002714B2">
              <w:rPr>
                <w:rFonts w:ascii="Arial" w:hAnsi="Arial" w:cs="Arial"/>
                <w:sz w:val="18"/>
                <w:szCs w:val="18"/>
              </w:rPr>
              <w:t>0 (2017-202</w:t>
            </w:r>
            <w:r w:rsidRPr="002714B2">
              <w:rPr>
                <w:rFonts w:ascii="Arial" w:hAnsi="Arial" w:cs="Arial"/>
                <w:sz w:val="18"/>
                <w:szCs w:val="18"/>
              </w:rPr>
              <w:t>4</w:t>
            </w:r>
            <w:r w:rsidR="0021179E" w:rsidRPr="002714B2">
              <w:rPr>
                <w:rFonts w:ascii="Arial" w:hAnsi="Arial" w:cs="Arial"/>
                <w:sz w:val="18"/>
                <w:szCs w:val="18"/>
              </w:rPr>
              <w:t>)</w:t>
            </w:r>
          </w:p>
        </w:tc>
        <w:tc>
          <w:tcPr>
            <w:tcW w:w="1806" w:type="dxa"/>
            <w:vAlign w:val="center"/>
          </w:tcPr>
          <w:p w14:paraId="5EF0E8D5" w14:textId="2927B53B"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273</w:t>
            </w:r>
          </w:p>
        </w:tc>
        <w:tc>
          <w:tcPr>
            <w:tcW w:w="1806" w:type="dxa"/>
            <w:vAlign w:val="center"/>
          </w:tcPr>
          <w:p w14:paraId="5B2121E6" w14:textId="7CF03DC6" w:rsidR="0021179E" w:rsidRPr="002714B2" w:rsidRDefault="0021179E" w:rsidP="001F00EA">
            <w:pPr>
              <w:spacing w:line="240" w:lineRule="auto"/>
              <w:jc w:val="center"/>
              <w:rPr>
                <w:rFonts w:ascii="Arial" w:hAnsi="Arial" w:cs="Arial"/>
                <w:sz w:val="18"/>
                <w:szCs w:val="18"/>
              </w:rPr>
            </w:pPr>
            <w:r w:rsidRPr="002714B2">
              <w:rPr>
                <w:rFonts w:ascii="Arial" w:hAnsi="Arial" w:cs="Arial"/>
                <w:color w:val="000000"/>
                <w:sz w:val="18"/>
                <w:szCs w:val="18"/>
              </w:rPr>
              <w:t>0.</w:t>
            </w:r>
            <w:r w:rsidR="006A7136" w:rsidRPr="002714B2">
              <w:rPr>
                <w:rFonts w:ascii="Arial" w:hAnsi="Arial" w:cs="Arial"/>
                <w:color w:val="000000"/>
                <w:sz w:val="18"/>
                <w:szCs w:val="18"/>
              </w:rPr>
              <w:t>3</w:t>
            </w:r>
          </w:p>
        </w:tc>
        <w:tc>
          <w:tcPr>
            <w:tcW w:w="1806" w:type="dxa"/>
            <w:vAlign w:val="center"/>
          </w:tcPr>
          <w:p w14:paraId="211E4B53" w14:textId="45303954"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1.7</w:t>
            </w:r>
          </w:p>
        </w:tc>
      </w:tr>
      <w:tr w:rsidR="0021179E" w:rsidRPr="004B4A6E" w14:paraId="2227E8A1" w14:textId="77777777" w:rsidTr="00551F40">
        <w:trPr>
          <w:trHeight w:val="302"/>
          <w:jc w:val="center"/>
        </w:trPr>
        <w:tc>
          <w:tcPr>
            <w:tcW w:w="1871" w:type="dxa"/>
            <w:vAlign w:val="center"/>
          </w:tcPr>
          <w:p w14:paraId="0394B5A9"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Hwy 60</w:t>
            </w:r>
          </w:p>
        </w:tc>
        <w:tc>
          <w:tcPr>
            <w:tcW w:w="1806" w:type="dxa"/>
            <w:vAlign w:val="center"/>
          </w:tcPr>
          <w:p w14:paraId="7B09D342" w14:textId="4BAEEF8B"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8</w:t>
            </w:r>
            <w:r w:rsidR="0021179E" w:rsidRPr="002714B2">
              <w:rPr>
                <w:rFonts w:ascii="Arial" w:hAnsi="Arial" w:cs="Arial"/>
                <w:sz w:val="18"/>
                <w:szCs w:val="18"/>
              </w:rPr>
              <w:t>5 (201</w:t>
            </w:r>
            <w:r w:rsidRPr="002714B2">
              <w:rPr>
                <w:rFonts w:ascii="Arial" w:hAnsi="Arial" w:cs="Arial"/>
                <w:sz w:val="18"/>
                <w:szCs w:val="18"/>
              </w:rPr>
              <w:t>6</w:t>
            </w:r>
            <w:r w:rsidR="0021179E" w:rsidRPr="002714B2">
              <w:rPr>
                <w:rFonts w:ascii="Arial" w:hAnsi="Arial" w:cs="Arial"/>
                <w:sz w:val="18"/>
                <w:szCs w:val="18"/>
              </w:rPr>
              <w:t>-202</w:t>
            </w:r>
            <w:r w:rsidRPr="002714B2">
              <w:rPr>
                <w:rFonts w:ascii="Arial" w:hAnsi="Arial" w:cs="Arial"/>
                <w:sz w:val="18"/>
                <w:szCs w:val="18"/>
              </w:rPr>
              <w:t>5</w:t>
            </w:r>
            <w:r w:rsidR="0021179E" w:rsidRPr="002714B2">
              <w:rPr>
                <w:rFonts w:ascii="Arial" w:hAnsi="Arial" w:cs="Arial"/>
                <w:sz w:val="18"/>
                <w:szCs w:val="18"/>
              </w:rPr>
              <w:t>)</w:t>
            </w:r>
          </w:p>
        </w:tc>
        <w:tc>
          <w:tcPr>
            <w:tcW w:w="1806" w:type="dxa"/>
            <w:vAlign w:val="center"/>
          </w:tcPr>
          <w:p w14:paraId="42FA7407" w14:textId="0241576E"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59</w:t>
            </w:r>
          </w:p>
        </w:tc>
        <w:tc>
          <w:tcPr>
            <w:tcW w:w="1806" w:type="dxa"/>
            <w:vAlign w:val="center"/>
          </w:tcPr>
          <w:p w14:paraId="1D41FD7F" w14:textId="1E7330A8"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w:t>
            </w:r>
            <w:r w:rsidR="006A7136" w:rsidRPr="002714B2">
              <w:rPr>
                <w:rFonts w:ascii="Arial" w:hAnsi="Arial" w:cs="Arial"/>
                <w:sz w:val="18"/>
                <w:szCs w:val="18"/>
              </w:rPr>
              <w:t>7</w:t>
            </w:r>
          </w:p>
        </w:tc>
        <w:tc>
          <w:tcPr>
            <w:tcW w:w="1806" w:type="dxa"/>
            <w:vAlign w:val="center"/>
          </w:tcPr>
          <w:p w14:paraId="07A6B985" w14:textId="0D9485F7"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0.8</w:t>
            </w:r>
          </w:p>
        </w:tc>
      </w:tr>
      <w:tr w:rsidR="0021179E" w:rsidRPr="004B4A6E" w14:paraId="2C49E71C" w14:textId="77777777" w:rsidTr="00551F40">
        <w:trPr>
          <w:trHeight w:val="302"/>
          <w:jc w:val="center"/>
        </w:trPr>
        <w:tc>
          <w:tcPr>
            <w:tcW w:w="1871" w:type="dxa"/>
            <w:vAlign w:val="center"/>
          </w:tcPr>
          <w:p w14:paraId="70141CA3" w14:textId="77777777" w:rsidR="0021179E" w:rsidRPr="002714B2" w:rsidRDefault="0021179E" w:rsidP="001F00EA">
            <w:pPr>
              <w:spacing w:line="240" w:lineRule="auto"/>
              <w:contextualSpacing/>
              <w:jc w:val="center"/>
              <w:rPr>
                <w:rFonts w:ascii="Arial" w:hAnsi="Arial" w:cs="Arial"/>
                <w:sz w:val="18"/>
                <w:szCs w:val="18"/>
              </w:rPr>
            </w:pPr>
            <w:proofErr w:type="spellStart"/>
            <w:r w:rsidRPr="002714B2">
              <w:rPr>
                <w:rFonts w:ascii="Arial" w:hAnsi="Arial" w:cs="Arial"/>
                <w:sz w:val="18"/>
                <w:szCs w:val="18"/>
              </w:rPr>
              <w:t>RivDr</w:t>
            </w:r>
            <w:proofErr w:type="spellEnd"/>
          </w:p>
        </w:tc>
        <w:tc>
          <w:tcPr>
            <w:tcW w:w="1806" w:type="dxa"/>
            <w:vAlign w:val="center"/>
          </w:tcPr>
          <w:p w14:paraId="4E9B833D" w14:textId="130D66F5"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7</w:t>
            </w:r>
            <w:r w:rsidR="0021179E" w:rsidRPr="002714B2">
              <w:rPr>
                <w:rFonts w:ascii="Arial" w:hAnsi="Arial" w:cs="Arial"/>
                <w:sz w:val="18"/>
                <w:szCs w:val="18"/>
              </w:rPr>
              <w:t>0 (2017-202</w:t>
            </w:r>
            <w:r w:rsidRPr="002714B2">
              <w:rPr>
                <w:rFonts w:ascii="Arial" w:hAnsi="Arial" w:cs="Arial"/>
                <w:sz w:val="18"/>
                <w:szCs w:val="18"/>
              </w:rPr>
              <w:t>4</w:t>
            </w:r>
            <w:r w:rsidR="0021179E" w:rsidRPr="002714B2">
              <w:rPr>
                <w:rFonts w:ascii="Arial" w:hAnsi="Arial" w:cs="Arial"/>
                <w:sz w:val="18"/>
                <w:szCs w:val="18"/>
              </w:rPr>
              <w:t>)</w:t>
            </w:r>
          </w:p>
        </w:tc>
        <w:tc>
          <w:tcPr>
            <w:tcW w:w="1806" w:type="dxa"/>
            <w:vAlign w:val="center"/>
          </w:tcPr>
          <w:p w14:paraId="3F0695E6" w14:textId="7CE86A9D"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20</w:t>
            </w:r>
            <w:r w:rsidR="006A7136" w:rsidRPr="002714B2">
              <w:rPr>
                <w:rFonts w:ascii="Arial" w:hAnsi="Arial" w:cs="Arial"/>
                <w:sz w:val="18"/>
                <w:szCs w:val="18"/>
              </w:rPr>
              <w:t>3</w:t>
            </w:r>
          </w:p>
        </w:tc>
        <w:tc>
          <w:tcPr>
            <w:tcW w:w="1806" w:type="dxa"/>
            <w:vAlign w:val="center"/>
          </w:tcPr>
          <w:p w14:paraId="7AB1711E" w14:textId="48DDB898"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3.</w:t>
            </w:r>
            <w:r w:rsidR="006A7136" w:rsidRPr="002714B2">
              <w:rPr>
                <w:rFonts w:ascii="Arial" w:hAnsi="Arial" w:cs="Arial"/>
                <w:sz w:val="18"/>
                <w:szCs w:val="18"/>
              </w:rPr>
              <w:t>9</w:t>
            </w:r>
          </w:p>
        </w:tc>
        <w:tc>
          <w:tcPr>
            <w:tcW w:w="1806" w:type="dxa"/>
            <w:vAlign w:val="center"/>
          </w:tcPr>
          <w:p w14:paraId="044D8091" w14:textId="0D8AC9C1"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21</w:t>
            </w:r>
            <w:r w:rsidR="006A7136" w:rsidRPr="002714B2">
              <w:rPr>
                <w:rFonts w:ascii="Arial" w:hAnsi="Arial" w:cs="Arial"/>
                <w:sz w:val="18"/>
                <w:szCs w:val="18"/>
              </w:rPr>
              <w:t>.4</w:t>
            </w:r>
          </w:p>
        </w:tc>
      </w:tr>
      <w:tr w:rsidR="0021179E" w:rsidRPr="004B4A6E" w14:paraId="2D2F6B89" w14:textId="77777777" w:rsidTr="00551F40">
        <w:trPr>
          <w:trHeight w:val="302"/>
          <w:jc w:val="center"/>
        </w:trPr>
        <w:tc>
          <w:tcPr>
            <w:tcW w:w="1871" w:type="dxa"/>
            <w:vAlign w:val="center"/>
          </w:tcPr>
          <w:p w14:paraId="2A33EC00"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Chino MS4</w:t>
            </w:r>
            <w:r w:rsidRPr="002714B2">
              <w:rPr>
                <w:rFonts w:ascii="Arial" w:hAnsi="Arial" w:cs="Arial"/>
                <w:sz w:val="18"/>
                <w:szCs w:val="18"/>
                <w:vertAlign w:val="superscript"/>
              </w:rPr>
              <w:t>2</w:t>
            </w:r>
          </w:p>
        </w:tc>
        <w:tc>
          <w:tcPr>
            <w:tcW w:w="1806" w:type="dxa"/>
            <w:vAlign w:val="center"/>
          </w:tcPr>
          <w:p w14:paraId="24F172C6" w14:textId="6428F202"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7</w:t>
            </w:r>
            <w:r w:rsidR="0021179E" w:rsidRPr="002714B2">
              <w:rPr>
                <w:rFonts w:ascii="Arial" w:hAnsi="Arial" w:cs="Arial"/>
                <w:sz w:val="18"/>
                <w:szCs w:val="18"/>
              </w:rPr>
              <w:t>0 (2017-202</w:t>
            </w:r>
            <w:r w:rsidR="0087209D" w:rsidRPr="002714B2">
              <w:rPr>
                <w:rFonts w:ascii="Arial" w:hAnsi="Arial" w:cs="Arial"/>
                <w:sz w:val="18"/>
                <w:szCs w:val="18"/>
              </w:rPr>
              <w:t>5</w:t>
            </w:r>
            <w:r w:rsidR="0021179E" w:rsidRPr="002714B2">
              <w:rPr>
                <w:rFonts w:ascii="Arial" w:hAnsi="Arial" w:cs="Arial"/>
                <w:sz w:val="18"/>
                <w:szCs w:val="18"/>
              </w:rPr>
              <w:t>)</w:t>
            </w:r>
          </w:p>
        </w:tc>
        <w:tc>
          <w:tcPr>
            <w:tcW w:w="1806" w:type="dxa"/>
            <w:vAlign w:val="center"/>
          </w:tcPr>
          <w:p w14:paraId="5DCCE74D" w14:textId="59D4EB90" w:rsidR="0021179E" w:rsidRPr="002714B2" w:rsidRDefault="006A7136" w:rsidP="001F00EA">
            <w:pPr>
              <w:spacing w:line="240" w:lineRule="auto"/>
              <w:jc w:val="center"/>
              <w:rPr>
                <w:rFonts w:ascii="Arial" w:hAnsi="Arial" w:cs="Arial"/>
                <w:sz w:val="18"/>
                <w:szCs w:val="18"/>
              </w:rPr>
            </w:pPr>
            <w:r w:rsidRPr="002714B2">
              <w:rPr>
                <w:rFonts w:ascii="Arial" w:hAnsi="Arial" w:cs="Arial"/>
                <w:sz w:val="18"/>
                <w:szCs w:val="18"/>
              </w:rPr>
              <w:t>290</w:t>
            </w:r>
          </w:p>
        </w:tc>
        <w:tc>
          <w:tcPr>
            <w:tcW w:w="1806" w:type="dxa"/>
            <w:vAlign w:val="center"/>
          </w:tcPr>
          <w:p w14:paraId="18D258DB" w14:textId="516E9844"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3.</w:t>
            </w:r>
            <w:r w:rsidR="00E13731" w:rsidRPr="002714B2">
              <w:rPr>
                <w:rFonts w:ascii="Arial" w:hAnsi="Arial" w:cs="Arial"/>
                <w:sz w:val="18"/>
                <w:szCs w:val="18"/>
              </w:rPr>
              <w:t>6</w:t>
            </w:r>
          </w:p>
        </w:tc>
        <w:tc>
          <w:tcPr>
            <w:tcW w:w="1806" w:type="dxa"/>
            <w:vAlign w:val="center"/>
          </w:tcPr>
          <w:p w14:paraId="58A781E7" w14:textId="1DD1F953"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32</w:t>
            </w:r>
            <w:r w:rsidR="00E13731" w:rsidRPr="002714B2">
              <w:rPr>
                <w:rFonts w:ascii="Arial" w:hAnsi="Arial" w:cs="Arial"/>
                <w:sz w:val="18"/>
                <w:szCs w:val="18"/>
              </w:rPr>
              <w:t>.7</w:t>
            </w:r>
          </w:p>
        </w:tc>
      </w:tr>
      <w:tr w:rsidR="0021179E" w:rsidRPr="004B4A6E" w14:paraId="53BE1E25" w14:textId="77777777" w:rsidTr="00551F40">
        <w:trPr>
          <w:trHeight w:val="302"/>
          <w:jc w:val="center"/>
        </w:trPr>
        <w:tc>
          <w:tcPr>
            <w:tcW w:w="1871" w:type="dxa"/>
            <w:vAlign w:val="center"/>
          </w:tcPr>
          <w:p w14:paraId="0F3D40D6"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Chino RP1</w:t>
            </w:r>
            <w:r w:rsidRPr="002714B2">
              <w:rPr>
                <w:rFonts w:ascii="Arial" w:hAnsi="Arial" w:cs="Arial"/>
                <w:sz w:val="18"/>
                <w:szCs w:val="18"/>
                <w:vertAlign w:val="superscript"/>
              </w:rPr>
              <w:t>2</w:t>
            </w:r>
          </w:p>
        </w:tc>
        <w:tc>
          <w:tcPr>
            <w:tcW w:w="1806" w:type="dxa"/>
            <w:vAlign w:val="center"/>
          </w:tcPr>
          <w:p w14:paraId="3BED11F5" w14:textId="543DB23B" w:rsidR="0021179E" w:rsidRPr="002714B2" w:rsidRDefault="0087209D" w:rsidP="001F00EA">
            <w:pPr>
              <w:spacing w:line="240" w:lineRule="auto"/>
              <w:jc w:val="center"/>
              <w:rPr>
                <w:rFonts w:ascii="Arial" w:hAnsi="Arial" w:cs="Arial"/>
                <w:sz w:val="18"/>
                <w:szCs w:val="18"/>
              </w:rPr>
            </w:pPr>
            <w:r w:rsidRPr="002714B2">
              <w:rPr>
                <w:rFonts w:ascii="Arial" w:hAnsi="Arial" w:cs="Arial"/>
                <w:sz w:val="18"/>
                <w:szCs w:val="18"/>
              </w:rPr>
              <w:t>84</w:t>
            </w:r>
            <w:r w:rsidR="0021179E" w:rsidRPr="002714B2">
              <w:rPr>
                <w:rFonts w:ascii="Arial" w:hAnsi="Arial" w:cs="Arial"/>
                <w:sz w:val="18"/>
                <w:szCs w:val="18"/>
              </w:rPr>
              <w:t xml:space="preserve"> (2017-202</w:t>
            </w:r>
            <w:r w:rsidRPr="002714B2">
              <w:rPr>
                <w:rFonts w:ascii="Arial" w:hAnsi="Arial" w:cs="Arial"/>
                <w:sz w:val="18"/>
                <w:szCs w:val="18"/>
              </w:rPr>
              <w:t>5</w:t>
            </w:r>
            <w:r w:rsidR="0021179E" w:rsidRPr="002714B2">
              <w:rPr>
                <w:rFonts w:ascii="Arial" w:hAnsi="Arial" w:cs="Arial"/>
                <w:sz w:val="18"/>
                <w:szCs w:val="18"/>
              </w:rPr>
              <w:t>)</w:t>
            </w:r>
          </w:p>
        </w:tc>
        <w:tc>
          <w:tcPr>
            <w:tcW w:w="1806" w:type="dxa"/>
            <w:vAlign w:val="center"/>
          </w:tcPr>
          <w:p w14:paraId="10D6B109" w14:textId="6406CE89" w:rsidR="0021179E" w:rsidRPr="002714B2" w:rsidRDefault="0087209D" w:rsidP="001F00EA">
            <w:pPr>
              <w:spacing w:line="240" w:lineRule="auto"/>
              <w:jc w:val="center"/>
              <w:rPr>
                <w:rFonts w:ascii="Arial" w:hAnsi="Arial" w:cs="Arial"/>
                <w:sz w:val="18"/>
                <w:szCs w:val="18"/>
              </w:rPr>
            </w:pPr>
            <w:r w:rsidRPr="002714B2">
              <w:rPr>
                <w:rFonts w:ascii="Arial" w:hAnsi="Arial" w:cs="Arial"/>
                <w:sz w:val="18"/>
                <w:szCs w:val="18"/>
              </w:rPr>
              <w:t>49</w:t>
            </w:r>
          </w:p>
        </w:tc>
        <w:tc>
          <w:tcPr>
            <w:tcW w:w="1806" w:type="dxa"/>
            <w:vAlign w:val="center"/>
          </w:tcPr>
          <w:p w14:paraId="17524F42" w14:textId="03AAECFE"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w:t>
            </w:r>
            <w:r w:rsidR="0087209D" w:rsidRPr="002714B2">
              <w:rPr>
                <w:rFonts w:ascii="Arial" w:hAnsi="Arial" w:cs="Arial"/>
                <w:sz w:val="18"/>
                <w:szCs w:val="18"/>
              </w:rPr>
              <w:t>9</w:t>
            </w:r>
          </w:p>
        </w:tc>
        <w:tc>
          <w:tcPr>
            <w:tcW w:w="1806" w:type="dxa"/>
            <w:vAlign w:val="center"/>
          </w:tcPr>
          <w:p w14:paraId="4BB7582A" w14:textId="665DE0AA"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1.</w:t>
            </w:r>
            <w:r w:rsidR="0087209D" w:rsidRPr="002714B2">
              <w:rPr>
                <w:rFonts w:ascii="Arial" w:hAnsi="Arial" w:cs="Arial"/>
                <w:sz w:val="18"/>
                <w:szCs w:val="18"/>
              </w:rPr>
              <w:t>8</w:t>
            </w:r>
          </w:p>
        </w:tc>
      </w:tr>
      <w:tr w:rsidR="0021179E" w:rsidRPr="004B4A6E" w14:paraId="1627B1DA" w14:textId="77777777" w:rsidTr="00551F40">
        <w:trPr>
          <w:trHeight w:val="302"/>
          <w:jc w:val="center"/>
        </w:trPr>
        <w:tc>
          <w:tcPr>
            <w:tcW w:w="1871" w:type="dxa"/>
            <w:vAlign w:val="center"/>
          </w:tcPr>
          <w:p w14:paraId="3F9757F2"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DEER In</w:t>
            </w:r>
          </w:p>
        </w:tc>
        <w:tc>
          <w:tcPr>
            <w:tcW w:w="1806" w:type="dxa"/>
            <w:vAlign w:val="center"/>
          </w:tcPr>
          <w:p w14:paraId="2C15A4F9" w14:textId="0543A514" w:rsidR="0021179E" w:rsidRPr="002714B2" w:rsidRDefault="0087209D" w:rsidP="001F00EA">
            <w:pPr>
              <w:spacing w:line="240" w:lineRule="auto"/>
              <w:jc w:val="center"/>
              <w:rPr>
                <w:rFonts w:ascii="Arial" w:hAnsi="Arial" w:cs="Arial"/>
                <w:sz w:val="18"/>
                <w:szCs w:val="18"/>
              </w:rPr>
            </w:pPr>
            <w:r w:rsidRPr="002714B2">
              <w:rPr>
                <w:rFonts w:ascii="Arial" w:hAnsi="Arial" w:cs="Arial"/>
                <w:sz w:val="18"/>
                <w:szCs w:val="18"/>
              </w:rPr>
              <w:t>69</w:t>
            </w:r>
            <w:r w:rsidR="0021179E" w:rsidRPr="002714B2">
              <w:rPr>
                <w:rFonts w:ascii="Arial" w:hAnsi="Arial" w:cs="Arial"/>
                <w:sz w:val="18"/>
                <w:szCs w:val="18"/>
              </w:rPr>
              <w:t xml:space="preserve"> (2017-202</w:t>
            </w:r>
            <w:r w:rsidRPr="002714B2">
              <w:rPr>
                <w:rFonts w:ascii="Arial" w:hAnsi="Arial" w:cs="Arial"/>
                <w:sz w:val="18"/>
                <w:szCs w:val="18"/>
              </w:rPr>
              <w:t>4</w:t>
            </w:r>
            <w:r w:rsidR="0021179E" w:rsidRPr="002714B2">
              <w:rPr>
                <w:rFonts w:ascii="Arial" w:hAnsi="Arial" w:cs="Arial"/>
                <w:sz w:val="18"/>
                <w:szCs w:val="18"/>
              </w:rPr>
              <w:t>)</w:t>
            </w:r>
          </w:p>
        </w:tc>
        <w:tc>
          <w:tcPr>
            <w:tcW w:w="1806" w:type="dxa"/>
            <w:vAlign w:val="center"/>
          </w:tcPr>
          <w:p w14:paraId="5566B7ED" w14:textId="1AFF9314" w:rsidR="0021179E" w:rsidRPr="002714B2" w:rsidRDefault="0087209D" w:rsidP="001F00EA">
            <w:pPr>
              <w:spacing w:line="240" w:lineRule="auto"/>
              <w:jc w:val="center"/>
              <w:rPr>
                <w:rFonts w:ascii="Arial" w:hAnsi="Arial" w:cs="Arial"/>
                <w:sz w:val="18"/>
                <w:szCs w:val="18"/>
              </w:rPr>
            </w:pPr>
            <w:r w:rsidRPr="002714B2">
              <w:rPr>
                <w:rFonts w:ascii="Arial" w:hAnsi="Arial" w:cs="Arial"/>
                <w:sz w:val="18"/>
                <w:szCs w:val="18"/>
              </w:rPr>
              <w:t>476</w:t>
            </w:r>
          </w:p>
        </w:tc>
        <w:tc>
          <w:tcPr>
            <w:tcW w:w="1806" w:type="dxa"/>
            <w:vAlign w:val="center"/>
          </w:tcPr>
          <w:p w14:paraId="60AAE646" w14:textId="30BD3EC4"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w:t>
            </w:r>
            <w:r w:rsidR="009E6C91" w:rsidRPr="002714B2">
              <w:rPr>
                <w:rFonts w:ascii="Arial" w:hAnsi="Arial" w:cs="Arial"/>
                <w:sz w:val="18"/>
                <w:szCs w:val="18"/>
              </w:rPr>
              <w:t>8</w:t>
            </w:r>
          </w:p>
        </w:tc>
        <w:tc>
          <w:tcPr>
            <w:tcW w:w="1806" w:type="dxa"/>
            <w:vAlign w:val="center"/>
          </w:tcPr>
          <w:p w14:paraId="1750E9D8" w14:textId="0669474B"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25.0</w:t>
            </w:r>
          </w:p>
        </w:tc>
      </w:tr>
      <w:tr w:rsidR="0021179E" w:rsidRPr="004B4A6E" w14:paraId="76AFBC52" w14:textId="77777777" w:rsidTr="00551F40">
        <w:trPr>
          <w:trHeight w:val="302"/>
          <w:jc w:val="center"/>
        </w:trPr>
        <w:tc>
          <w:tcPr>
            <w:tcW w:w="1871" w:type="dxa"/>
            <w:vAlign w:val="center"/>
          </w:tcPr>
          <w:p w14:paraId="40BCDCAE" w14:textId="5727DF60"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CHRIS</w:t>
            </w:r>
          </w:p>
        </w:tc>
        <w:tc>
          <w:tcPr>
            <w:tcW w:w="1806" w:type="dxa"/>
            <w:vAlign w:val="center"/>
          </w:tcPr>
          <w:p w14:paraId="286AC62B" w14:textId="29A77672"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8</w:t>
            </w:r>
            <w:r w:rsidR="0021179E" w:rsidRPr="002714B2">
              <w:rPr>
                <w:rFonts w:ascii="Arial" w:hAnsi="Arial" w:cs="Arial"/>
                <w:sz w:val="18"/>
                <w:szCs w:val="18"/>
              </w:rPr>
              <w:t>5 (201</w:t>
            </w:r>
            <w:r w:rsidRPr="002714B2">
              <w:rPr>
                <w:rFonts w:ascii="Arial" w:hAnsi="Arial" w:cs="Arial"/>
                <w:sz w:val="18"/>
                <w:szCs w:val="18"/>
              </w:rPr>
              <w:t>6</w:t>
            </w:r>
            <w:r w:rsidR="0021179E" w:rsidRPr="002714B2">
              <w:rPr>
                <w:rFonts w:ascii="Arial" w:hAnsi="Arial" w:cs="Arial"/>
                <w:sz w:val="18"/>
                <w:szCs w:val="18"/>
              </w:rPr>
              <w:t>-202</w:t>
            </w:r>
            <w:r w:rsidRPr="002714B2">
              <w:rPr>
                <w:rFonts w:ascii="Arial" w:hAnsi="Arial" w:cs="Arial"/>
                <w:sz w:val="18"/>
                <w:szCs w:val="18"/>
              </w:rPr>
              <w:t>5</w:t>
            </w:r>
            <w:r w:rsidR="0021179E" w:rsidRPr="002714B2">
              <w:rPr>
                <w:rFonts w:ascii="Arial" w:hAnsi="Arial" w:cs="Arial"/>
                <w:sz w:val="18"/>
                <w:szCs w:val="18"/>
              </w:rPr>
              <w:t>)</w:t>
            </w:r>
          </w:p>
        </w:tc>
        <w:tc>
          <w:tcPr>
            <w:tcW w:w="1806" w:type="dxa"/>
            <w:vAlign w:val="center"/>
          </w:tcPr>
          <w:p w14:paraId="234139FD" w14:textId="65F098B2"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859</w:t>
            </w:r>
          </w:p>
        </w:tc>
        <w:tc>
          <w:tcPr>
            <w:tcW w:w="1806" w:type="dxa"/>
            <w:vAlign w:val="center"/>
          </w:tcPr>
          <w:p w14:paraId="185A54A3" w14:textId="3A4D4FD6"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0.9</w:t>
            </w:r>
          </w:p>
        </w:tc>
        <w:tc>
          <w:tcPr>
            <w:tcW w:w="1806" w:type="dxa"/>
            <w:vAlign w:val="center"/>
          </w:tcPr>
          <w:p w14:paraId="5C6DADC1" w14:textId="605B6772"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23.2</w:t>
            </w:r>
          </w:p>
        </w:tc>
      </w:tr>
      <w:tr w:rsidR="0021179E" w:rsidRPr="004B4A6E" w14:paraId="7DEBB95B" w14:textId="77777777" w:rsidTr="00551F40">
        <w:trPr>
          <w:trHeight w:val="302"/>
          <w:jc w:val="center"/>
        </w:trPr>
        <w:tc>
          <w:tcPr>
            <w:tcW w:w="1871" w:type="dxa"/>
            <w:vAlign w:val="center"/>
          </w:tcPr>
          <w:p w14:paraId="4ED8959E" w14:textId="25E64A43"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CLCH</w:t>
            </w:r>
            <w:r w:rsidR="009E6C91" w:rsidRPr="002714B2">
              <w:rPr>
                <w:rFonts w:ascii="Arial" w:hAnsi="Arial" w:cs="Arial"/>
                <w:sz w:val="18"/>
                <w:szCs w:val="18"/>
              </w:rPr>
              <w:t xml:space="preserve"> U/S</w:t>
            </w:r>
          </w:p>
        </w:tc>
        <w:tc>
          <w:tcPr>
            <w:tcW w:w="1806" w:type="dxa"/>
            <w:vAlign w:val="center"/>
          </w:tcPr>
          <w:p w14:paraId="65F0A3BD" w14:textId="55DCA573"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6</w:t>
            </w:r>
            <w:r w:rsidR="0021179E" w:rsidRPr="002714B2">
              <w:rPr>
                <w:rFonts w:ascii="Arial" w:hAnsi="Arial" w:cs="Arial"/>
                <w:sz w:val="18"/>
                <w:szCs w:val="18"/>
              </w:rPr>
              <w:t>5 (2017-202</w:t>
            </w:r>
            <w:r w:rsidRPr="002714B2">
              <w:rPr>
                <w:rFonts w:ascii="Arial" w:hAnsi="Arial" w:cs="Arial"/>
                <w:sz w:val="18"/>
                <w:szCs w:val="18"/>
              </w:rPr>
              <w:t>4</w:t>
            </w:r>
            <w:r w:rsidR="0021179E" w:rsidRPr="002714B2">
              <w:rPr>
                <w:rFonts w:ascii="Arial" w:hAnsi="Arial" w:cs="Arial"/>
                <w:sz w:val="18"/>
                <w:szCs w:val="18"/>
              </w:rPr>
              <w:t>)</w:t>
            </w:r>
          </w:p>
        </w:tc>
        <w:tc>
          <w:tcPr>
            <w:tcW w:w="1806" w:type="dxa"/>
            <w:vAlign w:val="center"/>
          </w:tcPr>
          <w:p w14:paraId="5BC68597" w14:textId="3F89BF74"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181</w:t>
            </w:r>
          </w:p>
        </w:tc>
        <w:tc>
          <w:tcPr>
            <w:tcW w:w="1806" w:type="dxa"/>
            <w:vAlign w:val="center"/>
          </w:tcPr>
          <w:p w14:paraId="69FFDC54" w14:textId="483EE1F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7.</w:t>
            </w:r>
            <w:r w:rsidR="009E6C91" w:rsidRPr="002714B2">
              <w:rPr>
                <w:rFonts w:ascii="Arial" w:hAnsi="Arial" w:cs="Arial"/>
                <w:sz w:val="18"/>
                <w:szCs w:val="18"/>
              </w:rPr>
              <w:t>1</w:t>
            </w:r>
          </w:p>
        </w:tc>
        <w:tc>
          <w:tcPr>
            <w:tcW w:w="1806" w:type="dxa"/>
            <w:vAlign w:val="center"/>
          </w:tcPr>
          <w:p w14:paraId="17B460A1" w14:textId="69EC1F8C" w:rsidR="0021179E" w:rsidRPr="002714B2" w:rsidRDefault="009E6C91" w:rsidP="001F00EA">
            <w:pPr>
              <w:spacing w:line="240" w:lineRule="auto"/>
              <w:jc w:val="center"/>
              <w:rPr>
                <w:rFonts w:ascii="Arial" w:hAnsi="Arial" w:cs="Arial"/>
                <w:sz w:val="18"/>
                <w:szCs w:val="18"/>
              </w:rPr>
            </w:pPr>
            <w:r w:rsidRPr="002714B2">
              <w:rPr>
                <w:rFonts w:ascii="Arial" w:hAnsi="Arial" w:cs="Arial"/>
                <w:sz w:val="18"/>
                <w:szCs w:val="18"/>
              </w:rPr>
              <w:t>63.7</w:t>
            </w:r>
          </w:p>
        </w:tc>
      </w:tr>
      <w:tr w:rsidR="009E6C91" w:rsidRPr="004B4A6E" w14:paraId="36ECE2A3" w14:textId="77777777" w:rsidTr="00551F40">
        <w:trPr>
          <w:trHeight w:val="302"/>
          <w:jc w:val="center"/>
        </w:trPr>
        <w:tc>
          <w:tcPr>
            <w:tcW w:w="1871" w:type="dxa"/>
            <w:vAlign w:val="center"/>
          </w:tcPr>
          <w:p w14:paraId="471CA47C" w14:textId="357CBB92" w:rsidR="009E6C91" w:rsidRPr="002714B2" w:rsidRDefault="009E6C91" w:rsidP="001F00EA">
            <w:pPr>
              <w:spacing w:line="240" w:lineRule="auto"/>
              <w:contextualSpacing/>
              <w:jc w:val="center"/>
              <w:rPr>
                <w:rFonts w:ascii="Arial" w:hAnsi="Arial" w:cs="Arial"/>
                <w:sz w:val="18"/>
                <w:szCs w:val="18"/>
              </w:rPr>
            </w:pPr>
            <w:r w:rsidRPr="002714B2">
              <w:rPr>
                <w:rFonts w:ascii="Arial" w:hAnsi="Arial" w:cs="Arial"/>
                <w:sz w:val="18"/>
                <w:szCs w:val="18"/>
              </w:rPr>
              <w:t>CLCH</w:t>
            </w:r>
          </w:p>
        </w:tc>
        <w:tc>
          <w:tcPr>
            <w:tcW w:w="1806" w:type="dxa"/>
            <w:vAlign w:val="center"/>
          </w:tcPr>
          <w:p w14:paraId="30DEFCBE" w14:textId="6F2EDAC1" w:rsidR="009E6C91" w:rsidRPr="002714B2" w:rsidRDefault="00065487" w:rsidP="001F00EA">
            <w:pPr>
              <w:spacing w:line="240" w:lineRule="auto"/>
              <w:jc w:val="center"/>
              <w:rPr>
                <w:rFonts w:ascii="Arial" w:hAnsi="Arial" w:cs="Arial"/>
                <w:sz w:val="18"/>
                <w:szCs w:val="18"/>
              </w:rPr>
            </w:pPr>
            <w:r w:rsidRPr="002714B2">
              <w:rPr>
                <w:rFonts w:ascii="Arial" w:hAnsi="Arial" w:cs="Arial"/>
                <w:sz w:val="18"/>
                <w:szCs w:val="18"/>
              </w:rPr>
              <w:t>5 (2025)</w:t>
            </w:r>
          </w:p>
        </w:tc>
        <w:tc>
          <w:tcPr>
            <w:tcW w:w="1806" w:type="dxa"/>
            <w:vAlign w:val="center"/>
          </w:tcPr>
          <w:p w14:paraId="7592DABD" w14:textId="3BE6B102" w:rsidR="009E6C91" w:rsidRPr="002714B2" w:rsidRDefault="00065487" w:rsidP="001F00EA">
            <w:pPr>
              <w:spacing w:line="240" w:lineRule="auto"/>
              <w:jc w:val="center"/>
              <w:rPr>
                <w:rFonts w:ascii="Arial" w:hAnsi="Arial" w:cs="Arial"/>
                <w:sz w:val="18"/>
                <w:szCs w:val="18"/>
              </w:rPr>
            </w:pPr>
            <w:r w:rsidRPr="002714B2">
              <w:rPr>
                <w:rFonts w:ascii="Arial" w:hAnsi="Arial" w:cs="Arial"/>
                <w:sz w:val="18"/>
                <w:szCs w:val="18"/>
              </w:rPr>
              <w:t>416</w:t>
            </w:r>
          </w:p>
        </w:tc>
        <w:tc>
          <w:tcPr>
            <w:tcW w:w="1806" w:type="dxa"/>
            <w:vAlign w:val="center"/>
          </w:tcPr>
          <w:p w14:paraId="1DDE7D13" w14:textId="750B568A" w:rsidR="009E6C91" w:rsidRPr="002714B2" w:rsidRDefault="00065487" w:rsidP="001F00EA">
            <w:pPr>
              <w:spacing w:line="240" w:lineRule="auto"/>
              <w:jc w:val="center"/>
              <w:rPr>
                <w:rFonts w:ascii="Arial" w:hAnsi="Arial" w:cs="Arial"/>
                <w:sz w:val="18"/>
                <w:szCs w:val="18"/>
              </w:rPr>
            </w:pPr>
            <w:r w:rsidRPr="002714B2">
              <w:rPr>
                <w:rFonts w:ascii="Arial" w:hAnsi="Arial" w:cs="Arial"/>
                <w:sz w:val="18"/>
                <w:szCs w:val="18"/>
              </w:rPr>
              <w:t>0.4</w:t>
            </w:r>
          </w:p>
        </w:tc>
        <w:tc>
          <w:tcPr>
            <w:tcW w:w="1806" w:type="dxa"/>
            <w:vAlign w:val="center"/>
          </w:tcPr>
          <w:p w14:paraId="7B70F17A" w14:textId="7D9C6EAF" w:rsidR="009E6C91" w:rsidRPr="002714B2" w:rsidRDefault="00065487" w:rsidP="001F00EA">
            <w:pPr>
              <w:spacing w:line="240" w:lineRule="auto"/>
              <w:jc w:val="center"/>
              <w:rPr>
                <w:rFonts w:ascii="Arial" w:hAnsi="Arial" w:cs="Arial"/>
                <w:sz w:val="18"/>
                <w:szCs w:val="18"/>
              </w:rPr>
            </w:pPr>
            <w:r w:rsidRPr="002714B2">
              <w:rPr>
                <w:rFonts w:ascii="Arial" w:hAnsi="Arial" w:cs="Arial"/>
                <w:sz w:val="18"/>
                <w:szCs w:val="18"/>
              </w:rPr>
              <w:t>3.9</w:t>
            </w:r>
          </w:p>
        </w:tc>
      </w:tr>
      <w:tr w:rsidR="0021179E" w:rsidRPr="004B4A6E" w14:paraId="787B0539" w14:textId="77777777" w:rsidTr="00551F40">
        <w:trPr>
          <w:trHeight w:val="302"/>
          <w:jc w:val="center"/>
        </w:trPr>
        <w:tc>
          <w:tcPr>
            <w:tcW w:w="1871" w:type="dxa"/>
            <w:vAlign w:val="center"/>
          </w:tcPr>
          <w:p w14:paraId="5732D317"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EVLA</w:t>
            </w:r>
            <w:r w:rsidRPr="002714B2">
              <w:rPr>
                <w:rFonts w:ascii="Arial" w:hAnsi="Arial" w:cs="Arial"/>
                <w:sz w:val="18"/>
                <w:szCs w:val="18"/>
                <w:vertAlign w:val="superscript"/>
              </w:rPr>
              <w:t>4</w:t>
            </w:r>
          </w:p>
        </w:tc>
        <w:tc>
          <w:tcPr>
            <w:tcW w:w="1806" w:type="dxa"/>
            <w:vAlign w:val="center"/>
          </w:tcPr>
          <w:p w14:paraId="53D8FD16"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10 (2020)</w:t>
            </w:r>
          </w:p>
        </w:tc>
        <w:tc>
          <w:tcPr>
            <w:tcW w:w="1806" w:type="dxa"/>
            <w:vAlign w:val="center"/>
          </w:tcPr>
          <w:p w14:paraId="467205C4"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2,068</w:t>
            </w:r>
          </w:p>
        </w:tc>
        <w:tc>
          <w:tcPr>
            <w:tcW w:w="1806" w:type="dxa"/>
            <w:vAlign w:val="center"/>
          </w:tcPr>
          <w:p w14:paraId="1F5402B4"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0.05</w:t>
            </w:r>
          </w:p>
        </w:tc>
        <w:tc>
          <w:tcPr>
            <w:tcW w:w="1806" w:type="dxa"/>
            <w:vAlign w:val="center"/>
          </w:tcPr>
          <w:p w14:paraId="74F86657"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3.0</w:t>
            </w:r>
          </w:p>
        </w:tc>
      </w:tr>
      <w:tr w:rsidR="0021179E" w:rsidRPr="004B4A6E" w14:paraId="58AB5F4D" w14:textId="77777777" w:rsidTr="00551F40">
        <w:trPr>
          <w:trHeight w:val="302"/>
          <w:jc w:val="center"/>
        </w:trPr>
        <w:tc>
          <w:tcPr>
            <w:tcW w:w="1871" w:type="dxa"/>
            <w:vAlign w:val="center"/>
          </w:tcPr>
          <w:p w14:paraId="22845205"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EVLB</w:t>
            </w:r>
            <w:r w:rsidRPr="002714B2">
              <w:rPr>
                <w:rFonts w:ascii="Arial" w:hAnsi="Arial" w:cs="Arial"/>
                <w:sz w:val="18"/>
                <w:szCs w:val="18"/>
                <w:vertAlign w:val="superscript"/>
              </w:rPr>
              <w:t>4</w:t>
            </w:r>
          </w:p>
        </w:tc>
        <w:tc>
          <w:tcPr>
            <w:tcW w:w="1806" w:type="dxa"/>
            <w:vAlign w:val="center"/>
          </w:tcPr>
          <w:p w14:paraId="494B5C76"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7 (2020)</w:t>
            </w:r>
          </w:p>
        </w:tc>
        <w:tc>
          <w:tcPr>
            <w:tcW w:w="1806" w:type="dxa"/>
            <w:vAlign w:val="center"/>
          </w:tcPr>
          <w:p w14:paraId="6B27021E"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3,526</w:t>
            </w:r>
          </w:p>
        </w:tc>
        <w:tc>
          <w:tcPr>
            <w:tcW w:w="1806" w:type="dxa"/>
            <w:vAlign w:val="center"/>
          </w:tcPr>
          <w:p w14:paraId="52891E47"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0.01</w:t>
            </w:r>
          </w:p>
        </w:tc>
        <w:tc>
          <w:tcPr>
            <w:tcW w:w="1806" w:type="dxa"/>
            <w:vAlign w:val="center"/>
          </w:tcPr>
          <w:p w14:paraId="715B5A7D"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0.2</w:t>
            </w:r>
          </w:p>
        </w:tc>
      </w:tr>
      <w:tr w:rsidR="0021179E" w:rsidRPr="004B4A6E" w14:paraId="57B5EF13" w14:textId="77777777" w:rsidTr="00551F40">
        <w:trPr>
          <w:trHeight w:val="302"/>
          <w:jc w:val="center"/>
        </w:trPr>
        <w:tc>
          <w:tcPr>
            <w:tcW w:w="1871" w:type="dxa"/>
            <w:vAlign w:val="center"/>
          </w:tcPr>
          <w:p w14:paraId="4173EA69"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T1-CUCAMONGA</w:t>
            </w:r>
            <w:r w:rsidRPr="002714B2">
              <w:rPr>
                <w:rFonts w:ascii="Arial" w:hAnsi="Arial" w:cs="Arial"/>
                <w:sz w:val="18"/>
                <w:szCs w:val="18"/>
                <w:vertAlign w:val="superscript"/>
              </w:rPr>
              <w:t>5</w:t>
            </w:r>
          </w:p>
        </w:tc>
        <w:tc>
          <w:tcPr>
            <w:tcW w:w="1806" w:type="dxa"/>
            <w:vAlign w:val="center"/>
          </w:tcPr>
          <w:p w14:paraId="16F48508" w14:textId="05118197"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8</w:t>
            </w:r>
            <w:r w:rsidR="0021179E" w:rsidRPr="002714B2">
              <w:rPr>
                <w:rFonts w:ascii="Arial" w:hAnsi="Arial" w:cs="Arial"/>
                <w:sz w:val="18"/>
                <w:szCs w:val="18"/>
              </w:rPr>
              <w:t>5 (201</w:t>
            </w:r>
            <w:r w:rsidRPr="002714B2">
              <w:rPr>
                <w:rFonts w:ascii="Arial" w:hAnsi="Arial" w:cs="Arial"/>
                <w:sz w:val="18"/>
                <w:szCs w:val="18"/>
              </w:rPr>
              <w:t>6</w:t>
            </w:r>
            <w:r w:rsidR="0021179E" w:rsidRPr="002714B2">
              <w:rPr>
                <w:rFonts w:ascii="Arial" w:hAnsi="Arial" w:cs="Arial"/>
                <w:sz w:val="18"/>
                <w:szCs w:val="18"/>
              </w:rPr>
              <w:t>-202</w:t>
            </w:r>
            <w:r w:rsidRPr="002714B2">
              <w:rPr>
                <w:rFonts w:ascii="Arial" w:hAnsi="Arial" w:cs="Arial"/>
                <w:sz w:val="18"/>
                <w:szCs w:val="18"/>
              </w:rPr>
              <w:t>5</w:t>
            </w:r>
            <w:r w:rsidR="0021179E" w:rsidRPr="002714B2">
              <w:rPr>
                <w:rFonts w:ascii="Arial" w:hAnsi="Arial" w:cs="Arial"/>
                <w:sz w:val="18"/>
                <w:szCs w:val="18"/>
              </w:rPr>
              <w:t>)</w:t>
            </w:r>
          </w:p>
        </w:tc>
        <w:tc>
          <w:tcPr>
            <w:tcW w:w="1806" w:type="dxa"/>
            <w:vAlign w:val="center"/>
          </w:tcPr>
          <w:p w14:paraId="3DA030F0" w14:textId="0F20D65C"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327</w:t>
            </w:r>
          </w:p>
        </w:tc>
        <w:tc>
          <w:tcPr>
            <w:tcW w:w="1806" w:type="dxa"/>
            <w:vAlign w:val="center"/>
          </w:tcPr>
          <w:p w14:paraId="45824765" w14:textId="0D878414"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5.7</w:t>
            </w:r>
          </w:p>
        </w:tc>
        <w:tc>
          <w:tcPr>
            <w:tcW w:w="1806" w:type="dxa"/>
            <w:vAlign w:val="center"/>
          </w:tcPr>
          <w:p w14:paraId="31F9D039" w14:textId="70D80A1D"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81.8</w:t>
            </w:r>
          </w:p>
        </w:tc>
      </w:tr>
      <w:tr w:rsidR="0021179E" w:rsidRPr="004B4A6E" w14:paraId="171ADEA5" w14:textId="77777777" w:rsidTr="00551F40">
        <w:trPr>
          <w:trHeight w:val="302"/>
          <w:jc w:val="center"/>
        </w:trPr>
        <w:tc>
          <w:tcPr>
            <w:tcW w:w="1871" w:type="dxa"/>
            <w:vAlign w:val="center"/>
          </w:tcPr>
          <w:p w14:paraId="79A199F8"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BASEFLOW</w:t>
            </w:r>
          </w:p>
        </w:tc>
        <w:tc>
          <w:tcPr>
            <w:tcW w:w="1806" w:type="dxa"/>
            <w:vAlign w:val="center"/>
          </w:tcPr>
          <w:p w14:paraId="479CB8C7" w14:textId="601D79DD"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7</w:t>
            </w:r>
            <w:r w:rsidR="0021179E" w:rsidRPr="002714B2">
              <w:rPr>
                <w:rFonts w:ascii="Arial" w:hAnsi="Arial" w:cs="Arial"/>
                <w:sz w:val="18"/>
                <w:szCs w:val="18"/>
              </w:rPr>
              <w:t>0 (2017-202</w:t>
            </w:r>
            <w:r w:rsidRPr="002714B2">
              <w:rPr>
                <w:rFonts w:ascii="Arial" w:hAnsi="Arial" w:cs="Arial"/>
                <w:sz w:val="18"/>
                <w:szCs w:val="18"/>
              </w:rPr>
              <w:t>4</w:t>
            </w:r>
            <w:r w:rsidR="0021179E" w:rsidRPr="002714B2">
              <w:rPr>
                <w:rFonts w:ascii="Arial" w:hAnsi="Arial" w:cs="Arial"/>
                <w:sz w:val="18"/>
                <w:szCs w:val="18"/>
              </w:rPr>
              <w:t>)</w:t>
            </w:r>
          </w:p>
        </w:tc>
        <w:tc>
          <w:tcPr>
            <w:tcW w:w="1806" w:type="dxa"/>
            <w:vAlign w:val="center"/>
          </w:tcPr>
          <w:p w14:paraId="62698388" w14:textId="7A4E35BD"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374</w:t>
            </w:r>
          </w:p>
        </w:tc>
        <w:tc>
          <w:tcPr>
            <w:tcW w:w="1806" w:type="dxa"/>
            <w:vAlign w:val="center"/>
          </w:tcPr>
          <w:p w14:paraId="04E7DF10"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5.5</w:t>
            </w:r>
          </w:p>
        </w:tc>
        <w:tc>
          <w:tcPr>
            <w:tcW w:w="1806" w:type="dxa"/>
            <w:vAlign w:val="center"/>
          </w:tcPr>
          <w:p w14:paraId="4E651671" w14:textId="01926B59"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66.</w:t>
            </w:r>
            <w:r w:rsidR="00B817AB" w:rsidRPr="002714B2">
              <w:rPr>
                <w:rFonts w:ascii="Arial" w:hAnsi="Arial" w:cs="Arial"/>
                <w:sz w:val="18"/>
                <w:szCs w:val="18"/>
              </w:rPr>
              <w:t>3</w:t>
            </w:r>
          </w:p>
        </w:tc>
      </w:tr>
      <w:tr w:rsidR="0021179E" w:rsidRPr="004B4A6E" w14:paraId="22C845E2" w14:textId="77777777" w:rsidTr="00551F40">
        <w:trPr>
          <w:trHeight w:val="302"/>
          <w:jc w:val="center"/>
        </w:trPr>
        <w:tc>
          <w:tcPr>
            <w:tcW w:w="1871" w:type="dxa"/>
            <w:vAlign w:val="center"/>
          </w:tcPr>
          <w:p w14:paraId="7CDC2180"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MCW IN</w:t>
            </w:r>
          </w:p>
        </w:tc>
        <w:tc>
          <w:tcPr>
            <w:tcW w:w="1806" w:type="dxa"/>
            <w:vAlign w:val="center"/>
          </w:tcPr>
          <w:p w14:paraId="23FE293B" w14:textId="0E9CF25C"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7</w:t>
            </w:r>
            <w:r w:rsidR="0021179E" w:rsidRPr="002714B2">
              <w:rPr>
                <w:rFonts w:ascii="Arial" w:hAnsi="Arial" w:cs="Arial"/>
                <w:sz w:val="18"/>
                <w:szCs w:val="18"/>
              </w:rPr>
              <w:t>0 (2017-202</w:t>
            </w:r>
            <w:r w:rsidRPr="002714B2">
              <w:rPr>
                <w:rFonts w:ascii="Arial" w:hAnsi="Arial" w:cs="Arial"/>
                <w:sz w:val="18"/>
                <w:szCs w:val="18"/>
              </w:rPr>
              <w:t>4</w:t>
            </w:r>
            <w:r w:rsidR="0021179E" w:rsidRPr="002714B2">
              <w:rPr>
                <w:rFonts w:ascii="Arial" w:hAnsi="Arial" w:cs="Arial"/>
                <w:sz w:val="18"/>
                <w:szCs w:val="18"/>
              </w:rPr>
              <w:t>)</w:t>
            </w:r>
          </w:p>
        </w:tc>
        <w:tc>
          <w:tcPr>
            <w:tcW w:w="1806" w:type="dxa"/>
            <w:vAlign w:val="center"/>
          </w:tcPr>
          <w:p w14:paraId="68808E7A" w14:textId="24D1D2E3"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476</w:t>
            </w:r>
          </w:p>
        </w:tc>
        <w:tc>
          <w:tcPr>
            <w:tcW w:w="1806" w:type="dxa"/>
            <w:vAlign w:val="center"/>
          </w:tcPr>
          <w:p w14:paraId="26E6DA8E" w14:textId="4A21C77A"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2.</w:t>
            </w:r>
            <w:r w:rsidR="00B817AB" w:rsidRPr="002714B2">
              <w:rPr>
                <w:rFonts w:ascii="Arial" w:hAnsi="Arial" w:cs="Arial"/>
                <w:sz w:val="18"/>
                <w:szCs w:val="18"/>
              </w:rPr>
              <w:t>3</w:t>
            </w:r>
          </w:p>
        </w:tc>
        <w:tc>
          <w:tcPr>
            <w:tcW w:w="1806" w:type="dxa"/>
            <w:vAlign w:val="center"/>
          </w:tcPr>
          <w:p w14:paraId="015B3336" w14:textId="198182B4"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3</w:t>
            </w:r>
            <w:r w:rsidR="00B817AB" w:rsidRPr="002714B2">
              <w:rPr>
                <w:rFonts w:ascii="Arial" w:hAnsi="Arial" w:cs="Arial"/>
                <w:sz w:val="18"/>
                <w:szCs w:val="18"/>
              </w:rPr>
              <w:t>6.9</w:t>
            </w:r>
          </w:p>
        </w:tc>
      </w:tr>
      <w:tr w:rsidR="0021179E" w:rsidRPr="004B4A6E" w14:paraId="776F7EA7" w14:textId="77777777" w:rsidTr="00551F40">
        <w:trPr>
          <w:trHeight w:val="302"/>
          <w:jc w:val="center"/>
        </w:trPr>
        <w:tc>
          <w:tcPr>
            <w:tcW w:w="1871" w:type="dxa"/>
            <w:tcBorders>
              <w:bottom w:val="single" w:sz="4" w:space="0" w:color="auto"/>
            </w:tcBorders>
            <w:vAlign w:val="center"/>
          </w:tcPr>
          <w:p w14:paraId="782DA978" w14:textId="77777777" w:rsidR="0021179E" w:rsidRPr="002714B2" w:rsidRDefault="0021179E" w:rsidP="001F00EA">
            <w:pPr>
              <w:spacing w:line="240" w:lineRule="auto"/>
              <w:contextualSpacing/>
              <w:jc w:val="center"/>
              <w:rPr>
                <w:rFonts w:ascii="Arial" w:hAnsi="Arial" w:cs="Arial"/>
                <w:sz w:val="18"/>
                <w:szCs w:val="18"/>
              </w:rPr>
            </w:pPr>
            <w:r w:rsidRPr="002714B2">
              <w:rPr>
                <w:rFonts w:ascii="Arial" w:hAnsi="Arial" w:cs="Arial"/>
                <w:sz w:val="18"/>
                <w:szCs w:val="18"/>
              </w:rPr>
              <w:t>MCW OUT</w:t>
            </w:r>
          </w:p>
        </w:tc>
        <w:tc>
          <w:tcPr>
            <w:tcW w:w="1806" w:type="dxa"/>
            <w:tcBorders>
              <w:bottom w:val="single" w:sz="4" w:space="0" w:color="auto"/>
            </w:tcBorders>
            <w:vAlign w:val="center"/>
          </w:tcPr>
          <w:p w14:paraId="0ACB590B" w14:textId="7FA6404C"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74</w:t>
            </w:r>
            <w:r w:rsidR="0021179E" w:rsidRPr="002714B2">
              <w:rPr>
                <w:rFonts w:ascii="Arial" w:hAnsi="Arial" w:cs="Arial"/>
                <w:sz w:val="18"/>
                <w:szCs w:val="18"/>
              </w:rPr>
              <w:t xml:space="preserve"> (201</w:t>
            </w:r>
            <w:r w:rsidRPr="002714B2">
              <w:rPr>
                <w:rFonts w:ascii="Arial" w:hAnsi="Arial" w:cs="Arial"/>
                <w:sz w:val="18"/>
                <w:szCs w:val="18"/>
              </w:rPr>
              <w:t>6</w:t>
            </w:r>
            <w:r w:rsidR="0021179E" w:rsidRPr="002714B2">
              <w:rPr>
                <w:rFonts w:ascii="Arial" w:hAnsi="Arial" w:cs="Arial"/>
                <w:sz w:val="18"/>
                <w:szCs w:val="18"/>
              </w:rPr>
              <w:t>-202</w:t>
            </w:r>
            <w:r w:rsidRPr="002714B2">
              <w:rPr>
                <w:rFonts w:ascii="Arial" w:hAnsi="Arial" w:cs="Arial"/>
                <w:sz w:val="18"/>
                <w:szCs w:val="18"/>
              </w:rPr>
              <w:t>4</w:t>
            </w:r>
            <w:r w:rsidR="0021179E" w:rsidRPr="002714B2">
              <w:rPr>
                <w:rFonts w:ascii="Arial" w:hAnsi="Arial" w:cs="Arial"/>
                <w:sz w:val="18"/>
                <w:szCs w:val="18"/>
              </w:rPr>
              <w:t>)</w:t>
            </w:r>
          </w:p>
        </w:tc>
        <w:tc>
          <w:tcPr>
            <w:tcW w:w="1806" w:type="dxa"/>
            <w:tcBorders>
              <w:bottom w:val="single" w:sz="4" w:space="0" w:color="auto"/>
            </w:tcBorders>
            <w:vAlign w:val="center"/>
          </w:tcPr>
          <w:p w14:paraId="3623C134" w14:textId="4FE9F66E"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101</w:t>
            </w:r>
          </w:p>
        </w:tc>
        <w:tc>
          <w:tcPr>
            <w:tcW w:w="1806" w:type="dxa"/>
            <w:tcBorders>
              <w:bottom w:val="single" w:sz="4" w:space="0" w:color="auto"/>
            </w:tcBorders>
            <w:vAlign w:val="center"/>
          </w:tcPr>
          <w:p w14:paraId="14B7C94D" w14:textId="77777777" w:rsidR="0021179E" w:rsidRPr="002714B2" w:rsidRDefault="0021179E" w:rsidP="001F00EA">
            <w:pPr>
              <w:spacing w:line="240" w:lineRule="auto"/>
              <w:jc w:val="center"/>
              <w:rPr>
                <w:rFonts w:ascii="Arial" w:hAnsi="Arial" w:cs="Arial"/>
                <w:sz w:val="18"/>
                <w:szCs w:val="18"/>
              </w:rPr>
            </w:pPr>
            <w:r w:rsidRPr="002714B2">
              <w:rPr>
                <w:rFonts w:ascii="Arial" w:hAnsi="Arial" w:cs="Arial"/>
                <w:sz w:val="18"/>
                <w:szCs w:val="18"/>
              </w:rPr>
              <w:t>0.7</w:t>
            </w:r>
          </w:p>
        </w:tc>
        <w:tc>
          <w:tcPr>
            <w:tcW w:w="1806" w:type="dxa"/>
            <w:tcBorders>
              <w:bottom w:val="single" w:sz="4" w:space="0" w:color="auto"/>
            </w:tcBorders>
            <w:vAlign w:val="center"/>
          </w:tcPr>
          <w:p w14:paraId="69B2478B" w14:textId="638E7FFD" w:rsidR="0021179E" w:rsidRPr="002714B2" w:rsidRDefault="00B817AB" w:rsidP="001F00EA">
            <w:pPr>
              <w:spacing w:line="240" w:lineRule="auto"/>
              <w:jc w:val="center"/>
              <w:rPr>
                <w:rFonts w:ascii="Arial" w:hAnsi="Arial" w:cs="Arial"/>
                <w:sz w:val="18"/>
                <w:szCs w:val="18"/>
              </w:rPr>
            </w:pPr>
            <w:r w:rsidRPr="002714B2">
              <w:rPr>
                <w:rFonts w:ascii="Arial" w:hAnsi="Arial" w:cs="Arial"/>
                <w:sz w:val="18"/>
                <w:szCs w:val="18"/>
              </w:rPr>
              <w:t>0.9</w:t>
            </w:r>
          </w:p>
        </w:tc>
      </w:tr>
      <w:tr w:rsidR="0021179E" w:rsidRPr="00EF2737" w14:paraId="52D17262" w14:textId="77777777" w:rsidTr="00551F40">
        <w:trPr>
          <w:trHeight w:val="1169"/>
          <w:jc w:val="center"/>
        </w:trPr>
        <w:tc>
          <w:tcPr>
            <w:tcW w:w="9095" w:type="dxa"/>
            <w:gridSpan w:val="5"/>
            <w:tcBorders>
              <w:top w:val="single" w:sz="4" w:space="0" w:color="auto"/>
              <w:left w:val="nil"/>
              <w:bottom w:val="nil"/>
              <w:right w:val="nil"/>
            </w:tcBorders>
          </w:tcPr>
          <w:p w14:paraId="1745E3E9" w14:textId="77777777" w:rsidR="0021179E" w:rsidRPr="00EF2737" w:rsidRDefault="0021179E" w:rsidP="001F00EA">
            <w:pPr>
              <w:spacing w:line="240" w:lineRule="auto"/>
              <w:ind w:left="160" w:hanging="160"/>
              <w:rPr>
                <w:rFonts w:ascii="Arial" w:hAnsi="Arial" w:cs="Arial"/>
                <w:sz w:val="18"/>
                <w:szCs w:val="18"/>
              </w:rPr>
            </w:pPr>
            <w:r w:rsidRPr="00EF2737">
              <w:rPr>
                <w:rFonts w:ascii="Arial" w:hAnsi="Arial" w:cs="Arial"/>
                <w:sz w:val="18"/>
                <w:szCs w:val="18"/>
                <w:vertAlign w:val="superscript"/>
              </w:rPr>
              <w:t>1</w:t>
            </w:r>
            <w:r w:rsidRPr="00EF2737">
              <w:rPr>
                <w:rFonts w:ascii="Arial" w:hAnsi="Arial" w:cs="Arial"/>
                <w:sz w:val="18"/>
                <w:szCs w:val="18"/>
              </w:rPr>
              <w:t xml:space="preserve"> Summary data is based on sampling during dry season only</w:t>
            </w:r>
          </w:p>
          <w:p w14:paraId="6F451F4F" w14:textId="77777777" w:rsidR="0021179E" w:rsidRPr="00EF2737" w:rsidRDefault="0021179E" w:rsidP="001F00EA">
            <w:pPr>
              <w:spacing w:line="240" w:lineRule="auto"/>
              <w:ind w:left="160" w:hanging="160"/>
              <w:rPr>
                <w:rFonts w:ascii="Arial" w:hAnsi="Arial" w:cs="Arial"/>
                <w:sz w:val="18"/>
                <w:szCs w:val="18"/>
              </w:rPr>
            </w:pPr>
            <w:r w:rsidRPr="00EF2737">
              <w:rPr>
                <w:rFonts w:ascii="Arial" w:hAnsi="Arial" w:cs="Arial"/>
                <w:sz w:val="18"/>
                <w:szCs w:val="18"/>
                <w:vertAlign w:val="superscript"/>
              </w:rPr>
              <w:t>2</w:t>
            </w:r>
            <w:r w:rsidRPr="00EF2737">
              <w:rPr>
                <w:rFonts w:ascii="Arial" w:hAnsi="Arial" w:cs="Arial"/>
                <w:sz w:val="18"/>
                <w:szCs w:val="18"/>
              </w:rPr>
              <w:t xml:space="preserve"> Curb separating MS4 flow from RP1 effluent terminates at Chino Avenue; samples are collected prior to the two sources of flow mixing</w:t>
            </w:r>
          </w:p>
          <w:p w14:paraId="49CF0658" w14:textId="77777777" w:rsidR="0021179E" w:rsidRPr="00EF2737" w:rsidRDefault="0021179E" w:rsidP="001F00EA">
            <w:pPr>
              <w:spacing w:line="240" w:lineRule="auto"/>
              <w:ind w:left="160" w:hanging="160"/>
              <w:rPr>
                <w:rFonts w:ascii="Arial" w:hAnsi="Arial" w:cs="Arial"/>
                <w:sz w:val="18"/>
                <w:szCs w:val="18"/>
              </w:rPr>
            </w:pPr>
            <w:r w:rsidRPr="00EF2737">
              <w:rPr>
                <w:rFonts w:ascii="Arial" w:hAnsi="Arial" w:cs="Arial"/>
                <w:sz w:val="18"/>
                <w:szCs w:val="18"/>
                <w:vertAlign w:val="superscript"/>
              </w:rPr>
              <w:t>3</w:t>
            </w:r>
            <w:r w:rsidRPr="00EF2737">
              <w:rPr>
                <w:rFonts w:ascii="Arial" w:hAnsi="Arial" w:cs="Arial"/>
                <w:sz w:val="18"/>
                <w:szCs w:val="18"/>
              </w:rPr>
              <w:t xml:space="preserve"> Includes samples collected during second round in afternoon on synoptic sampling event days, no other Tier 2 sites were sampled in afternoons (e.g., CHRIS outfall to Cucamonga Creek based on samples only collected in morning hours only)</w:t>
            </w:r>
          </w:p>
          <w:p w14:paraId="2633467F" w14:textId="77777777" w:rsidR="0021179E" w:rsidRPr="00EF2737" w:rsidRDefault="0021179E" w:rsidP="001F00EA">
            <w:pPr>
              <w:spacing w:line="240" w:lineRule="auto"/>
              <w:ind w:left="160" w:hanging="160"/>
              <w:rPr>
                <w:rFonts w:ascii="Arial" w:hAnsi="Arial" w:cs="Arial"/>
                <w:sz w:val="18"/>
                <w:szCs w:val="18"/>
              </w:rPr>
            </w:pPr>
            <w:r w:rsidRPr="00EF2737">
              <w:rPr>
                <w:rFonts w:ascii="Arial" w:hAnsi="Arial" w:cs="Arial"/>
                <w:sz w:val="18"/>
                <w:szCs w:val="18"/>
                <w:vertAlign w:val="superscript"/>
              </w:rPr>
              <w:t>4</w:t>
            </w:r>
            <w:r w:rsidRPr="00EF2737">
              <w:rPr>
                <w:rFonts w:ascii="Arial" w:hAnsi="Arial" w:cs="Arial"/>
                <w:sz w:val="18"/>
                <w:szCs w:val="18"/>
              </w:rPr>
              <w:t xml:space="preserve"> Samples collected from MS4 </w:t>
            </w:r>
            <w:proofErr w:type="gramStart"/>
            <w:r w:rsidRPr="00EF2737">
              <w:rPr>
                <w:rFonts w:ascii="Arial" w:hAnsi="Arial" w:cs="Arial"/>
                <w:sz w:val="18"/>
                <w:szCs w:val="18"/>
              </w:rPr>
              <w:t>outfall;</w:t>
            </w:r>
            <w:proofErr w:type="gramEnd"/>
            <w:r w:rsidRPr="00EF2737">
              <w:rPr>
                <w:rFonts w:ascii="Arial" w:hAnsi="Arial" w:cs="Arial"/>
                <w:sz w:val="18"/>
                <w:szCs w:val="18"/>
              </w:rPr>
              <w:t xml:space="preserve"> not within mainstem of Cucamonga Creek</w:t>
            </w:r>
          </w:p>
          <w:p w14:paraId="409943F9" w14:textId="2CCD1CF9" w:rsidR="0021179E" w:rsidRPr="00EF2737" w:rsidRDefault="0021179E" w:rsidP="00B817AB">
            <w:pPr>
              <w:spacing w:line="240" w:lineRule="auto"/>
              <w:ind w:left="160" w:hanging="160"/>
              <w:rPr>
                <w:rFonts w:ascii="Arial" w:hAnsi="Arial" w:cs="Arial"/>
                <w:sz w:val="18"/>
                <w:szCs w:val="18"/>
              </w:rPr>
            </w:pPr>
            <w:r w:rsidRPr="00EF2737">
              <w:rPr>
                <w:rFonts w:ascii="Arial" w:hAnsi="Arial" w:cs="Arial"/>
                <w:sz w:val="18"/>
                <w:szCs w:val="18"/>
                <w:vertAlign w:val="superscript"/>
              </w:rPr>
              <w:lastRenderedPageBreak/>
              <w:t>5</w:t>
            </w:r>
            <w:r w:rsidRPr="00EF2737">
              <w:rPr>
                <w:rFonts w:ascii="Arial" w:hAnsi="Arial" w:cs="Arial"/>
                <w:sz w:val="18"/>
                <w:szCs w:val="18"/>
              </w:rPr>
              <w:t xml:space="preserve"> Also known as HELLMAN or P4-SBC1</w:t>
            </w:r>
          </w:p>
        </w:tc>
      </w:tr>
    </w:tbl>
    <w:p w14:paraId="4324FD47" w14:textId="4E08905D" w:rsidR="00744959" w:rsidRDefault="0029202D" w:rsidP="00B817AB">
      <w:pPr>
        <w:pStyle w:val="BodyText"/>
        <w:spacing w:before="240"/>
      </w:pPr>
      <w:r>
        <w:lastRenderedPageBreak/>
        <w:t xml:space="preserve">Flow </w:t>
      </w:r>
      <w:r w:rsidR="00744959">
        <w:t xml:space="preserve">gauge data in Cucamonga Creek </w:t>
      </w:r>
      <w:r w:rsidR="00BA3F4F">
        <w:t xml:space="preserve">(USGS Sta 11073495) </w:t>
      </w:r>
      <w:r w:rsidR="00744959">
        <w:t>show</w:t>
      </w:r>
      <w:r>
        <w:t>s</w:t>
      </w:r>
      <w:r w:rsidR="00744959">
        <w:t xml:space="preserve"> the </w:t>
      </w:r>
      <w:r w:rsidR="00744959" w:rsidRPr="00A97513">
        <w:t xml:space="preserve">sub-hourly temporal variability in </w:t>
      </w:r>
      <w:r w:rsidR="00744959">
        <w:t>DWF</w:t>
      </w:r>
      <w:r w:rsidR="00744959" w:rsidRPr="00A97513">
        <w:t xml:space="preserve"> rate</w:t>
      </w:r>
      <w:r w:rsidR="00744959">
        <w:t xml:space="preserve">, plotted for days of the 2025 </w:t>
      </w:r>
      <w:r w:rsidR="00C006F7">
        <w:t>S</w:t>
      </w:r>
      <w:r w:rsidR="00744959">
        <w:t xml:space="preserve">ynoptic </w:t>
      </w:r>
      <w:r w:rsidR="00C006F7">
        <w:t>S</w:t>
      </w:r>
      <w:r w:rsidR="00744959">
        <w:t xml:space="preserve">tudy in </w:t>
      </w:r>
      <w:r w:rsidR="00744959" w:rsidRPr="00744959">
        <w:rPr>
          <w:b/>
          <w:bCs/>
        </w:rPr>
        <w:t>Figure 3-1</w:t>
      </w:r>
      <w:r w:rsidR="00D93793">
        <w:rPr>
          <w:b/>
          <w:bCs/>
        </w:rPr>
        <w:t>9</w:t>
      </w:r>
      <w:r w:rsidR="00744959">
        <w:t xml:space="preserve">. This condition makes </w:t>
      </w:r>
      <w:r w:rsidR="00744959" w:rsidRPr="00A97513">
        <w:t xml:space="preserve">it nearly impossible to collect </w:t>
      </w:r>
      <w:r w:rsidR="00744959">
        <w:t xml:space="preserve">bacterial indicator </w:t>
      </w:r>
      <w:r w:rsidR="00744959" w:rsidRPr="00A97513">
        <w:t xml:space="preserve">data in </w:t>
      </w:r>
      <w:r w:rsidR="00744959">
        <w:t xml:space="preserve">such a </w:t>
      </w:r>
      <w:r w:rsidR="00744959" w:rsidRPr="00A97513">
        <w:t xml:space="preserve">way </w:t>
      </w:r>
      <w:r w:rsidR="00744959">
        <w:t xml:space="preserve">as </w:t>
      </w:r>
      <w:r w:rsidR="00744959" w:rsidRPr="00A97513">
        <w:t xml:space="preserve">to </w:t>
      </w:r>
      <w:r w:rsidR="00744959">
        <w:t xml:space="preserve">achieve a representative point in time snapshot </w:t>
      </w:r>
      <w:r w:rsidR="00744959" w:rsidRPr="00A97513">
        <w:t xml:space="preserve">over the course of a synoptic sampling event. </w:t>
      </w:r>
      <w:r w:rsidR="00744959">
        <w:t>Instead</w:t>
      </w:r>
      <w:r w:rsidR="00744959" w:rsidRPr="00A97513">
        <w:t>, evaluation</w:t>
      </w:r>
      <w:r w:rsidR="00744959">
        <w:t>s</w:t>
      </w:r>
      <w:r w:rsidR="00744959" w:rsidRPr="00A97513">
        <w:t xml:space="preserve"> of source</w:t>
      </w:r>
      <w:r w:rsidR="00744959">
        <w:t xml:space="preserve"> contributions relied upon </w:t>
      </w:r>
      <w:r w:rsidR="00744959" w:rsidRPr="00A97513">
        <w:t>summary statistical metrics,</w:t>
      </w:r>
      <w:r w:rsidR="00744959">
        <w:t xml:space="preserve"> specifically </w:t>
      </w:r>
      <w:r w:rsidR="00744959" w:rsidRPr="00A97513">
        <w:t>the median and range of the 25</w:t>
      </w:r>
      <w:r w:rsidR="00744959" w:rsidRPr="00A97513">
        <w:rPr>
          <w:vertAlign w:val="superscript"/>
        </w:rPr>
        <w:t>th</w:t>
      </w:r>
      <w:r w:rsidR="00744959" w:rsidRPr="00A97513">
        <w:t xml:space="preserve"> to 75</w:t>
      </w:r>
      <w:r w:rsidR="00744959" w:rsidRPr="00A97513">
        <w:rPr>
          <w:vertAlign w:val="superscript"/>
        </w:rPr>
        <w:t>th</w:t>
      </w:r>
      <w:r w:rsidR="00744959" w:rsidRPr="00A97513">
        <w:t xml:space="preserve"> percentiles of </w:t>
      </w:r>
      <w:r w:rsidR="00744959">
        <w:t xml:space="preserve">bacterial </w:t>
      </w:r>
      <w:r w:rsidR="00744959" w:rsidRPr="00A97513">
        <w:t>load</w:t>
      </w:r>
      <w:r w:rsidR="00744959">
        <w:t xml:space="preserve"> over many samples collected in the 2017-2025 period</w:t>
      </w:r>
      <w:r w:rsidR="00744959" w:rsidRPr="00A97513">
        <w:t xml:space="preserve">. </w:t>
      </w:r>
    </w:p>
    <w:p w14:paraId="16142C66" w14:textId="4DC72A54" w:rsidR="004A7DFB" w:rsidRDefault="00C006F7" w:rsidP="004A7DFB">
      <w:pPr>
        <w:pStyle w:val="BodyText"/>
        <w:keepNext/>
        <w:spacing w:after="0"/>
        <w:rPr>
          <w:b/>
        </w:rPr>
      </w:pPr>
      <w:r>
        <w:rPr>
          <w:noProof/>
        </w:rPr>
        <mc:AlternateContent>
          <mc:Choice Requires="wpg">
            <w:drawing>
              <wp:inline distT="0" distB="0" distL="0" distR="0" wp14:anchorId="7F18FD63" wp14:editId="7B5AEA15">
                <wp:extent cx="5715000" cy="1511935"/>
                <wp:effectExtent l="0" t="0" r="19050" b="12065"/>
                <wp:docPr id="1046230054" name="Group 6"/>
                <wp:cNvGraphicFramePr/>
                <a:graphic xmlns:a="http://schemas.openxmlformats.org/drawingml/2006/main">
                  <a:graphicData uri="http://schemas.microsoft.com/office/word/2010/wordprocessingGroup">
                    <wpg:wgp>
                      <wpg:cNvGrpSpPr/>
                      <wpg:grpSpPr>
                        <a:xfrm>
                          <a:off x="0" y="0"/>
                          <a:ext cx="5715000" cy="1511935"/>
                          <a:chOff x="0" y="0"/>
                          <a:chExt cx="5715000" cy="1511935"/>
                        </a:xfrm>
                      </wpg:grpSpPr>
                      <wps:wsp>
                        <wps:cNvPr id="662871823" name="Rectangle 5"/>
                        <wps:cNvSpPr/>
                        <wps:spPr>
                          <a:xfrm>
                            <a:off x="0" y="0"/>
                            <a:ext cx="5715000" cy="1511935"/>
                          </a:xfrm>
                          <a:prstGeom prst="rect">
                            <a:avLst/>
                          </a:prstGeom>
                          <a:noFill/>
                          <a:ln w="127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03159621" name="Picture 1" descr="A graph of a graph of a number of people&#10;&#10;AI-generated content may be incorrect."/>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58522" y="25008"/>
                            <a:ext cx="5574181" cy="1474680"/>
                          </a:xfrm>
                          <a:prstGeom prst="rect">
                            <a:avLst/>
                          </a:prstGeom>
                        </pic:spPr>
                      </pic:pic>
                    </wpg:wgp>
                  </a:graphicData>
                </a:graphic>
              </wp:inline>
            </w:drawing>
          </mc:Choice>
          <mc:Fallback>
            <w:pict>
              <v:group w14:anchorId="751D8E6E" id="Group 6" o:spid="_x0000_s1026" style="width:450pt;height:119.05pt;mso-position-horizontal-relative:char;mso-position-vertical-relative:line" coordsize="57150,15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">
                <v:rect id="Rectangle 5" o:spid="_x0000_s1027" style="position:absolute;width:57150;height:15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" filled="f" strokecolor="#1c334e" strokeweight="1pt"/>
                <v:shape id="Picture 1" o:spid="_x0000_s1028" type="#_x0000_t75" alt="A graph of a graph of a number of people&#10;&#10;AI-generated content may be incorrect." style="position:absolute;left:585;top:250;width:55742;height:14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">
                  <v:imagedata r:id="rId57" o:title="A graph of a graph of a number of people&#10;&#10;AI-generated content may be incorrect"/>
                </v:shape>
                <w10:anchorlock/>
              </v:group>
            </w:pict>
          </mc:Fallback>
        </mc:AlternateContent>
      </w:r>
      <w:r w:rsidRPr="00D247AB">
        <w:rPr>
          <w:b/>
        </w:rPr>
        <w:t xml:space="preserve"> </w:t>
      </w:r>
    </w:p>
    <w:p w14:paraId="2C6292D6" w14:textId="5545550E" w:rsidR="004A7DFB" w:rsidRPr="004A7DFB" w:rsidRDefault="004A7DFB" w:rsidP="004A7DFB">
      <w:pPr>
        <w:pStyle w:val="BodyText"/>
        <w:keepNext/>
        <w:rPr>
          <w:rFonts w:ascii="Arial" w:hAnsi="Arial" w:cs="Arial"/>
          <w:bCs/>
          <w:sz w:val="16"/>
          <w:szCs w:val="16"/>
        </w:rPr>
      </w:pPr>
      <w:r w:rsidRPr="004A7DFB">
        <w:rPr>
          <w:rFonts w:ascii="Arial" w:hAnsi="Arial" w:cs="Arial"/>
          <w:bCs/>
          <w:sz w:val="16"/>
          <w:szCs w:val="16"/>
        </w:rPr>
        <w:t>Note: USGS Gauge Station ID # 11073495</w:t>
      </w:r>
    </w:p>
    <w:p w14:paraId="459D6B2A" w14:textId="766E0B71" w:rsidR="00744959" w:rsidRDefault="004A7DFB" w:rsidP="004A7DFB">
      <w:pPr>
        <w:pStyle w:val="Caption"/>
        <w:spacing w:after="240"/>
        <w:rPr>
          <w:b w:val="0"/>
          <w:bCs/>
        </w:rPr>
      </w:pPr>
      <w:bookmarkStart w:id="115" w:name="_Toc217394577"/>
      <w:bookmarkStart w:id="116" w:name="_Toc217394772"/>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19</w:t>
      </w:r>
      <w:r w:rsidR="0023167A">
        <w:fldChar w:fldCharType="end"/>
      </w:r>
      <w:r>
        <w:t xml:space="preserve">. </w:t>
      </w:r>
      <w:r w:rsidRPr="004A7DFB">
        <w:t>USGS Gauge 15-Minute Interval Flow at Cucamonga Creek near Mira Loma</w:t>
      </w:r>
      <w:r w:rsidR="007838A1">
        <w:t xml:space="preserve"> </w:t>
      </w:r>
      <w:r w:rsidRPr="004A7DFB">
        <w:t>on 2025 Synoptic Study Dates</w:t>
      </w:r>
      <w:bookmarkEnd w:id="115"/>
      <w:bookmarkEnd w:id="116"/>
    </w:p>
    <w:p w14:paraId="3935E636" w14:textId="1E3A2B2B" w:rsidR="00E1099E" w:rsidRDefault="0021179E" w:rsidP="00E1099E">
      <w:pPr>
        <w:pStyle w:val="BodyText"/>
      </w:pPr>
      <w:r w:rsidRPr="00EF2737">
        <w:rPr>
          <w:b/>
          <w:bCs/>
        </w:rPr>
        <w:t>Figure 3-</w:t>
      </w:r>
      <w:r w:rsidR="00D93793">
        <w:rPr>
          <w:b/>
          <w:bCs/>
        </w:rPr>
        <w:t>20</w:t>
      </w:r>
      <w:r w:rsidRPr="00EF2737">
        <w:t xml:space="preserve"> plots the results for each mainstem Cucamonga Creek sampling site along a longitudinal profile (x-axis provides the distance upstream of the TMDL compliance monitoring site, WW-M6). The longitudinal profile portrays changes to the load of bacteria within the channel as flows come into the creek from upstream of Ontario Airport (just downstream of the Turner Basin dry weather diversion) to the downstream TMDL compliance monitoring site. Generally, the </w:t>
      </w:r>
      <w:r w:rsidRPr="00EF2737">
        <w:rPr>
          <w:i/>
          <w:iCs/>
        </w:rPr>
        <w:t>E. coli</w:t>
      </w:r>
      <w:r w:rsidRPr="00EF2737">
        <w:t xml:space="preserve"> load rises as new bacteria sources come into the creek that exceed bacteria losses from natural decay. </w:t>
      </w:r>
      <w:r w:rsidR="008478C9">
        <w:t>Several key findings were noted, including:</w:t>
      </w:r>
    </w:p>
    <w:p w14:paraId="0149DD4C" w14:textId="381A4C50" w:rsidR="003B39B9" w:rsidRDefault="00D210B0" w:rsidP="00AC69A1">
      <w:pPr>
        <w:pStyle w:val="BodyText"/>
        <w:numPr>
          <w:ilvl w:val="0"/>
          <w:numId w:val="48"/>
        </w:numPr>
      </w:pPr>
      <w:r>
        <w:t xml:space="preserve">DWF rates and </w:t>
      </w:r>
      <w:r w:rsidRPr="00D210B0">
        <w:rPr>
          <w:i/>
          <w:iCs/>
        </w:rPr>
        <w:t>E. coli</w:t>
      </w:r>
      <w:r>
        <w:t xml:space="preserve"> load in the upper segments of Cucamonga Creek are minor</w:t>
      </w:r>
      <w:r w:rsidR="005D6525">
        <w:t xml:space="preserve">. The first significant rise in flow and load occurs </w:t>
      </w:r>
      <w:r w:rsidR="00820FFA">
        <w:t>between Highway 60 and Chino Avenue.</w:t>
      </w:r>
      <w:r w:rsidR="00996CAB">
        <w:t xml:space="preserve"> </w:t>
      </w:r>
      <w:r w:rsidR="00024E7E">
        <w:t xml:space="preserve">There are no significant drainage outfalls from the City of Ontario to Cucamonga Creek in this segment. </w:t>
      </w:r>
      <w:r w:rsidR="00C84596">
        <w:t>T</w:t>
      </w:r>
      <w:r w:rsidR="003B39B9">
        <w:t xml:space="preserve">he rise </w:t>
      </w:r>
      <w:r w:rsidR="00C84596">
        <w:t xml:space="preserve">in DWF </w:t>
      </w:r>
      <w:r w:rsidR="00490368">
        <w:t xml:space="preserve">rate </w:t>
      </w:r>
      <w:r w:rsidR="0022338B">
        <w:t xml:space="preserve">could be attributed to </w:t>
      </w:r>
      <w:r w:rsidR="005C40D0">
        <w:t>RP1 discharge that is not effectively contained on the east side of the creek by the curb structure</w:t>
      </w:r>
      <w:r w:rsidR="00490368">
        <w:t xml:space="preserve">. </w:t>
      </w:r>
      <w:r w:rsidR="000D633B">
        <w:t xml:space="preserve">Comparing flow measurements on either side of the curb at Chino Avenue suggests that </w:t>
      </w:r>
      <w:r w:rsidR="00025EB4">
        <w:t xml:space="preserve">a portion </w:t>
      </w:r>
      <w:r w:rsidR="00100E52">
        <w:t xml:space="preserve">of RP1 effluent migrates </w:t>
      </w:r>
      <w:r w:rsidR="00D9743C">
        <w:t xml:space="preserve">(through </w:t>
      </w:r>
      <w:r w:rsidR="00716E16">
        <w:t xml:space="preserve">openings in the curb) </w:t>
      </w:r>
      <w:r w:rsidR="00100E52">
        <w:t xml:space="preserve">to the </w:t>
      </w:r>
      <w:r w:rsidR="006B0B73">
        <w:t xml:space="preserve">Cucamonga Creek low flow section. </w:t>
      </w:r>
      <w:r w:rsidR="00D941DF">
        <w:t xml:space="preserve">In-stream sources of </w:t>
      </w:r>
      <w:r w:rsidR="00D941DF" w:rsidRPr="00716E16">
        <w:rPr>
          <w:i/>
          <w:iCs/>
        </w:rPr>
        <w:t>E. coli</w:t>
      </w:r>
      <w:r w:rsidR="00D941DF">
        <w:t xml:space="preserve"> </w:t>
      </w:r>
      <w:r w:rsidR="000B26DB">
        <w:t xml:space="preserve">such as releases </w:t>
      </w:r>
      <w:r w:rsidR="000B26DB">
        <w:lastRenderedPageBreak/>
        <w:t xml:space="preserve">from natural colonies in the channel bottom </w:t>
      </w:r>
      <w:r w:rsidR="00D941DF">
        <w:t xml:space="preserve">may be mobilized by </w:t>
      </w:r>
      <w:r w:rsidR="000B26DB">
        <w:t xml:space="preserve">the highly </w:t>
      </w:r>
      <w:r w:rsidR="00893E3F">
        <w:t>variable RP1 discharges</w:t>
      </w:r>
      <w:r w:rsidR="000B26DB">
        <w:t xml:space="preserve"> on either side of the curb structure.</w:t>
      </w:r>
    </w:p>
    <w:p w14:paraId="48455318" w14:textId="39686BC5" w:rsidR="00E1099E" w:rsidRDefault="00E1099E" w:rsidP="00AC69A1">
      <w:pPr>
        <w:pStyle w:val="BodyText"/>
        <w:numPr>
          <w:ilvl w:val="0"/>
          <w:numId w:val="47"/>
        </w:numPr>
      </w:pPr>
      <w:r>
        <w:t xml:space="preserve">The rise in </w:t>
      </w:r>
      <w:r w:rsidR="003B39B9" w:rsidRPr="00716E16">
        <w:rPr>
          <w:i/>
          <w:iCs/>
        </w:rPr>
        <w:t>E. coli</w:t>
      </w:r>
      <w:r w:rsidR="003B39B9">
        <w:t xml:space="preserve"> load from Chino Avenue</w:t>
      </w:r>
      <w:r>
        <w:t xml:space="preserve"> MS4 site </w:t>
      </w:r>
      <w:r w:rsidR="004E39FD">
        <w:t xml:space="preserve">to </w:t>
      </w:r>
      <w:proofErr w:type="gramStart"/>
      <w:r w:rsidR="00D210B0">
        <w:t>upstream of</w:t>
      </w:r>
      <w:proofErr w:type="gramEnd"/>
      <w:r w:rsidR="00D210B0">
        <w:t xml:space="preserve"> the </w:t>
      </w:r>
      <w:r w:rsidR="004E39FD">
        <w:t xml:space="preserve">County Line </w:t>
      </w:r>
      <w:r>
        <w:t xml:space="preserve">is primarily associated with outflow from </w:t>
      </w:r>
      <w:r w:rsidR="003B39B9">
        <w:t xml:space="preserve">Chris Basin </w:t>
      </w:r>
      <w:r>
        <w:t>to Cucamonga Creek</w:t>
      </w:r>
      <w:r w:rsidR="00716E16">
        <w:t xml:space="preserve"> based on a persistent signal and long-term dataset. </w:t>
      </w:r>
    </w:p>
    <w:p w14:paraId="1C6F5435" w14:textId="1B771D0E" w:rsidR="00325F17" w:rsidRDefault="00325F17" w:rsidP="00AC69A1">
      <w:pPr>
        <w:pStyle w:val="BodyText"/>
        <w:numPr>
          <w:ilvl w:val="0"/>
          <w:numId w:val="47"/>
        </w:numPr>
      </w:pPr>
      <w:r>
        <w:t xml:space="preserve">Inflow loads from County Line Channel and Eastvale MS4 outfalls explain the rise in load within Cucamonga Creek within Riverside County to Hellman Avenue (T1-CUCAMONGA).   </w:t>
      </w:r>
    </w:p>
    <w:p w14:paraId="3299C9BC" w14:textId="1926CE4C" w:rsidR="0021179E" w:rsidRDefault="00FE1BB9" w:rsidP="00AC69A1">
      <w:pPr>
        <w:pStyle w:val="BodyText"/>
        <w:numPr>
          <w:ilvl w:val="0"/>
          <w:numId w:val="47"/>
        </w:numPr>
      </w:pPr>
      <w:r w:rsidRPr="00E7370B">
        <w:rPr>
          <w:b/>
          <w:bCs/>
          <w:noProof/>
        </w:rPr>
        <w:drawing>
          <wp:anchor distT="0" distB="0" distL="114300" distR="114300" simplePos="0" relativeHeight="251658240" behindDoc="0" locked="0" layoutInCell="1" allowOverlap="1" wp14:anchorId="300F4F3F" wp14:editId="5DDBD2E8">
            <wp:simplePos x="0" y="0"/>
            <wp:positionH relativeFrom="column">
              <wp:posOffset>-8255</wp:posOffset>
            </wp:positionH>
            <wp:positionV relativeFrom="paragraph">
              <wp:posOffset>928370</wp:posOffset>
            </wp:positionV>
            <wp:extent cx="5139055" cy="3302635"/>
            <wp:effectExtent l="0" t="0" r="4445" b="0"/>
            <wp:wrapTopAndBottom/>
            <wp:docPr id="21197011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39055" cy="3302635"/>
                    </a:xfrm>
                    <a:prstGeom prst="rect">
                      <a:avLst/>
                    </a:prstGeom>
                    <a:noFill/>
                  </pic:spPr>
                </pic:pic>
              </a:graphicData>
            </a:graphic>
            <wp14:sizeRelH relativeFrom="page">
              <wp14:pctWidth>0</wp14:pctWidth>
            </wp14:sizeRelH>
            <wp14:sizeRelV relativeFrom="page">
              <wp14:pctHeight>0</wp14:pctHeight>
            </wp14:sizeRelV>
          </wp:anchor>
        </w:drawing>
      </w:r>
      <w:r w:rsidR="00325F17">
        <w:t xml:space="preserve">Lastly, </w:t>
      </w:r>
      <w:r w:rsidR="00E1099E">
        <w:t xml:space="preserve">A </w:t>
      </w:r>
      <w:r w:rsidR="00E1099E" w:rsidRPr="00EF2737">
        <w:t>reduction of</w:t>
      </w:r>
      <w:r w:rsidR="00E1099E" w:rsidRPr="00E1099E">
        <w:rPr>
          <w:i/>
          <w:iCs/>
        </w:rPr>
        <w:t xml:space="preserve"> E. coli</w:t>
      </w:r>
      <w:r w:rsidR="00E1099E" w:rsidRPr="00EF2737">
        <w:t xml:space="preserve"> load (~</w:t>
      </w:r>
      <w:r w:rsidR="00325F17">
        <w:t>4</w:t>
      </w:r>
      <w:r w:rsidR="00E1099E" w:rsidRPr="00EF2737">
        <w:t xml:space="preserve">0 billion MPN/day) between T1-CUCAMONGA and the TMDL compliance monitoring site at WW-M6 is </w:t>
      </w:r>
      <w:r w:rsidR="00E1099E">
        <w:t xml:space="preserve">shown in the figure. This apparent reduction is largely attributed to </w:t>
      </w:r>
      <w:r w:rsidR="00E1099E" w:rsidRPr="00EF2737">
        <w:t>removal of</w:t>
      </w:r>
      <w:r w:rsidR="00E1099E">
        <w:t xml:space="preserve"> </w:t>
      </w:r>
      <w:r w:rsidR="00E1099E" w:rsidRPr="00EF2737">
        <w:t xml:space="preserve">bacteria within the MCW (see Section </w:t>
      </w:r>
      <w:r w:rsidR="00E1099E">
        <w:t>4.</w:t>
      </w:r>
      <w:r w:rsidR="00025EB4" w:rsidRPr="00B817AB">
        <w:t>1.1</w:t>
      </w:r>
      <w:r w:rsidR="00E1099E" w:rsidRPr="00025EB4">
        <w:t>).</w:t>
      </w:r>
    </w:p>
    <w:p w14:paraId="35D5A55C" w14:textId="6A2C8886" w:rsidR="007838A1" w:rsidRDefault="007838A1" w:rsidP="007838A1">
      <w:pPr>
        <w:pStyle w:val="Caption"/>
        <w:spacing w:after="240"/>
      </w:pPr>
      <w:bookmarkStart w:id="117" w:name="_Toc217394578"/>
      <w:bookmarkStart w:id="118" w:name="_Toc217394773"/>
      <w:bookmarkEnd w:id="112"/>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20</w:t>
      </w:r>
      <w:r w:rsidR="0023167A">
        <w:fldChar w:fldCharType="end"/>
      </w:r>
      <w:r>
        <w:t xml:space="preserve">. </w:t>
      </w:r>
      <w:r w:rsidRPr="007838A1">
        <w:t xml:space="preserve">Longitudinal Profile of Dry Weather </w:t>
      </w:r>
      <w:r w:rsidRPr="007838A1">
        <w:rPr>
          <w:i/>
          <w:iCs w:val="0"/>
        </w:rPr>
        <w:t xml:space="preserve">E. </w:t>
      </w:r>
      <w:proofErr w:type="gramStart"/>
      <w:r w:rsidRPr="007838A1">
        <w:rPr>
          <w:i/>
          <w:iCs w:val="0"/>
        </w:rPr>
        <w:t>coli</w:t>
      </w:r>
      <w:proofErr w:type="gramEnd"/>
      <w:r w:rsidRPr="007838A1">
        <w:t xml:space="preserve"> Load</w:t>
      </w:r>
      <w:r>
        <w:t>s</w:t>
      </w:r>
      <w:r w:rsidRPr="007838A1">
        <w:t xml:space="preserve"> within Cucamonga Creek (n = 70; 2017-2025)</w:t>
      </w:r>
      <w:bookmarkEnd w:id="117"/>
      <w:bookmarkEnd w:id="118"/>
    </w:p>
    <w:p w14:paraId="2CEAA1E1" w14:textId="77777777" w:rsidR="006962C7" w:rsidRDefault="006962C7" w:rsidP="006962C7">
      <w:pPr>
        <w:pStyle w:val="Heading2"/>
        <w:ind w:left="792"/>
      </w:pPr>
      <w:bookmarkStart w:id="119" w:name="_Toc217410164"/>
      <w:r w:rsidRPr="00A22F90">
        <w:t>Bacteroides</w:t>
      </w:r>
      <w:r>
        <w:t xml:space="preserve"> Analysis</w:t>
      </w:r>
      <w:bookmarkEnd w:id="119"/>
    </w:p>
    <w:p w14:paraId="40511240" w14:textId="712C33E2" w:rsidR="006962C7" w:rsidRDefault="006962C7" w:rsidP="006962C7">
      <w:pPr>
        <w:pStyle w:val="BodyText"/>
      </w:pPr>
      <w:r>
        <w:t xml:space="preserve">Elevated levels of FIB have been observed in waterbodies in the MSAR watershed; however, not all sources of bacteria are known. Regulatory agencies commonly assess the microbial river water quality by determining the concentration of FIB using culture-based assays for total coliforms, fecal coliforms and </w:t>
      </w:r>
      <w:r w:rsidRPr="00544843">
        <w:rPr>
          <w:i/>
        </w:rPr>
        <w:t>E.</w:t>
      </w:r>
      <w:r>
        <w:rPr>
          <w:i/>
        </w:rPr>
        <w:t xml:space="preserve"> </w:t>
      </w:r>
      <w:r w:rsidRPr="00544843">
        <w:rPr>
          <w:i/>
        </w:rPr>
        <w:t>coli</w:t>
      </w:r>
      <w:r>
        <w:t>, because these assays are quick</w:t>
      </w:r>
      <w:r w:rsidR="00025EB4">
        <w:t xml:space="preserve">, </w:t>
      </w:r>
      <w:r>
        <w:t>economical</w:t>
      </w:r>
      <w:r w:rsidR="00025EB4">
        <w:t>, and considered the gold standard for monitoring (Li et al. 2020)</w:t>
      </w:r>
      <w:r>
        <w:t xml:space="preserve">. However, FIB measurements cannot determine whether the bacteria originate from human, animal, or natural sources (i.e., </w:t>
      </w:r>
      <w:r>
        <w:lastRenderedPageBreak/>
        <w:t>plants, sediments, etc.</w:t>
      </w:r>
      <w:r w:rsidR="00025EB4">
        <w:t xml:space="preserve">; </w:t>
      </w:r>
      <w:r>
        <w:t>Litton et al. 2010). Understanding the sources and categories of FIB is important so that the various contributions of FIB can be determined and public health risks can be assessed (</w:t>
      </w:r>
      <w:r w:rsidRPr="00A160D8">
        <w:t>Soller et</w:t>
      </w:r>
      <w:r>
        <w:t xml:space="preserve"> al. 2010, 2014</w:t>
      </w:r>
      <w:r w:rsidR="00F608FD">
        <w:t>, Gitter et al. 2023</w:t>
      </w:r>
      <w:r>
        <w:t xml:space="preserve">). </w:t>
      </w:r>
    </w:p>
    <w:p w14:paraId="0135EF1B" w14:textId="77777777" w:rsidR="006962C7" w:rsidRDefault="006962C7" w:rsidP="006962C7">
      <w:pPr>
        <w:pStyle w:val="Heading3"/>
      </w:pPr>
      <w:bookmarkStart w:id="120" w:name="_Toc217410165"/>
      <w:r>
        <w:t xml:space="preserve">Use of Microbial Source Tracking Techniques in </w:t>
      </w:r>
      <w:proofErr w:type="gramStart"/>
      <w:r>
        <w:t>the Synoptic</w:t>
      </w:r>
      <w:proofErr w:type="gramEnd"/>
      <w:r>
        <w:t xml:space="preserve"> Study</w:t>
      </w:r>
      <w:bookmarkEnd w:id="120"/>
    </w:p>
    <w:p w14:paraId="09A91D0C" w14:textId="47CF48FB" w:rsidR="00F608FD" w:rsidRDefault="006962C7" w:rsidP="006962C7">
      <w:pPr>
        <w:pStyle w:val="BodyText"/>
      </w:pPr>
      <w:r>
        <w:t>An important objective of the Synoptic Study was to use MST techniques to determine the extent to which human sources may or may not be contributing to elevated</w:t>
      </w:r>
      <w:r>
        <w:br/>
      </w:r>
      <w:r w:rsidRPr="00544843">
        <w:rPr>
          <w:i/>
        </w:rPr>
        <w:t>E. coli</w:t>
      </w:r>
      <w:r>
        <w:t xml:space="preserve"> concentrations in the samples collected. The USEPA recommends </w:t>
      </w:r>
      <w:r w:rsidR="00F608FD">
        <w:t xml:space="preserve">the </w:t>
      </w:r>
      <w:r>
        <w:t>use of MST techniques</w:t>
      </w:r>
      <w:r w:rsidR="00F608FD">
        <w:t xml:space="preserve"> for the following purposes</w:t>
      </w:r>
      <w:r>
        <w:t xml:space="preserve">: </w:t>
      </w:r>
    </w:p>
    <w:p w14:paraId="7DA30EA7" w14:textId="3636BCCE" w:rsidR="00F608FD" w:rsidRDefault="006962C7" w:rsidP="00C11DCD">
      <w:pPr>
        <w:pStyle w:val="BodyText"/>
        <w:numPr>
          <w:ilvl w:val="0"/>
          <w:numId w:val="65"/>
        </w:numPr>
      </w:pPr>
      <w:r>
        <w:t xml:space="preserve">TMDL support tool </w:t>
      </w:r>
    </w:p>
    <w:p w14:paraId="6C632F52" w14:textId="0D6EDE20" w:rsidR="00F608FD" w:rsidRDefault="00F608FD" w:rsidP="00C11DCD">
      <w:pPr>
        <w:pStyle w:val="BodyText"/>
        <w:numPr>
          <w:ilvl w:val="0"/>
          <w:numId w:val="65"/>
        </w:numPr>
      </w:pPr>
      <w:r>
        <w:t xml:space="preserve">Prioritization of </w:t>
      </w:r>
      <w:r w:rsidR="006962C7">
        <w:t>impaired sites for remediation</w:t>
      </w:r>
    </w:p>
    <w:p w14:paraId="3E9E7E2E" w14:textId="2255EA76" w:rsidR="00F608FD" w:rsidRDefault="00F608FD" w:rsidP="00C11DCD">
      <w:pPr>
        <w:pStyle w:val="BodyText"/>
        <w:numPr>
          <w:ilvl w:val="0"/>
          <w:numId w:val="65"/>
        </w:numPr>
      </w:pPr>
      <w:r>
        <w:t>E</w:t>
      </w:r>
      <w:r w:rsidR="006962C7">
        <w:t>valuati</w:t>
      </w:r>
      <w:r>
        <w:t>on of</w:t>
      </w:r>
      <w:r w:rsidR="006962C7">
        <w:t xml:space="preserve"> BMPs </w:t>
      </w:r>
    </w:p>
    <w:p w14:paraId="3428A3B9" w14:textId="4097C77A" w:rsidR="00F608FD" w:rsidRDefault="00F608FD" w:rsidP="00C11DCD">
      <w:pPr>
        <w:pStyle w:val="BodyText"/>
        <w:numPr>
          <w:ilvl w:val="0"/>
          <w:numId w:val="65"/>
        </w:numPr>
      </w:pPr>
      <w:r>
        <w:t xml:space="preserve">Support of </w:t>
      </w:r>
      <w:r w:rsidR="006962C7">
        <w:t>stormwater discharge management</w:t>
      </w:r>
    </w:p>
    <w:p w14:paraId="176FAFA5" w14:textId="576E09A0" w:rsidR="00F608FD" w:rsidRDefault="00F608FD" w:rsidP="00C11DCD">
      <w:pPr>
        <w:pStyle w:val="BodyText"/>
        <w:numPr>
          <w:ilvl w:val="0"/>
          <w:numId w:val="65"/>
        </w:numPr>
      </w:pPr>
      <w:r>
        <w:t xml:space="preserve">Assessment of </w:t>
      </w:r>
      <w:r w:rsidR="006962C7">
        <w:t xml:space="preserve">potential waterborne health risks (Shanks 2018). </w:t>
      </w:r>
    </w:p>
    <w:p w14:paraId="0D2287B9" w14:textId="0E143865" w:rsidR="006962C7" w:rsidRDefault="006962C7" w:rsidP="006962C7">
      <w:pPr>
        <w:pStyle w:val="BodyText"/>
      </w:pPr>
      <w:r>
        <w:t xml:space="preserve">Consistent with USEPA, </w:t>
      </w:r>
      <w:r w:rsidR="00F608FD">
        <w:t xml:space="preserve">the </w:t>
      </w:r>
      <w:r>
        <w:t xml:space="preserve">human bacteria </w:t>
      </w:r>
      <w:r w:rsidR="00F608FD">
        <w:t xml:space="preserve">marker was analyzed </w:t>
      </w:r>
      <w:r>
        <w:t xml:space="preserve">for the Synoptic Study solely to provide information </w:t>
      </w:r>
      <w:r w:rsidR="00F608FD">
        <w:t xml:space="preserve">and </w:t>
      </w:r>
      <w:r>
        <w:t xml:space="preserve">to support ongoing efforts to implement CBRP requirements to mitigate controllable sources of </w:t>
      </w:r>
      <w:r w:rsidRPr="00FD406B">
        <w:rPr>
          <w:i/>
        </w:rPr>
        <w:t>E. coli</w:t>
      </w:r>
      <w:r>
        <w:t xml:space="preserve">. The microbial source analysis provides no information regarding compliance with Basin Plan </w:t>
      </w:r>
      <w:r w:rsidRPr="00BC381D">
        <w:rPr>
          <w:i/>
        </w:rPr>
        <w:t>E. coli</w:t>
      </w:r>
      <w:r>
        <w:t xml:space="preserve"> objectives to protect the REC1 beneficial use. Thus, any results from the Synoptic Study microbial source analysis are informational only and have no bearing on compliance with water quality objectives or TMDL WLAs. </w:t>
      </w:r>
    </w:p>
    <w:p w14:paraId="3D63DB26" w14:textId="7F9D923B" w:rsidR="00F608FD" w:rsidRPr="00F30E46" w:rsidRDefault="00F608FD" w:rsidP="00F608FD">
      <w:pPr>
        <w:pStyle w:val="BodyText"/>
      </w:pPr>
      <w:r>
        <w:t xml:space="preserve">Host-associated genetic markers that allow for the identification of human gut bacteria, </w:t>
      </w:r>
      <w:r w:rsidRPr="003A68F0">
        <w:rPr>
          <w:i/>
        </w:rPr>
        <w:t>Bacteroides</w:t>
      </w:r>
      <w:r>
        <w:rPr>
          <w:i/>
        </w:rPr>
        <w:t>,</w:t>
      </w:r>
      <w:r>
        <w:t xml:space="preserve"> by qPCR have been widely used and approved by USEPA, standard method, 1696 (SM 1696; USEPA 2019). The human-host </w:t>
      </w:r>
      <w:r w:rsidRPr="00CA3B62">
        <w:rPr>
          <w:i/>
        </w:rPr>
        <w:t>Bacteroides</w:t>
      </w:r>
      <w:r>
        <w:t xml:space="preserve"> HF183 marker (or human marker) can also be quantified using newer PCR technology, the droplet digital PCR (ddPCR) technique (Hart et al., 2022). This technology is a modification of </w:t>
      </w:r>
      <w:proofErr w:type="gramStart"/>
      <w:r>
        <w:t>the SM</w:t>
      </w:r>
      <w:proofErr w:type="gramEnd"/>
      <w:r>
        <w:t xml:space="preserve"> 1696, using the same primer/probe sequences as the qPCR assay </w:t>
      </w:r>
      <w:r w:rsidR="00E5313D">
        <w:t xml:space="preserve">that </w:t>
      </w:r>
      <w:proofErr w:type="gramStart"/>
      <w:r w:rsidR="00E5313D">
        <w:t>target</w:t>
      </w:r>
      <w:proofErr w:type="gramEnd"/>
      <w:r>
        <w:t xml:space="preserve"> the HF183 16S rRNA gene clu</w:t>
      </w:r>
      <w:r w:rsidRPr="00F30E46">
        <w:t xml:space="preserve">ster of </w:t>
      </w:r>
      <w:r w:rsidRPr="00F30E46">
        <w:rPr>
          <w:i/>
        </w:rPr>
        <w:t>Bacteroides</w:t>
      </w:r>
      <w:r w:rsidRPr="00F30E46">
        <w:t xml:space="preserve">, </w:t>
      </w:r>
      <w:r>
        <w:t xml:space="preserve">but uses a </w:t>
      </w:r>
      <w:r w:rsidRPr="00A4396D">
        <w:t>ddPCR platform</w:t>
      </w:r>
      <w:r>
        <w:t xml:space="preserve"> (BioRad, Hercules, CA).  The ddPCR approach has demonstrated greater tolerance for environmental inhibitors and provides direct quantification of the genes when compared to qPCR (Hart et al., 2022). </w:t>
      </w:r>
      <w:r w:rsidRPr="00177B83">
        <w:t>An important characteristic of molecular assays</w:t>
      </w:r>
      <w:r>
        <w:t xml:space="preserve">, including ddPCR, </w:t>
      </w:r>
      <w:r w:rsidRPr="00177B83">
        <w:t>is that they detect DNA from both viable and non-viable cells, including extracellular DNA, and thus</w:t>
      </w:r>
      <w:r>
        <w:t>,</w:t>
      </w:r>
      <w:r w:rsidRPr="00177B83">
        <w:t xml:space="preserve"> do not discriminate between living and dead microorganisms (Bae et al., 2008; Steinbacher et al., 2025)</w:t>
      </w:r>
      <w:r>
        <w:t xml:space="preserve">. The ddPCR assay </w:t>
      </w:r>
      <w:r w:rsidRPr="00F30E46">
        <w:t xml:space="preserve">was </w:t>
      </w:r>
      <w:r>
        <w:t xml:space="preserve">used in the 2025 Synoptic Study </w:t>
      </w:r>
      <w:r w:rsidRPr="00F30E46">
        <w:t xml:space="preserve">to determine </w:t>
      </w:r>
      <w:r>
        <w:t xml:space="preserve">the </w:t>
      </w:r>
      <w:r w:rsidRPr="00F30E46">
        <w:t xml:space="preserve">concentration of the human-host </w:t>
      </w:r>
      <w:r w:rsidRPr="00F30E46">
        <w:rPr>
          <w:i/>
        </w:rPr>
        <w:t>Bacteroides</w:t>
      </w:r>
      <w:r w:rsidRPr="00F30E46">
        <w:t xml:space="preserve"> HF183 marker </w:t>
      </w:r>
      <w:r>
        <w:t>in</w:t>
      </w:r>
      <w:r w:rsidRPr="00F30E46">
        <w:t xml:space="preserve"> water or </w:t>
      </w:r>
      <w:r>
        <w:t xml:space="preserve">channel bottom sediment </w:t>
      </w:r>
      <w:r w:rsidRPr="00F30E46">
        <w:t>samples.</w:t>
      </w:r>
      <w:r>
        <w:t xml:space="preserve"> </w:t>
      </w:r>
      <w:r w:rsidRPr="00FF25B1">
        <w:t xml:space="preserve">To </w:t>
      </w:r>
      <w:r w:rsidRPr="00FF25B1">
        <w:lastRenderedPageBreak/>
        <w:t>facilitate understanding of the findings from this study, the following section provide</w:t>
      </w:r>
      <w:r>
        <w:t>s</w:t>
      </w:r>
      <w:r w:rsidRPr="00FF25B1">
        <w:t xml:space="preserve"> </w:t>
      </w:r>
      <w:r>
        <w:t xml:space="preserve">additional </w:t>
      </w:r>
      <w:r w:rsidRPr="00FF25B1">
        <w:t>information regarding sample collection, laboratory analysis</w:t>
      </w:r>
      <w:r>
        <w:t>,</w:t>
      </w:r>
      <w:r w:rsidRPr="00FF25B1">
        <w:t xml:space="preserve"> and data interpretation</w:t>
      </w:r>
      <w:r>
        <w:t xml:space="preserve"> (also see the </w:t>
      </w:r>
      <w:r w:rsidRPr="00FF25B1">
        <w:t xml:space="preserve">Study Plan and QAPP for the Synoptic Study </w:t>
      </w:r>
      <w:r>
        <w:t>for</w:t>
      </w:r>
      <w:r w:rsidRPr="00FF25B1">
        <w:t xml:space="preserve"> additional information</w:t>
      </w:r>
      <w:r>
        <w:t>; SAWPA (2025). Data results are provided in subsequent sections.</w:t>
      </w:r>
    </w:p>
    <w:p w14:paraId="00A8061D" w14:textId="77777777" w:rsidR="006962C7" w:rsidRDefault="006962C7" w:rsidP="006962C7">
      <w:pPr>
        <w:pStyle w:val="Heading3"/>
      </w:pPr>
      <w:bookmarkStart w:id="121" w:name="_Toc217410166"/>
      <w:r>
        <w:t>Evaluation of the HF183 Human Marker at Synoptic Study Sites</w:t>
      </w:r>
      <w:bookmarkEnd w:id="121"/>
    </w:p>
    <w:p w14:paraId="78718124" w14:textId="0DDCB60E" w:rsidR="00E5313D" w:rsidRDefault="00E5313D" w:rsidP="00E5313D">
      <w:pPr>
        <w:pStyle w:val="BodyText"/>
        <w:spacing w:after="120"/>
      </w:pPr>
      <w:bookmarkStart w:id="122" w:name="_Hlk217294285"/>
      <w:r>
        <w:t xml:space="preserve">As described above, water samples were collected from the study sites to determine (a) </w:t>
      </w:r>
      <w:r w:rsidRPr="00A7728C">
        <w:rPr>
          <w:i/>
        </w:rPr>
        <w:t>E.</w:t>
      </w:r>
      <w:r>
        <w:rPr>
          <w:i/>
        </w:rPr>
        <w:t xml:space="preserve"> </w:t>
      </w:r>
      <w:r w:rsidRPr="00A7728C">
        <w:rPr>
          <w:i/>
        </w:rPr>
        <w:t>coli</w:t>
      </w:r>
      <w:r>
        <w:t xml:space="preserve"> concentrations; and (b) the concentration of the </w:t>
      </w:r>
      <w:r w:rsidRPr="00A7728C">
        <w:rPr>
          <w:i/>
        </w:rPr>
        <w:t>Bacteroides</w:t>
      </w:r>
      <w:r>
        <w:t xml:space="preserve"> HF183 human marker</w:t>
      </w:r>
      <w:r w:rsidRPr="00A875BC">
        <w:t xml:space="preserve">. The </w:t>
      </w:r>
      <w:r w:rsidRPr="00CA3B62">
        <w:t xml:space="preserve">approximate </w:t>
      </w:r>
      <w:r w:rsidRPr="00A875BC">
        <w:t>concentration of the HF183 gene</w:t>
      </w:r>
      <w:r>
        <w:t xml:space="preserve"> </w:t>
      </w:r>
      <w:r w:rsidRPr="00EC532F">
        <w:t>is determined directly by counting the total number of positive reaction</w:t>
      </w:r>
      <w:r>
        <w:t>s</w:t>
      </w:r>
      <w:r w:rsidRPr="00EC532F">
        <w:t xml:space="preserve">, and </w:t>
      </w:r>
      <w:proofErr w:type="spellStart"/>
      <w:r w:rsidRPr="00EC532F">
        <w:t>Poission</w:t>
      </w:r>
      <w:proofErr w:type="spellEnd"/>
      <w:r w:rsidRPr="00EC532F">
        <w:t xml:space="preserve"> distribution</w:t>
      </w:r>
      <w:r>
        <w:t xml:space="preserve">, as described below. </w:t>
      </w:r>
    </w:p>
    <w:p w14:paraId="357431B9" w14:textId="18DC2B9B" w:rsidR="00E5313D" w:rsidRDefault="00E5313D" w:rsidP="00E5313D">
      <w:pPr>
        <w:pStyle w:val="BodyText"/>
        <w:spacing w:after="120"/>
      </w:pPr>
      <w:r>
        <w:t xml:space="preserve">A 100mL grab samples of surface water </w:t>
      </w:r>
      <w:proofErr w:type="gramStart"/>
      <w:r>
        <w:t>was</w:t>
      </w:r>
      <w:proofErr w:type="gramEnd"/>
      <w:r>
        <w:t xml:space="preserve"> collected in IDEXX bottles and concentrated using polycarbonate filters as described previously (SM 1696; USEPA 2019). Purified total DNA was extracted via a commercial kit as described previously (USEPA 2019). Purified DNA extracts (5uL) were analyzed by ddPCR as described previously (Cao et al., 2105). Each ddPCR run included two no-template controls (NTC), extraction controls, filter blanks, and positive controls as described by Cao et. </w:t>
      </w:r>
      <w:proofErr w:type="gramStart"/>
      <w:r>
        <w:t>al</w:t>
      </w:r>
      <w:proofErr w:type="gramEnd"/>
      <w:r>
        <w:t xml:space="preserve">., 2015 to obtain high quality data. All samples were run in duplicates. Samples are considered positive for the human marker HF183 when at least four droplets throughout the two duplicate wells are positive.  All ddPCR reactions were run in duplicates, including field blanks.  Both positive controls that contain reference DNA material and negative controls that contain no DNA material were run in duplicate for proper implementation of the ddPCR assay to obtain high quality data. No low levels of the human marker were detected in any of the negative controls. </w:t>
      </w:r>
    </w:p>
    <w:p w14:paraId="45A4528F" w14:textId="77777777" w:rsidR="00E5313D" w:rsidRDefault="00E5313D" w:rsidP="00E5313D">
      <w:pPr>
        <w:pStyle w:val="BodyText"/>
        <w:spacing w:after="120"/>
      </w:pPr>
      <w:r>
        <w:t>For the purposes of this study, the concentration of the HF183 in positive samples is reported as gene copies (</w:t>
      </w:r>
      <w:proofErr w:type="spellStart"/>
      <w:r>
        <w:t>gc</w:t>
      </w:r>
      <w:proofErr w:type="spellEnd"/>
      <w:r>
        <w:t>)/100mL. The Limit of Detection (LOD) for the HF183 assay is reported at approximately 50 gene copies (</w:t>
      </w:r>
      <w:proofErr w:type="spellStart"/>
      <w:r>
        <w:t>gc</w:t>
      </w:r>
      <w:proofErr w:type="spellEnd"/>
      <w:r>
        <w:t xml:space="preserve">)/100mL. Samples with estimated results less than LOD, (if the HF183 gene was amplified in less than four droplets) are reported as Not Detected, in place of concentration (Cao et al., 2105). </w:t>
      </w:r>
    </w:p>
    <w:p w14:paraId="4C00154F" w14:textId="77777777" w:rsidR="00E5313D" w:rsidRDefault="00E5313D" w:rsidP="00E5313D">
      <w:pPr>
        <w:pStyle w:val="BodyText"/>
        <w:spacing w:after="120"/>
      </w:pPr>
      <w:r>
        <w:t xml:space="preserve">For all samples, the concentration of the HF183 gene is determined directly by counting the total number of positive reactions, and </w:t>
      </w:r>
      <w:proofErr w:type="spellStart"/>
      <w:r>
        <w:t>Poission</w:t>
      </w:r>
      <w:proofErr w:type="spellEnd"/>
      <w:r>
        <w:t xml:space="preserve"> distribution is used to calculate the absolute concentration of the genes (Cao et al., 2105; Curtis et al., 2024).  For ddPCR, the concentration is determined by a direct statistical count, unlike qPCR, which relies on relative quantification based on standard curve. Therefore, ddPCR removes the run-to-run variability and bias associated with standard curves.</w:t>
      </w:r>
    </w:p>
    <w:p w14:paraId="3A3E5DFA" w14:textId="77777777" w:rsidR="00E5313D" w:rsidRDefault="00E5313D" w:rsidP="00E5313D">
      <w:pPr>
        <w:pStyle w:val="BodyText"/>
        <w:spacing w:after="120"/>
      </w:pPr>
      <w:r>
        <w:t>Specifically, for the Synoptic Study, the fr</w:t>
      </w:r>
      <w:r w:rsidRPr="00F30E46">
        <w:t>equencies and mean concentrations were reported using the following accepted approach (Cao et al. 2016):</w:t>
      </w:r>
      <w:r>
        <w:t xml:space="preserve"> </w:t>
      </w:r>
    </w:p>
    <w:p w14:paraId="05A81757" w14:textId="57A69A5C" w:rsidR="00E5313D" w:rsidRDefault="00E5313D" w:rsidP="00C11DCD">
      <w:pPr>
        <w:pStyle w:val="BodyText"/>
        <w:numPr>
          <w:ilvl w:val="0"/>
          <w:numId w:val="68"/>
        </w:numPr>
        <w:spacing w:after="120"/>
      </w:pPr>
      <w:r w:rsidRPr="004C4588">
        <w:t xml:space="preserve">A positive sample is any sample in which the HF183 gene was amplified in any of the </w:t>
      </w:r>
      <w:r>
        <w:t>t</w:t>
      </w:r>
      <w:r w:rsidRPr="004C4588">
        <w:t xml:space="preserve">wo ddPCR replicates. </w:t>
      </w:r>
    </w:p>
    <w:p w14:paraId="7952A4F4" w14:textId="784AF265" w:rsidR="00E5313D" w:rsidRDefault="00E5313D" w:rsidP="00C11DCD">
      <w:pPr>
        <w:pStyle w:val="BodyText"/>
        <w:numPr>
          <w:ilvl w:val="0"/>
          <w:numId w:val="68"/>
        </w:numPr>
        <w:spacing w:after="120"/>
      </w:pPr>
      <w:r>
        <w:t xml:space="preserve">A negative sample is a sample where the results are </w:t>
      </w:r>
      <w:r w:rsidR="00242DA5">
        <w:t xml:space="preserve">less than </w:t>
      </w:r>
      <w:r>
        <w:t>LOD</w:t>
      </w:r>
      <w:r w:rsidR="00242DA5">
        <w:t xml:space="preserve"> (</w:t>
      </w:r>
      <w:r>
        <w:t>approximately 50gc/100mL</w:t>
      </w:r>
      <w:r w:rsidR="00242DA5">
        <w:t>)</w:t>
      </w:r>
    </w:p>
    <w:p w14:paraId="728F0D9D" w14:textId="3FE089D5" w:rsidR="00E5313D" w:rsidRDefault="00E5313D" w:rsidP="00C11DCD">
      <w:pPr>
        <w:pStyle w:val="BodyText"/>
        <w:numPr>
          <w:ilvl w:val="0"/>
          <w:numId w:val="68"/>
        </w:numPr>
        <w:spacing w:after="120"/>
      </w:pPr>
      <w:r>
        <w:lastRenderedPageBreak/>
        <w:t xml:space="preserve">Where results were reported as Not Detected, HF183 </w:t>
      </w:r>
      <w:r w:rsidR="00242DA5">
        <w:t>concentration was</w:t>
      </w:r>
      <w:r>
        <w:t xml:space="preserve"> not calculated </w:t>
      </w:r>
    </w:p>
    <w:p w14:paraId="6631B6EC" w14:textId="77777777" w:rsidR="00242DA5" w:rsidRDefault="00E5313D" w:rsidP="00E5313D">
      <w:pPr>
        <w:pStyle w:val="BodyText"/>
        <w:numPr>
          <w:ilvl w:val="0"/>
          <w:numId w:val="68"/>
        </w:numPr>
        <w:spacing w:after="120"/>
      </w:pPr>
      <w:r>
        <w:t xml:space="preserve">The mean concentration was calculated by summing the results (gene copies/reaction) from all positive samples and dividing by the total number of positive samples observed during the study. </w:t>
      </w:r>
    </w:p>
    <w:p w14:paraId="750A2C4E" w14:textId="7E31DEDF" w:rsidR="00E5313D" w:rsidRDefault="00E5313D" w:rsidP="00C11DCD">
      <w:pPr>
        <w:pStyle w:val="BodyText"/>
        <w:spacing w:after="120"/>
      </w:pPr>
      <w:r>
        <w:t>For this study, the mean concentration of gene copies is provided as a quantifiable estimation of the human marker, HF183</w:t>
      </w:r>
      <w:r w:rsidR="00242DA5">
        <w:t>,</w:t>
      </w:r>
      <w:r>
        <w:t xml:space="preserve"> that can be compared within a given watershed or </w:t>
      </w:r>
      <w:r w:rsidR="00242DA5">
        <w:t>overtime</w:t>
      </w:r>
      <w:r>
        <w:t xml:space="preserve">. This is additional </w:t>
      </w:r>
      <w:proofErr w:type="gramStart"/>
      <w:r w:rsidR="00242DA5">
        <w:t>information</w:t>
      </w:r>
      <w:proofErr w:type="gramEnd"/>
      <w:r w:rsidR="00242DA5">
        <w:t xml:space="preserve"> was</w:t>
      </w:r>
      <w:r>
        <w:t xml:space="preserve"> used to prioritize sites; it has no implications towards </w:t>
      </w:r>
      <w:r w:rsidRPr="00207C4F">
        <w:t>compliance with water quality objectives or TMDL</w:t>
      </w:r>
      <w:r>
        <w:t>s.</w:t>
      </w:r>
    </w:p>
    <w:p w14:paraId="2252984F" w14:textId="77777777" w:rsidR="00E5313D" w:rsidRDefault="00E5313D" w:rsidP="00E5313D">
      <w:pPr>
        <w:pStyle w:val="Heading4"/>
        <w:tabs>
          <w:tab w:val="num" w:pos="5796"/>
        </w:tabs>
        <w:ind w:left="720" w:hanging="720"/>
      </w:pPr>
      <w:r w:rsidRPr="00A7728C">
        <w:t>Bacteroides</w:t>
      </w:r>
      <w:r>
        <w:t xml:space="preserve"> HF183 Gene Concentrations in POTW Effluent Samples</w:t>
      </w:r>
    </w:p>
    <w:p w14:paraId="55A9DECC" w14:textId="34D83FDA" w:rsidR="00E5313D" w:rsidRPr="00C11DCD" w:rsidRDefault="00E5313D" w:rsidP="00E5313D">
      <w:pPr>
        <w:pStyle w:val="BodyText"/>
        <w:spacing w:after="120"/>
      </w:pPr>
      <w:r>
        <w:t>The human marker HF183 gene was LOD in the analyzed POTW effluent samples (</w:t>
      </w:r>
      <w:r w:rsidRPr="00A7728C">
        <w:rPr>
          <w:b/>
        </w:rPr>
        <w:t>Table 3-</w:t>
      </w:r>
      <w:r>
        <w:rPr>
          <w:b/>
        </w:rPr>
        <w:t>7</w:t>
      </w:r>
      <w:r>
        <w:t xml:space="preserve">). In these samples, the concentration </w:t>
      </w:r>
      <w:r w:rsidRPr="00C11DCD">
        <w:t xml:space="preserve">of HF183 gene was too low to be amplified </w:t>
      </w:r>
      <w:r w:rsidR="00242DA5" w:rsidRPr="00C11DCD">
        <w:t xml:space="preserve">and quantified </w:t>
      </w:r>
      <w:r w:rsidRPr="00C11DCD">
        <w:t>using the described ddPCR assay.</w:t>
      </w:r>
    </w:p>
    <w:tbl>
      <w:tblPr>
        <w:tblW w:w="8400" w:type="dxa"/>
        <w:tblLook w:val="04A0" w:firstRow="1" w:lastRow="0" w:firstColumn="1" w:lastColumn="0" w:noHBand="0" w:noVBand="1"/>
      </w:tblPr>
      <w:tblGrid>
        <w:gridCol w:w="1860"/>
        <w:gridCol w:w="1740"/>
        <w:gridCol w:w="960"/>
        <w:gridCol w:w="960"/>
        <w:gridCol w:w="960"/>
        <w:gridCol w:w="960"/>
        <w:gridCol w:w="960"/>
      </w:tblGrid>
      <w:tr w:rsidR="00E5313D" w:rsidRPr="00C11DCD" w14:paraId="3A1E3D71" w14:textId="77777777" w:rsidTr="00CA3B62">
        <w:trPr>
          <w:trHeight w:val="315"/>
        </w:trPr>
        <w:tc>
          <w:tcPr>
            <w:tcW w:w="8400" w:type="dxa"/>
            <w:gridSpan w:val="7"/>
            <w:tcBorders>
              <w:bottom w:val="single" w:sz="8" w:space="0" w:color="000000"/>
            </w:tcBorders>
            <w:vAlign w:val="center"/>
          </w:tcPr>
          <w:p w14:paraId="70D5189D" w14:textId="04EE7D97" w:rsidR="00E5313D" w:rsidRPr="003A34AF" w:rsidRDefault="003A34AF" w:rsidP="003A34AF">
            <w:pPr>
              <w:pStyle w:val="Caption"/>
              <w:keepNext/>
            </w:pPr>
            <w:bookmarkStart w:id="123" w:name="_Toc217391764"/>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7</w:t>
            </w:r>
            <w:r w:rsidR="00FE614C">
              <w:fldChar w:fldCharType="end"/>
            </w:r>
            <w:r>
              <w:t xml:space="preserve">. HF183 </w:t>
            </w:r>
            <w:r w:rsidR="00E5313D" w:rsidRPr="00A94C91">
              <w:t>Results for POTW Effluent Samples</w:t>
            </w:r>
            <w:bookmarkEnd w:id="123"/>
          </w:p>
        </w:tc>
      </w:tr>
      <w:tr w:rsidR="003A34AF" w:rsidRPr="00C11DCD" w14:paraId="1F33E2A3" w14:textId="77777777" w:rsidTr="006358E0">
        <w:trPr>
          <w:trHeight w:val="367"/>
        </w:trPr>
        <w:tc>
          <w:tcPr>
            <w:tcW w:w="1860" w:type="dxa"/>
            <w:vMerge w:val="restart"/>
            <w:tcBorders>
              <w:top w:val="single" w:sz="8" w:space="0" w:color="auto"/>
              <w:left w:val="single" w:sz="8" w:space="0" w:color="000000"/>
              <w:right w:val="single" w:sz="8" w:space="0" w:color="000000"/>
            </w:tcBorders>
            <w:shd w:val="clear" w:color="auto" w:fill="F2F2F2" w:themeFill="background1" w:themeFillShade="F2"/>
            <w:vAlign w:val="center"/>
          </w:tcPr>
          <w:p w14:paraId="572B8252" w14:textId="1335D634" w:rsidR="003A34AF" w:rsidRPr="003A34AF" w:rsidRDefault="003A34AF" w:rsidP="00A94C91">
            <w:pPr>
              <w:spacing w:line="240" w:lineRule="auto"/>
              <w:jc w:val="center"/>
              <w:rPr>
                <w:rFonts w:ascii="Arial" w:hAnsi="Arial" w:cs="Arial"/>
                <w:b/>
                <w:bCs/>
                <w:sz w:val="18"/>
                <w:szCs w:val="18"/>
              </w:rPr>
            </w:pPr>
            <w:r w:rsidRPr="003A34AF">
              <w:rPr>
                <w:rFonts w:ascii="Arial" w:hAnsi="Arial" w:cs="Arial"/>
                <w:b/>
                <w:bCs/>
                <w:sz w:val="18"/>
                <w:szCs w:val="18"/>
              </w:rPr>
              <w:t>Site Type</w:t>
            </w:r>
          </w:p>
        </w:tc>
        <w:tc>
          <w:tcPr>
            <w:tcW w:w="1740" w:type="dxa"/>
            <w:vMerge w:val="restart"/>
            <w:tcBorders>
              <w:top w:val="nil"/>
              <w:left w:val="nil"/>
              <w:right w:val="single" w:sz="8" w:space="0" w:color="000000"/>
            </w:tcBorders>
            <w:shd w:val="clear" w:color="auto" w:fill="F2F2F2" w:themeFill="background1" w:themeFillShade="F2"/>
            <w:vAlign w:val="center"/>
          </w:tcPr>
          <w:p w14:paraId="3B337AA0" w14:textId="54BE0E59" w:rsidR="003A34AF" w:rsidRPr="003A34AF" w:rsidRDefault="003A34AF" w:rsidP="00A94C91">
            <w:pPr>
              <w:spacing w:line="240" w:lineRule="auto"/>
              <w:jc w:val="center"/>
              <w:rPr>
                <w:rFonts w:ascii="Arial" w:hAnsi="Arial" w:cs="Arial"/>
                <w:b/>
                <w:bCs/>
                <w:sz w:val="18"/>
                <w:szCs w:val="18"/>
              </w:rPr>
            </w:pPr>
            <w:r w:rsidRPr="003A34AF">
              <w:rPr>
                <w:rFonts w:ascii="Arial" w:hAnsi="Arial" w:cs="Arial"/>
                <w:b/>
                <w:bCs/>
                <w:sz w:val="18"/>
                <w:szCs w:val="18"/>
              </w:rPr>
              <w:t>Site ID</w:t>
            </w:r>
          </w:p>
        </w:tc>
        <w:tc>
          <w:tcPr>
            <w:tcW w:w="4800" w:type="dxa"/>
            <w:gridSpan w:val="5"/>
            <w:tcBorders>
              <w:top w:val="nil"/>
              <w:left w:val="nil"/>
              <w:bottom w:val="single" w:sz="8" w:space="0" w:color="000000"/>
              <w:right w:val="single" w:sz="8" w:space="0" w:color="000000"/>
            </w:tcBorders>
            <w:shd w:val="clear" w:color="auto" w:fill="F2F2F2" w:themeFill="background1" w:themeFillShade="F2"/>
            <w:noWrap/>
            <w:vAlign w:val="center"/>
          </w:tcPr>
          <w:p w14:paraId="5BB3E3B8" w14:textId="4D95B412" w:rsidR="003A34AF" w:rsidRPr="003A34AF" w:rsidRDefault="003A34AF" w:rsidP="00A94C91">
            <w:pPr>
              <w:spacing w:line="240" w:lineRule="auto"/>
              <w:jc w:val="center"/>
              <w:rPr>
                <w:rFonts w:ascii="Arial" w:hAnsi="Arial" w:cs="Arial"/>
                <w:b/>
                <w:bCs/>
                <w:sz w:val="18"/>
                <w:szCs w:val="18"/>
                <w:vertAlign w:val="superscript"/>
              </w:rPr>
            </w:pPr>
            <w:r>
              <w:rPr>
                <w:rFonts w:ascii="Arial" w:hAnsi="Arial" w:cs="Arial"/>
                <w:b/>
                <w:bCs/>
                <w:sz w:val="18"/>
                <w:szCs w:val="18"/>
              </w:rPr>
              <w:t>HF183 Results (gene copies/100mL)</w:t>
            </w:r>
            <w:r>
              <w:rPr>
                <w:rFonts w:ascii="Arial" w:hAnsi="Arial" w:cs="Arial"/>
                <w:b/>
                <w:bCs/>
                <w:sz w:val="18"/>
                <w:szCs w:val="18"/>
                <w:vertAlign w:val="superscript"/>
              </w:rPr>
              <w:t>1</w:t>
            </w:r>
          </w:p>
        </w:tc>
      </w:tr>
      <w:tr w:rsidR="003A34AF" w:rsidRPr="00C11DCD" w14:paraId="61FB2390" w14:textId="77777777" w:rsidTr="006439A0">
        <w:trPr>
          <w:trHeight w:val="367"/>
        </w:trPr>
        <w:tc>
          <w:tcPr>
            <w:tcW w:w="1860" w:type="dxa"/>
            <w:vMerge/>
            <w:tcBorders>
              <w:left w:val="single" w:sz="8" w:space="0" w:color="000000"/>
              <w:bottom w:val="single" w:sz="8" w:space="0" w:color="000000"/>
              <w:right w:val="single" w:sz="8" w:space="0" w:color="000000"/>
            </w:tcBorders>
            <w:shd w:val="clear" w:color="auto" w:fill="F2F2F2" w:themeFill="background1" w:themeFillShade="F2"/>
            <w:vAlign w:val="center"/>
          </w:tcPr>
          <w:p w14:paraId="3527DC03" w14:textId="0E23EC88" w:rsidR="003A34AF" w:rsidRPr="003A34AF" w:rsidRDefault="003A34AF" w:rsidP="00A94C91">
            <w:pPr>
              <w:spacing w:line="240" w:lineRule="auto"/>
              <w:jc w:val="center"/>
              <w:rPr>
                <w:rFonts w:ascii="Arial" w:hAnsi="Arial" w:cs="Arial"/>
                <w:b/>
                <w:bCs/>
                <w:sz w:val="18"/>
                <w:szCs w:val="18"/>
              </w:rPr>
            </w:pPr>
          </w:p>
        </w:tc>
        <w:tc>
          <w:tcPr>
            <w:tcW w:w="1740" w:type="dxa"/>
            <w:vMerge/>
            <w:tcBorders>
              <w:left w:val="nil"/>
              <w:bottom w:val="single" w:sz="8" w:space="0" w:color="000000"/>
              <w:right w:val="single" w:sz="8" w:space="0" w:color="000000"/>
            </w:tcBorders>
            <w:shd w:val="clear" w:color="auto" w:fill="F2F2F2" w:themeFill="background1" w:themeFillShade="F2"/>
            <w:vAlign w:val="center"/>
          </w:tcPr>
          <w:p w14:paraId="55302F43" w14:textId="2A031EB7" w:rsidR="003A34AF" w:rsidRPr="003A34AF" w:rsidRDefault="003A34AF" w:rsidP="00A94C91">
            <w:pPr>
              <w:spacing w:line="240" w:lineRule="auto"/>
              <w:jc w:val="center"/>
              <w:rPr>
                <w:rFonts w:ascii="Arial" w:hAnsi="Arial" w:cs="Arial"/>
                <w:b/>
                <w:bCs/>
                <w:sz w:val="18"/>
                <w:szCs w:val="18"/>
              </w:rPr>
            </w:pPr>
          </w:p>
        </w:tc>
        <w:tc>
          <w:tcPr>
            <w:tcW w:w="960" w:type="dxa"/>
            <w:tcBorders>
              <w:top w:val="nil"/>
              <w:left w:val="nil"/>
              <w:bottom w:val="single" w:sz="8" w:space="0" w:color="000000"/>
              <w:right w:val="single" w:sz="8" w:space="0" w:color="000000"/>
            </w:tcBorders>
            <w:shd w:val="clear" w:color="auto" w:fill="F2F2F2" w:themeFill="background1" w:themeFillShade="F2"/>
            <w:noWrap/>
            <w:vAlign w:val="center"/>
          </w:tcPr>
          <w:p w14:paraId="349204D1" w14:textId="77777777" w:rsidR="003A34AF" w:rsidRPr="003A34AF" w:rsidRDefault="003A34AF" w:rsidP="00A94C91">
            <w:pPr>
              <w:spacing w:line="240" w:lineRule="auto"/>
              <w:jc w:val="center"/>
              <w:rPr>
                <w:rFonts w:ascii="Arial" w:hAnsi="Arial" w:cs="Arial"/>
                <w:b/>
                <w:bCs/>
                <w:sz w:val="18"/>
                <w:szCs w:val="18"/>
              </w:rPr>
            </w:pPr>
            <w:r w:rsidRPr="003A34AF">
              <w:rPr>
                <w:rFonts w:ascii="Arial" w:hAnsi="Arial" w:cs="Arial"/>
                <w:b/>
                <w:bCs/>
                <w:sz w:val="18"/>
                <w:szCs w:val="18"/>
              </w:rPr>
              <w:t>Week1</w:t>
            </w:r>
          </w:p>
        </w:tc>
        <w:tc>
          <w:tcPr>
            <w:tcW w:w="960" w:type="dxa"/>
            <w:tcBorders>
              <w:top w:val="nil"/>
              <w:left w:val="nil"/>
              <w:bottom w:val="single" w:sz="8" w:space="0" w:color="000000"/>
              <w:right w:val="single" w:sz="8" w:space="0" w:color="000000"/>
            </w:tcBorders>
            <w:shd w:val="clear" w:color="auto" w:fill="F2F2F2" w:themeFill="background1" w:themeFillShade="F2"/>
            <w:noWrap/>
            <w:vAlign w:val="center"/>
          </w:tcPr>
          <w:p w14:paraId="60CF99D8" w14:textId="77777777" w:rsidR="003A34AF" w:rsidRPr="003A34AF" w:rsidRDefault="003A34AF" w:rsidP="00A94C91">
            <w:pPr>
              <w:spacing w:line="240" w:lineRule="auto"/>
              <w:jc w:val="center"/>
              <w:rPr>
                <w:rFonts w:ascii="Arial" w:hAnsi="Arial" w:cs="Arial"/>
                <w:b/>
                <w:bCs/>
                <w:sz w:val="18"/>
                <w:szCs w:val="18"/>
              </w:rPr>
            </w:pPr>
            <w:r w:rsidRPr="003A34AF">
              <w:rPr>
                <w:rFonts w:ascii="Arial" w:hAnsi="Arial" w:cs="Arial"/>
                <w:b/>
                <w:bCs/>
                <w:sz w:val="18"/>
                <w:szCs w:val="18"/>
              </w:rPr>
              <w:t>Week 2</w:t>
            </w:r>
          </w:p>
        </w:tc>
        <w:tc>
          <w:tcPr>
            <w:tcW w:w="960" w:type="dxa"/>
            <w:tcBorders>
              <w:top w:val="nil"/>
              <w:left w:val="nil"/>
              <w:bottom w:val="single" w:sz="8" w:space="0" w:color="000000"/>
              <w:right w:val="single" w:sz="8" w:space="0" w:color="000000"/>
            </w:tcBorders>
            <w:shd w:val="clear" w:color="auto" w:fill="F2F2F2" w:themeFill="background1" w:themeFillShade="F2"/>
            <w:noWrap/>
            <w:vAlign w:val="center"/>
          </w:tcPr>
          <w:p w14:paraId="174DDE18" w14:textId="77777777" w:rsidR="003A34AF" w:rsidRPr="003A34AF" w:rsidRDefault="003A34AF" w:rsidP="00A94C91">
            <w:pPr>
              <w:spacing w:line="240" w:lineRule="auto"/>
              <w:jc w:val="center"/>
              <w:rPr>
                <w:rFonts w:ascii="Arial" w:hAnsi="Arial" w:cs="Arial"/>
                <w:b/>
                <w:bCs/>
                <w:sz w:val="18"/>
                <w:szCs w:val="18"/>
              </w:rPr>
            </w:pPr>
            <w:r w:rsidRPr="003A34AF">
              <w:rPr>
                <w:rFonts w:ascii="Arial" w:hAnsi="Arial" w:cs="Arial"/>
                <w:b/>
                <w:bCs/>
                <w:sz w:val="18"/>
                <w:szCs w:val="18"/>
              </w:rPr>
              <w:t>Week 3</w:t>
            </w:r>
          </w:p>
        </w:tc>
        <w:tc>
          <w:tcPr>
            <w:tcW w:w="960" w:type="dxa"/>
            <w:tcBorders>
              <w:top w:val="single" w:sz="8" w:space="0" w:color="000000"/>
              <w:left w:val="nil"/>
              <w:bottom w:val="single" w:sz="8" w:space="0" w:color="000000"/>
              <w:right w:val="single" w:sz="8" w:space="0" w:color="000000"/>
            </w:tcBorders>
            <w:shd w:val="clear" w:color="auto" w:fill="F2F2F2" w:themeFill="background1" w:themeFillShade="F2"/>
            <w:noWrap/>
            <w:vAlign w:val="center"/>
          </w:tcPr>
          <w:p w14:paraId="214E0467" w14:textId="77777777" w:rsidR="003A34AF" w:rsidRPr="003A34AF" w:rsidRDefault="003A34AF" w:rsidP="00A94C91">
            <w:pPr>
              <w:spacing w:line="240" w:lineRule="auto"/>
              <w:jc w:val="center"/>
              <w:rPr>
                <w:rFonts w:ascii="Arial" w:hAnsi="Arial" w:cs="Arial"/>
                <w:b/>
                <w:bCs/>
                <w:sz w:val="18"/>
                <w:szCs w:val="18"/>
              </w:rPr>
            </w:pPr>
            <w:r w:rsidRPr="003A34AF">
              <w:rPr>
                <w:rFonts w:ascii="Arial" w:hAnsi="Arial" w:cs="Arial"/>
                <w:b/>
                <w:bCs/>
                <w:sz w:val="18"/>
                <w:szCs w:val="18"/>
              </w:rPr>
              <w:t>Week 4</w:t>
            </w:r>
          </w:p>
        </w:tc>
        <w:tc>
          <w:tcPr>
            <w:tcW w:w="960" w:type="dxa"/>
            <w:tcBorders>
              <w:top w:val="single" w:sz="8" w:space="0" w:color="000000"/>
              <w:left w:val="nil"/>
              <w:bottom w:val="single" w:sz="8" w:space="0" w:color="000000"/>
              <w:right w:val="single" w:sz="8" w:space="0" w:color="000000"/>
            </w:tcBorders>
            <w:shd w:val="clear" w:color="auto" w:fill="F2F2F2" w:themeFill="background1" w:themeFillShade="F2"/>
            <w:noWrap/>
            <w:vAlign w:val="center"/>
          </w:tcPr>
          <w:p w14:paraId="490BBA69" w14:textId="77777777" w:rsidR="003A34AF" w:rsidRPr="003A34AF" w:rsidRDefault="003A34AF" w:rsidP="00A94C91">
            <w:pPr>
              <w:spacing w:line="240" w:lineRule="auto"/>
              <w:jc w:val="center"/>
              <w:rPr>
                <w:rFonts w:ascii="Arial" w:hAnsi="Arial" w:cs="Arial"/>
                <w:b/>
                <w:bCs/>
                <w:sz w:val="18"/>
                <w:szCs w:val="18"/>
              </w:rPr>
            </w:pPr>
            <w:r w:rsidRPr="003A34AF">
              <w:rPr>
                <w:rFonts w:ascii="Arial" w:hAnsi="Arial" w:cs="Arial"/>
                <w:b/>
                <w:bCs/>
                <w:sz w:val="18"/>
                <w:szCs w:val="18"/>
              </w:rPr>
              <w:t>Week 5</w:t>
            </w:r>
          </w:p>
        </w:tc>
      </w:tr>
      <w:tr w:rsidR="00E5313D" w:rsidRPr="00C11DCD" w14:paraId="5B53BA0E" w14:textId="77777777" w:rsidTr="00A94C91">
        <w:trPr>
          <w:trHeight w:val="315"/>
        </w:trPr>
        <w:tc>
          <w:tcPr>
            <w:tcW w:w="1860" w:type="dxa"/>
            <w:vMerge w:val="restart"/>
            <w:tcBorders>
              <w:top w:val="single" w:sz="8" w:space="0" w:color="auto"/>
              <w:left w:val="single" w:sz="8" w:space="0" w:color="000000"/>
              <w:bottom w:val="single" w:sz="8" w:space="0" w:color="000000"/>
              <w:right w:val="single" w:sz="8" w:space="0" w:color="000000"/>
            </w:tcBorders>
            <w:vAlign w:val="center"/>
            <w:hideMark/>
          </w:tcPr>
          <w:p w14:paraId="7A9027D8" w14:textId="77777777" w:rsidR="00E5313D" w:rsidRPr="003A34AF" w:rsidRDefault="00E5313D" w:rsidP="00A94C91">
            <w:pPr>
              <w:spacing w:line="240" w:lineRule="auto"/>
              <w:jc w:val="center"/>
              <w:rPr>
                <w:rFonts w:ascii="Arial" w:hAnsi="Arial" w:cs="Arial"/>
                <w:b/>
                <w:bCs/>
                <w:color w:val="000000"/>
                <w:sz w:val="18"/>
                <w:szCs w:val="18"/>
              </w:rPr>
            </w:pPr>
            <w:r w:rsidRPr="003A34AF">
              <w:rPr>
                <w:rFonts w:ascii="Arial" w:hAnsi="Arial" w:cs="Arial"/>
                <w:b/>
                <w:bCs/>
                <w:color w:val="000000"/>
                <w:sz w:val="18"/>
                <w:szCs w:val="18"/>
              </w:rPr>
              <w:t>POTW Effluent</w:t>
            </w:r>
          </w:p>
        </w:tc>
        <w:tc>
          <w:tcPr>
            <w:tcW w:w="1740" w:type="dxa"/>
            <w:tcBorders>
              <w:top w:val="nil"/>
              <w:left w:val="nil"/>
              <w:bottom w:val="single" w:sz="8" w:space="0" w:color="000000"/>
              <w:right w:val="single" w:sz="8" w:space="0" w:color="000000"/>
            </w:tcBorders>
            <w:vAlign w:val="center"/>
          </w:tcPr>
          <w:p w14:paraId="07559630"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Rialto WWTP</w:t>
            </w:r>
          </w:p>
        </w:tc>
        <w:tc>
          <w:tcPr>
            <w:tcW w:w="960" w:type="dxa"/>
            <w:tcBorders>
              <w:top w:val="nil"/>
              <w:left w:val="nil"/>
              <w:bottom w:val="single" w:sz="8" w:space="0" w:color="000000"/>
              <w:right w:val="single" w:sz="8" w:space="0" w:color="000000"/>
            </w:tcBorders>
            <w:noWrap/>
            <w:vAlign w:val="center"/>
          </w:tcPr>
          <w:p w14:paraId="796F67B5"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41EA7467"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5A8071C0"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single" w:sz="8" w:space="0" w:color="000000"/>
              <w:left w:val="nil"/>
              <w:bottom w:val="single" w:sz="8" w:space="0" w:color="000000"/>
              <w:right w:val="single" w:sz="8" w:space="0" w:color="000000"/>
            </w:tcBorders>
            <w:noWrap/>
            <w:vAlign w:val="center"/>
          </w:tcPr>
          <w:p w14:paraId="0C98C6E4"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single" w:sz="8" w:space="0" w:color="000000"/>
              <w:left w:val="nil"/>
              <w:bottom w:val="single" w:sz="8" w:space="0" w:color="000000"/>
              <w:right w:val="single" w:sz="8" w:space="0" w:color="000000"/>
            </w:tcBorders>
            <w:noWrap/>
            <w:vAlign w:val="center"/>
          </w:tcPr>
          <w:p w14:paraId="5C12E122"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r>
      <w:tr w:rsidR="00E5313D" w:rsidRPr="00C11DCD" w14:paraId="23C54A4C" w14:textId="77777777" w:rsidTr="00A94C91">
        <w:trPr>
          <w:trHeight w:val="315"/>
        </w:trPr>
        <w:tc>
          <w:tcPr>
            <w:tcW w:w="1860" w:type="dxa"/>
            <w:vMerge/>
            <w:tcBorders>
              <w:top w:val="single" w:sz="8" w:space="0" w:color="auto"/>
              <w:left w:val="single" w:sz="8" w:space="0" w:color="000000"/>
              <w:bottom w:val="single" w:sz="8" w:space="0" w:color="000000"/>
              <w:right w:val="single" w:sz="8" w:space="0" w:color="000000"/>
            </w:tcBorders>
            <w:vAlign w:val="center"/>
            <w:hideMark/>
          </w:tcPr>
          <w:p w14:paraId="361589B9" w14:textId="77777777" w:rsidR="00E5313D" w:rsidRPr="003A34AF" w:rsidRDefault="00E5313D" w:rsidP="00A94C91">
            <w:pPr>
              <w:spacing w:line="240" w:lineRule="auto"/>
              <w:jc w:val="center"/>
              <w:rPr>
                <w:rFonts w:ascii="Arial" w:hAnsi="Arial" w:cs="Arial"/>
                <w:b/>
                <w:bCs/>
                <w:color w:val="000000"/>
                <w:sz w:val="18"/>
                <w:szCs w:val="18"/>
              </w:rPr>
            </w:pPr>
          </w:p>
        </w:tc>
        <w:tc>
          <w:tcPr>
            <w:tcW w:w="1740" w:type="dxa"/>
            <w:tcBorders>
              <w:top w:val="nil"/>
              <w:left w:val="nil"/>
              <w:bottom w:val="single" w:sz="8" w:space="0" w:color="000000"/>
              <w:right w:val="single" w:sz="8" w:space="0" w:color="000000"/>
            </w:tcBorders>
            <w:vAlign w:val="center"/>
          </w:tcPr>
          <w:p w14:paraId="7351417D"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RIX</w:t>
            </w:r>
          </w:p>
        </w:tc>
        <w:tc>
          <w:tcPr>
            <w:tcW w:w="960" w:type="dxa"/>
            <w:tcBorders>
              <w:top w:val="nil"/>
              <w:left w:val="nil"/>
              <w:bottom w:val="single" w:sz="8" w:space="0" w:color="000000"/>
              <w:right w:val="single" w:sz="8" w:space="0" w:color="000000"/>
            </w:tcBorders>
            <w:noWrap/>
            <w:vAlign w:val="center"/>
          </w:tcPr>
          <w:p w14:paraId="0F4A5CF6"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32DD0948" w14:textId="1ADF0B52"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Not Tested</w:t>
            </w:r>
          </w:p>
        </w:tc>
        <w:tc>
          <w:tcPr>
            <w:tcW w:w="960" w:type="dxa"/>
            <w:tcBorders>
              <w:top w:val="nil"/>
              <w:left w:val="nil"/>
              <w:bottom w:val="single" w:sz="8" w:space="0" w:color="000000"/>
              <w:right w:val="single" w:sz="8" w:space="0" w:color="000000"/>
            </w:tcBorders>
            <w:noWrap/>
            <w:vAlign w:val="center"/>
          </w:tcPr>
          <w:p w14:paraId="64B9E6AC"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4AD33451"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238AED7B"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r>
      <w:tr w:rsidR="00E5313D" w:rsidRPr="00C11DCD" w14:paraId="25CF931C" w14:textId="77777777" w:rsidTr="00A94C91">
        <w:trPr>
          <w:trHeight w:val="315"/>
        </w:trPr>
        <w:tc>
          <w:tcPr>
            <w:tcW w:w="1860" w:type="dxa"/>
            <w:vMerge/>
            <w:tcBorders>
              <w:top w:val="single" w:sz="8" w:space="0" w:color="auto"/>
              <w:left w:val="single" w:sz="8" w:space="0" w:color="000000"/>
              <w:bottom w:val="single" w:sz="8" w:space="0" w:color="000000"/>
              <w:right w:val="single" w:sz="8" w:space="0" w:color="000000"/>
            </w:tcBorders>
            <w:vAlign w:val="center"/>
            <w:hideMark/>
          </w:tcPr>
          <w:p w14:paraId="62C00B71" w14:textId="77777777" w:rsidR="00E5313D" w:rsidRPr="003A34AF" w:rsidRDefault="00E5313D" w:rsidP="00A94C91">
            <w:pPr>
              <w:spacing w:line="240" w:lineRule="auto"/>
              <w:jc w:val="center"/>
              <w:rPr>
                <w:rFonts w:ascii="Arial" w:hAnsi="Arial" w:cs="Arial"/>
                <w:b/>
                <w:bCs/>
                <w:color w:val="000000"/>
                <w:sz w:val="18"/>
                <w:szCs w:val="18"/>
              </w:rPr>
            </w:pPr>
          </w:p>
        </w:tc>
        <w:tc>
          <w:tcPr>
            <w:tcW w:w="1740" w:type="dxa"/>
            <w:tcBorders>
              <w:top w:val="nil"/>
              <w:left w:val="nil"/>
              <w:bottom w:val="single" w:sz="8" w:space="0" w:color="000000"/>
              <w:right w:val="single" w:sz="8" w:space="0" w:color="000000"/>
            </w:tcBorders>
            <w:vAlign w:val="center"/>
          </w:tcPr>
          <w:p w14:paraId="7C83D2FA"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Riverside WQCP</w:t>
            </w:r>
          </w:p>
        </w:tc>
        <w:tc>
          <w:tcPr>
            <w:tcW w:w="960" w:type="dxa"/>
            <w:tcBorders>
              <w:top w:val="nil"/>
              <w:left w:val="nil"/>
              <w:bottom w:val="single" w:sz="8" w:space="0" w:color="000000"/>
              <w:right w:val="single" w:sz="8" w:space="0" w:color="000000"/>
            </w:tcBorders>
            <w:noWrap/>
            <w:vAlign w:val="center"/>
          </w:tcPr>
          <w:p w14:paraId="6841B45C"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3BB10ADC" w14:textId="062DD1E5"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Not Tested</w:t>
            </w:r>
          </w:p>
        </w:tc>
        <w:tc>
          <w:tcPr>
            <w:tcW w:w="960" w:type="dxa"/>
            <w:tcBorders>
              <w:top w:val="nil"/>
              <w:left w:val="nil"/>
              <w:bottom w:val="single" w:sz="8" w:space="0" w:color="000000"/>
              <w:right w:val="single" w:sz="8" w:space="0" w:color="000000"/>
            </w:tcBorders>
            <w:noWrap/>
            <w:vAlign w:val="center"/>
          </w:tcPr>
          <w:p w14:paraId="11FA60CF"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4D60923B"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0CD6C1A5"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r>
      <w:tr w:rsidR="00E5313D" w:rsidRPr="00C11DCD" w14:paraId="70A63A43" w14:textId="77777777" w:rsidTr="00A94C91">
        <w:trPr>
          <w:trHeight w:val="315"/>
        </w:trPr>
        <w:tc>
          <w:tcPr>
            <w:tcW w:w="1860" w:type="dxa"/>
            <w:vMerge/>
            <w:tcBorders>
              <w:top w:val="single" w:sz="8" w:space="0" w:color="auto"/>
              <w:left w:val="single" w:sz="8" w:space="0" w:color="000000"/>
              <w:bottom w:val="single" w:sz="8" w:space="0" w:color="000000"/>
              <w:right w:val="single" w:sz="8" w:space="0" w:color="000000"/>
            </w:tcBorders>
            <w:vAlign w:val="center"/>
            <w:hideMark/>
          </w:tcPr>
          <w:p w14:paraId="274B6D8B" w14:textId="77777777" w:rsidR="00E5313D" w:rsidRPr="003A34AF" w:rsidRDefault="00E5313D" w:rsidP="00A94C91">
            <w:pPr>
              <w:spacing w:line="240" w:lineRule="auto"/>
              <w:jc w:val="center"/>
              <w:rPr>
                <w:rFonts w:ascii="Arial" w:hAnsi="Arial" w:cs="Arial"/>
                <w:b/>
                <w:bCs/>
                <w:color w:val="000000"/>
                <w:sz w:val="18"/>
                <w:szCs w:val="18"/>
              </w:rPr>
            </w:pPr>
          </w:p>
        </w:tc>
        <w:tc>
          <w:tcPr>
            <w:tcW w:w="1740" w:type="dxa"/>
            <w:tcBorders>
              <w:top w:val="nil"/>
              <w:left w:val="nil"/>
              <w:bottom w:val="single" w:sz="8" w:space="0" w:color="000000"/>
              <w:right w:val="single" w:sz="8" w:space="0" w:color="000000"/>
            </w:tcBorders>
            <w:vAlign w:val="center"/>
          </w:tcPr>
          <w:p w14:paraId="13B63535"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RP1</w:t>
            </w:r>
          </w:p>
        </w:tc>
        <w:tc>
          <w:tcPr>
            <w:tcW w:w="960" w:type="dxa"/>
            <w:tcBorders>
              <w:top w:val="nil"/>
              <w:left w:val="nil"/>
              <w:bottom w:val="single" w:sz="8" w:space="0" w:color="000000"/>
              <w:right w:val="single" w:sz="8" w:space="0" w:color="000000"/>
            </w:tcBorders>
            <w:noWrap/>
            <w:vAlign w:val="center"/>
          </w:tcPr>
          <w:p w14:paraId="5023DF36" w14:textId="52D4C446" w:rsidR="00E5313D" w:rsidRPr="003A34AF" w:rsidRDefault="00E5313D" w:rsidP="00A94C91">
            <w:pPr>
              <w:spacing w:line="240" w:lineRule="auto"/>
              <w:jc w:val="center"/>
              <w:rPr>
                <w:rFonts w:ascii="Arial" w:hAnsi="Arial" w:cs="Arial"/>
                <w:color w:val="000000"/>
                <w:sz w:val="18"/>
                <w:szCs w:val="18"/>
              </w:rPr>
            </w:pPr>
            <w:proofErr w:type="gramStart"/>
            <w:r w:rsidRPr="003A34AF">
              <w:rPr>
                <w:rFonts w:ascii="Arial" w:hAnsi="Arial" w:cs="Arial"/>
                <w:color w:val="000000"/>
                <w:sz w:val="18"/>
                <w:szCs w:val="18"/>
              </w:rPr>
              <w:t>N</w:t>
            </w:r>
            <w:r w:rsidR="00C11DCD" w:rsidRPr="003A34AF">
              <w:rPr>
                <w:rFonts w:ascii="Arial" w:hAnsi="Arial" w:cs="Arial"/>
                <w:color w:val="000000"/>
                <w:sz w:val="18"/>
                <w:szCs w:val="18"/>
              </w:rPr>
              <w:t>ot-Detected</w:t>
            </w:r>
            <w:proofErr w:type="gramEnd"/>
          </w:p>
        </w:tc>
        <w:tc>
          <w:tcPr>
            <w:tcW w:w="960" w:type="dxa"/>
            <w:tcBorders>
              <w:top w:val="nil"/>
              <w:left w:val="nil"/>
              <w:bottom w:val="single" w:sz="8" w:space="0" w:color="000000"/>
              <w:right w:val="single" w:sz="8" w:space="0" w:color="000000"/>
            </w:tcBorders>
            <w:noWrap/>
            <w:vAlign w:val="center"/>
          </w:tcPr>
          <w:p w14:paraId="0B36F3DC"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5635FF36"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708C8E9C"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c>
          <w:tcPr>
            <w:tcW w:w="960" w:type="dxa"/>
            <w:tcBorders>
              <w:top w:val="nil"/>
              <w:left w:val="nil"/>
              <w:bottom w:val="single" w:sz="8" w:space="0" w:color="000000"/>
              <w:right w:val="single" w:sz="8" w:space="0" w:color="000000"/>
            </w:tcBorders>
            <w:noWrap/>
            <w:vAlign w:val="center"/>
          </w:tcPr>
          <w:p w14:paraId="5B47E843" w14:textId="77777777" w:rsidR="00E5313D" w:rsidRPr="003A34AF" w:rsidRDefault="00E5313D" w:rsidP="00A94C91">
            <w:pPr>
              <w:spacing w:line="240" w:lineRule="auto"/>
              <w:jc w:val="center"/>
              <w:rPr>
                <w:rFonts w:ascii="Arial" w:hAnsi="Arial" w:cs="Arial"/>
                <w:color w:val="000000"/>
                <w:sz w:val="18"/>
                <w:szCs w:val="18"/>
              </w:rPr>
            </w:pPr>
            <w:r w:rsidRPr="003A34AF">
              <w:rPr>
                <w:rFonts w:ascii="Arial" w:hAnsi="Arial" w:cs="Arial"/>
                <w:color w:val="000000"/>
                <w:sz w:val="18"/>
                <w:szCs w:val="18"/>
              </w:rPr>
              <w:t>LOD</w:t>
            </w:r>
          </w:p>
        </w:tc>
      </w:tr>
    </w:tbl>
    <w:p w14:paraId="7D99AAF5" w14:textId="032A0849" w:rsidR="00E90F44" w:rsidRDefault="003A34AF" w:rsidP="003A34AF">
      <w:pPr>
        <w:pStyle w:val="BodyText"/>
        <w:spacing w:after="0"/>
        <w:rPr>
          <w:rFonts w:ascii="Arial" w:hAnsi="Arial" w:cs="Arial"/>
          <w:sz w:val="16"/>
          <w:szCs w:val="16"/>
        </w:rPr>
      </w:pPr>
      <w:r w:rsidRPr="003A34AF">
        <w:rPr>
          <w:rFonts w:ascii="Arial" w:hAnsi="Arial" w:cs="Arial"/>
          <w:sz w:val="16"/>
          <w:szCs w:val="16"/>
          <w:vertAlign w:val="superscript"/>
        </w:rPr>
        <w:t>1</w:t>
      </w:r>
      <w:r w:rsidR="00E5313D" w:rsidRPr="003A34AF">
        <w:rPr>
          <w:rFonts w:ascii="Arial" w:hAnsi="Arial" w:cs="Arial"/>
          <w:sz w:val="16"/>
          <w:szCs w:val="16"/>
        </w:rPr>
        <w:t>Week 1=8/4-8/7/2025; Week 2=8/11-8/14/2025; Week 3=8/18/-8/21/2025; Week 4=8/25/-8/28/2025; Week 5=9/02/-9/04/2025</w:t>
      </w:r>
    </w:p>
    <w:p w14:paraId="0355E59C" w14:textId="25784817" w:rsidR="003A34AF" w:rsidRPr="003A34AF" w:rsidRDefault="003A34AF" w:rsidP="009B59A3">
      <w:pPr>
        <w:pStyle w:val="BodyText"/>
        <w:spacing w:after="120"/>
        <w:rPr>
          <w:rFonts w:ascii="Arial" w:hAnsi="Arial" w:cs="Arial"/>
          <w:sz w:val="16"/>
          <w:szCs w:val="16"/>
        </w:rPr>
      </w:pPr>
      <w:r>
        <w:rPr>
          <w:rFonts w:ascii="Arial" w:hAnsi="Arial" w:cs="Arial"/>
          <w:sz w:val="16"/>
          <w:szCs w:val="16"/>
        </w:rPr>
        <w:t>LOD = limit of detection, approximately 50 gene copies/100mL</w:t>
      </w:r>
    </w:p>
    <w:p w14:paraId="59EAAE5C" w14:textId="4E6E6EB3" w:rsidR="00E5313D" w:rsidRDefault="00E5313D" w:rsidP="00E5313D">
      <w:pPr>
        <w:pStyle w:val="Heading4"/>
      </w:pPr>
      <w:r w:rsidRPr="00DA55D5">
        <w:t xml:space="preserve">Bacteroides </w:t>
      </w:r>
      <w:r w:rsidRPr="00A22F90">
        <w:t xml:space="preserve">HF183 Gene Concentrations </w:t>
      </w:r>
      <w:r>
        <w:t>at Watershed-wide and Mainstem Santa Ana River Sites</w:t>
      </w:r>
    </w:p>
    <w:p w14:paraId="1B2FDF68" w14:textId="301412B8" w:rsidR="00E5313D" w:rsidRDefault="00E5313D" w:rsidP="00E5313D">
      <w:pPr>
        <w:pStyle w:val="BodyText"/>
        <w:rPr>
          <w:b/>
        </w:rPr>
      </w:pPr>
      <w:r>
        <w:t xml:space="preserve">The human marker at the watershed wide compliance sites </w:t>
      </w:r>
      <w:r w:rsidR="00E90F44">
        <w:t>and mainstem</w:t>
      </w:r>
      <w:r>
        <w:t xml:space="preserve"> Santa Ana River sites </w:t>
      </w:r>
      <w:proofErr w:type="gramStart"/>
      <w:r>
        <w:t>was</w:t>
      </w:r>
      <w:proofErr w:type="gramEnd"/>
      <w:r>
        <w:t xml:space="preserve"> detected at a frequency of </w:t>
      </w:r>
      <w:r w:rsidR="00E90F44">
        <w:t>approximately 40</w:t>
      </w:r>
      <w:r>
        <w:t xml:space="preserve">% with a range of 112-129,564 </w:t>
      </w:r>
      <w:proofErr w:type="spellStart"/>
      <w:r>
        <w:t>gc</w:t>
      </w:r>
      <w:proofErr w:type="spellEnd"/>
      <w:r>
        <w:t xml:space="preserve">/100ml of HF183, with a mean concentration of 13,523.1 </w:t>
      </w:r>
      <w:proofErr w:type="spellStart"/>
      <w:r>
        <w:t>gc</w:t>
      </w:r>
      <w:proofErr w:type="spellEnd"/>
      <w:r>
        <w:t xml:space="preserve">/100mL </w:t>
      </w:r>
      <w:r w:rsidRPr="00825D2E">
        <w:t>(</w:t>
      </w:r>
      <w:r w:rsidRPr="00825D2E">
        <w:rPr>
          <w:b/>
        </w:rPr>
        <w:t>Table 3-</w:t>
      </w:r>
      <w:r>
        <w:rPr>
          <w:b/>
        </w:rPr>
        <w:t>8</w:t>
      </w:r>
      <w:r w:rsidRPr="00825D2E">
        <w:rPr>
          <w:b/>
        </w:rPr>
        <w:t>)</w:t>
      </w:r>
      <w:r w:rsidRPr="001B40EA">
        <w:t>.</w:t>
      </w:r>
      <w:r>
        <w:rPr>
          <w:rStyle w:val="FootnoteReference"/>
        </w:rPr>
        <w:footnoteReference w:id="23"/>
      </w:r>
      <w:r w:rsidRPr="00825D2E">
        <w:rPr>
          <w:b/>
        </w:rPr>
        <w:t xml:space="preserve"> </w:t>
      </w:r>
    </w:p>
    <w:p w14:paraId="169A6669" w14:textId="6D3C40A2" w:rsidR="00E5313D" w:rsidRDefault="00E5313D" w:rsidP="00E5313D">
      <w:pPr>
        <w:pStyle w:val="BodyText"/>
        <w:rPr>
          <w:b/>
        </w:rPr>
      </w:pPr>
      <w:r w:rsidRPr="004038C3">
        <w:t>Across the watershed</w:t>
      </w:r>
      <w:r>
        <w:t xml:space="preserve"> </w:t>
      </w:r>
      <w:r w:rsidRPr="004038C3">
        <w:t xml:space="preserve">wide compliance sites HF183 was detected at a frequency of approximately 45%, with concentrations ranging from 112 to 129,564 </w:t>
      </w:r>
      <w:proofErr w:type="spellStart"/>
      <w:r w:rsidRPr="004038C3">
        <w:t>gc</w:t>
      </w:r>
      <w:proofErr w:type="spellEnd"/>
      <w:r w:rsidRPr="004038C3">
        <w:t xml:space="preserve">/100mL. </w:t>
      </w:r>
      <w:r>
        <w:t>The d</w:t>
      </w:r>
      <w:r w:rsidRPr="004038C3">
        <w:t>etection patterns varied by site</w:t>
      </w:r>
      <w:r>
        <w:t xml:space="preserve">, </w:t>
      </w:r>
      <w:r w:rsidRPr="00EA1D94">
        <w:t>Chino Creek at Central Ave (WW-C7) yielded no detections throughout the 5-week sampling period</w:t>
      </w:r>
      <w:r>
        <w:t xml:space="preserve">; </w:t>
      </w:r>
      <w:r w:rsidRPr="00EA1D94">
        <w:t xml:space="preserve">Mill-Cucamonga </w:t>
      </w:r>
      <w:proofErr w:type="spellStart"/>
      <w:r w:rsidRPr="00EA1D94">
        <w:t>Crk</w:t>
      </w:r>
      <w:proofErr w:type="spellEnd"/>
      <w:r w:rsidRPr="00EA1D94">
        <w:t xml:space="preserve"> (WW-M6) yielded a single detection</w:t>
      </w:r>
      <w:r>
        <w:t xml:space="preserve"> (</w:t>
      </w:r>
      <w:r w:rsidRPr="00EA1D94">
        <w:t xml:space="preserve">approximately 178gc/100mL </w:t>
      </w:r>
      <w:r>
        <w:t xml:space="preserve">at </w:t>
      </w:r>
      <w:r w:rsidRPr="00EA1D94">
        <w:t>Week 5</w:t>
      </w:r>
      <w:r>
        <w:t xml:space="preserve">); and </w:t>
      </w:r>
      <w:r w:rsidRPr="004038C3">
        <w:t xml:space="preserve">SAR@MWD Crossing </w:t>
      </w:r>
      <w:r>
        <w:t>(WW-</w:t>
      </w:r>
      <w:r w:rsidRPr="004038C3">
        <w:t>S1</w:t>
      </w:r>
      <w:r>
        <w:t>)</w:t>
      </w:r>
      <w:r w:rsidRPr="004038C3">
        <w:t xml:space="preserve"> and SAR@ Pedley Ave (WW-S4) showed consistent detections</w:t>
      </w:r>
      <w:r>
        <w:t xml:space="preserve"> following Week 1. </w:t>
      </w:r>
      <w:r w:rsidRPr="004038C3">
        <w:t>(</w:t>
      </w:r>
      <w:r w:rsidRPr="00CA3B62">
        <w:rPr>
          <w:b/>
        </w:rPr>
        <w:t>Table 3-8).</w:t>
      </w:r>
    </w:p>
    <w:p w14:paraId="08ED3D9A" w14:textId="2D3C931E" w:rsidR="007838A1" w:rsidRDefault="00E5313D" w:rsidP="006E176B">
      <w:pPr>
        <w:pStyle w:val="BodyText"/>
      </w:pPr>
      <w:r>
        <w:lastRenderedPageBreak/>
        <w:t>N</w:t>
      </w:r>
      <w:r w:rsidRPr="004038C3">
        <w:t>otably</w:t>
      </w:r>
      <w:r>
        <w:t>,</w:t>
      </w:r>
      <w:r w:rsidRPr="004038C3">
        <w:t xml:space="preserve"> </w:t>
      </w:r>
      <w:r>
        <w:t xml:space="preserve">at Santa Ana River Reach 3, two </w:t>
      </w:r>
      <w:r w:rsidRPr="00540001">
        <w:t xml:space="preserve">distinctly elevated detections </w:t>
      </w:r>
      <w:r>
        <w:t xml:space="preserve">of HF183 </w:t>
      </w:r>
      <w:r w:rsidRPr="00540001">
        <w:t xml:space="preserve">occurred at </w:t>
      </w:r>
      <w:proofErr w:type="gramStart"/>
      <w:r>
        <w:t>SAR@</w:t>
      </w:r>
      <w:proofErr w:type="gramEnd"/>
      <w:r w:rsidRPr="00540001">
        <w:t xml:space="preserve"> Pedley Ave WW-S4 (</w:t>
      </w:r>
      <w:r>
        <w:t>approximately 129,564</w:t>
      </w:r>
      <w:r w:rsidRPr="00540001">
        <w:t xml:space="preserve"> </w:t>
      </w:r>
      <w:proofErr w:type="spellStart"/>
      <w:r w:rsidRPr="00540001">
        <w:t>gc</w:t>
      </w:r>
      <w:proofErr w:type="spellEnd"/>
      <w:r w:rsidRPr="00540001">
        <w:t>/100mL</w:t>
      </w:r>
      <w:r>
        <w:t xml:space="preserve"> at Week 4</w:t>
      </w:r>
      <w:r w:rsidRPr="00540001">
        <w:t>)</w:t>
      </w:r>
      <w:r>
        <w:t>,</w:t>
      </w:r>
      <w:r w:rsidRPr="00540001">
        <w:t xml:space="preserve"> and </w:t>
      </w:r>
      <w:r>
        <w:t xml:space="preserve">at </w:t>
      </w:r>
      <w:proofErr w:type="gramStart"/>
      <w:r w:rsidRPr="00540001">
        <w:t>SAR@</w:t>
      </w:r>
      <w:proofErr w:type="gramEnd"/>
      <w:r w:rsidR="0054343F">
        <w:t xml:space="preserve"> </w:t>
      </w:r>
      <w:r w:rsidRPr="00540001">
        <w:t>MWD Crossing WW-S1 (</w:t>
      </w:r>
      <w:r>
        <w:t xml:space="preserve">approximately </w:t>
      </w:r>
      <w:r w:rsidRPr="00540001">
        <w:t>30,</w:t>
      </w:r>
      <w:r>
        <w:t>271</w:t>
      </w:r>
      <w:r w:rsidRPr="00540001">
        <w:t xml:space="preserve"> </w:t>
      </w:r>
      <w:proofErr w:type="spellStart"/>
      <w:r w:rsidRPr="00540001">
        <w:t>gc</w:t>
      </w:r>
      <w:proofErr w:type="spellEnd"/>
      <w:r w:rsidRPr="00540001">
        <w:t>/100mL</w:t>
      </w:r>
      <w:r>
        <w:t xml:space="preserve"> at Week 5</w:t>
      </w:r>
      <w:r w:rsidRPr="00540001">
        <w:t>)</w:t>
      </w:r>
      <w:r>
        <w:t xml:space="preserve">. </w:t>
      </w:r>
      <w:r w:rsidRPr="00EA1D94">
        <w:t xml:space="preserve">While </w:t>
      </w:r>
      <w:proofErr w:type="gramStart"/>
      <w:r w:rsidRPr="00EA1D94">
        <w:t xml:space="preserve">both </w:t>
      </w:r>
      <w:r>
        <w:t>of these</w:t>
      </w:r>
      <w:proofErr w:type="gramEnd"/>
      <w:r>
        <w:t xml:space="preserve"> Reach 3 sites are downstream of Tie</w:t>
      </w:r>
      <w:r w:rsidR="0054343F">
        <w:t>r 1</w:t>
      </w:r>
      <w:r>
        <w:t xml:space="preserve"> inflows, they yielded elevated h</w:t>
      </w:r>
      <w:r w:rsidRPr="00EA1D94">
        <w:t xml:space="preserve">uman marker concentrations, </w:t>
      </w:r>
      <w:r>
        <w:t>indicating a concentrated human marker source at these locations. The WW-</w:t>
      </w:r>
      <w:r w:rsidRPr="00EA1D94">
        <w:t xml:space="preserve">S4 </w:t>
      </w:r>
      <w:r>
        <w:t xml:space="preserve">yielded a disproportionately </w:t>
      </w:r>
      <w:r w:rsidRPr="00EA1D94">
        <w:t>higher</w:t>
      </w:r>
      <w:r>
        <w:t xml:space="preserve"> concentration of the human marker that was approximately</w:t>
      </w:r>
      <w:r w:rsidRPr="00EA1D94">
        <w:t xml:space="preserve"> 4 times</w:t>
      </w:r>
      <w:r>
        <w:t xml:space="preserve"> greater when compared to the WW-</w:t>
      </w:r>
      <w:r w:rsidRPr="00EA1D94">
        <w:t>S1 concentration</w:t>
      </w:r>
      <w:r>
        <w:t xml:space="preserve">, </w:t>
      </w:r>
      <w:r w:rsidRPr="00B23269">
        <w:t xml:space="preserve">indicating a </w:t>
      </w:r>
      <w:r>
        <w:t>localized contamination source for the human marker HF183.</w:t>
      </w:r>
      <w:r w:rsidR="007A0B89">
        <w:t xml:space="preserve"> A heatmap of HF183 </w:t>
      </w:r>
      <w:r w:rsidR="006E176B">
        <w:rPr>
          <w:noProof/>
        </w:rPr>
        <w:drawing>
          <wp:anchor distT="0" distB="0" distL="114300" distR="114300" simplePos="0" relativeHeight="251685888" behindDoc="0" locked="0" layoutInCell="1" allowOverlap="1" wp14:anchorId="5492A1D5" wp14:editId="03EA0AAA">
            <wp:simplePos x="0" y="0"/>
            <wp:positionH relativeFrom="column">
              <wp:posOffset>5080</wp:posOffset>
            </wp:positionH>
            <wp:positionV relativeFrom="line">
              <wp:posOffset>264795</wp:posOffset>
            </wp:positionV>
            <wp:extent cx="5943600" cy="4305935"/>
            <wp:effectExtent l="0" t="0" r="0" b="0"/>
            <wp:wrapTopAndBottom/>
            <wp:docPr id="21941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430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0B89">
        <w:t xml:space="preserve">geometric mean concentrations </w:t>
      </w:r>
      <w:proofErr w:type="gramStart"/>
      <w:r w:rsidR="007A0B89">
        <w:t>is</w:t>
      </w:r>
      <w:proofErr w:type="gramEnd"/>
      <w:r w:rsidR="007A0B89">
        <w:t xml:space="preserve"> provided in </w:t>
      </w:r>
      <w:r w:rsidR="007A0B89" w:rsidRPr="00C11DCD">
        <w:rPr>
          <w:b/>
        </w:rPr>
        <w:t>Figure 3-2</w:t>
      </w:r>
      <w:r w:rsidR="00C11DCD">
        <w:rPr>
          <w:b/>
        </w:rPr>
        <w:t>1</w:t>
      </w:r>
      <w:r w:rsidR="007A0B89" w:rsidRPr="00C11DCD">
        <w:rPr>
          <w:b/>
        </w:rPr>
        <w:t>.</w:t>
      </w:r>
      <w:r w:rsidR="007A0B89">
        <w:t xml:space="preserve"> </w:t>
      </w:r>
      <w:r w:rsidR="00C11DCD">
        <w:t xml:space="preserve"> </w:t>
      </w:r>
      <w:r w:rsidR="007A0B89" w:rsidRPr="007A0B89">
        <w:rPr>
          <w:b/>
          <w:bCs/>
        </w:rPr>
        <w:t xml:space="preserve"> </w:t>
      </w:r>
    </w:p>
    <w:p w14:paraId="7125FCBD" w14:textId="00EB0380" w:rsidR="00E5313D" w:rsidRDefault="007838A1" w:rsidP="007838A1">
      <w:pPr>
        <w:pStyle w:val="Caption"/>
        <w:spacing w:after="240"/>
      </w:pPr>
      <w:bookmarkStart w:id="124" w:name="_Toc217394579"/>
      <w:bookmarkStart w:id="125" w:name="_Toc217394774"/>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21</w:t>
      </w:r>
      <w:r w:rsidR="0023167A">
        <w:fldChar w:fldCharType="end"/>
      </w:r>
      <w:r>
        <w:t xml:space="preserve">. HF183 </w:t>
      </w:r>
      <w:r w:rsidRPr="007838A1">
        <w:t xml:space="preserve">Geometric </w:t>
      </w:r>
      <w:r>
        <w:t>M</w:t>
      </w:r>
      <w:r w:rsidRPr="007838A1">
        <w:t xml:space="preserve">ean </w:t>
      </w:r>
      <w:r>
        <w:t>C</w:t>
      </w:r>
      <w:r w:rsidRPr="007838A1">
        <w:t xml:space="preserve">oncentrations for </w:t>
      </w:r>
      <w:r>
        <w:t>W</w:t>
      </w:r>
      <w:r w:rsidRPr="007838A1">
        <w:t xml:space="preserve">ater Quality Samples Collected During </w:t>
      </w:r>
      <w:r>
        <w:t>t</w:t>
      </w:r>
      <w:r w:rsidRPr="007838A1">
        <w:t>he 2025 Synoptic Study</w:t>
      </w:r>
      <w:bookmarkEnd w:id="124"/>
      <w:bookmarkEnd w:id="125"/>
    </w:p>
    <w:p w14:paraId="0E715177" w14:textId="77777777" w:rsidR="006E176B" w:rsidRDefault="006E176B" w:rsidP="006E176B">
      <w:pPr>
        <w:pStyle w:val="BodyText"/>
      </w:pPr>
      <w:r>
        <w:t xml:space="preserve">Upstream from MS4 inflows, detections of HF183 were observed at WW-MISSION in 3 of 5 weeks, with a range of 221-445 </w:t>
      </w:r>
      <w:proofErr w:type="spellStart"/>
      <w:r>
        <w:t>gc</w:t>
      </w:r>
      <w:proofErr w:type="spellEnd"/>
      <w:r>
        <w:t>/100mL</w:t>
      </w:r>
      <w:r w:rsidRPr="000B022D">
        <w:t xml:space="preserve">. In contrast, </w:t>
      </w:r>
      <w:proofErr w:type="gramStart"/>
      <w:r w:rsidRPr="000B022D">
        <w:t>Reach</w:t>
      </w:r>
      <w:proofErr w:type="gramEnd"/>
      <w:r w:rsidRPr="000B022D">
        <w:t xml:space="preserve"> 4 </w:t>
      </w:r>
      <w:r>
        <w:t xml:space="preserve">(P3-SBC1) </w:t>
      </w:r>
      <w:r w:rsidRPr="000B022D">
        <w:t>showed no detections of the human marker</w:t>
      </w:r>
      <w:r>
        <w:t>, HF183, during the 5 weeks sampling period (</w:t>
      </w:r>
      <w:r w:rsidRPr="00CA3B62">
        <w:rPr>
          <w:b/>
        </w:rPr>
        <w:t>Table 3-8</w:t>
      </w:r>
      <w:r>
        <w:t xml:space="preserve">). Thus, a localized source between the Riverside Drive and Mission Avenue bridges may exist. </w:t>
      </w:r>
      <w:r w:rsidRPr="00C855C4">
        <w:t xml:space="preserve">Field observations documented homeless encampments upstream and downstream of </w:t>
      </w:r>
      <w:r>
        <w:t>Mission</w:t>
      </w:r>
      <w:r w:rsidRPr="00C855C4">
        <w:t xml:space="preserve">. </w:t>
      </w:r>
    </w:p>
    <w:p w14:paraId="5B70B029" w14:textId="77777777" w:rsidR="006E176B" w:rsidRDefault="006E176B" w:rsidP="006E176B"/>
    <w:p w14:paraId="473EA93A" w14:textId="77777777" w:rsidR="006E176B" w:rsidRPr="006E176B" w:rsidRDefault="006E176B" w:rsidP="006E176B"/>
    <w:tbl>
      <w:tblPr>
        <w:tblW w:w="8550" w:type="dxa"/>
        <w:tblLayout w:type="fixed"/>
        <w:tblLook w:val="04A0" w:firstRow="1" w:lastRow="0" w:firstColumn="1" w:lastColumn="0" w:noHBand="0" w:noVBand="1"/>
      </w:tblPr>
      <w:tblGrid>
        <w:gridCol w:w="1439"/>
        <w:gridCol w:w="1003"/>
        <w:gridCol w:w="1005"/>
        <w:gridCol w:w="1006"/>
        <w:gridCol w:w="1005"/>
        <w:gridCol w:w="1006"/>
        <w:gridCol w:w="1006"/>
        <w:gridCol w:w="810"/>
        <w:gridCol w:w="270"/>
      </w:tblGrid>
      <w:tr w:rsidR="00A1591D" w:rsidRPr="00C0271A" w14:paraId="5739C73D" w14:textId="77777777" w:rsidTr="00A1591D">
        <w:trPr>
          <w:trHeight w:val="315"/>
        </w:trPr>
        <w:tc>
          <w:tcPr>
            <w:tcW w:w="8280" w:type="dxa"/>
            <w:gridSpan w:val="8"/>
            <w:tcBorders>
              <w:bottom w:val="single" w:sz="8" w:space="0" w:color="000000"/>
            </w:tcBorders>
            <w:vAlign w:val="center"/>
          </w:tcPr>
          <w:p w14:paraId="2E8F4D64" w14:textId="36E66A19" w:rsidR="00CF7640" w:rsidRPr="00C0271A" w:rsidRDefault="003A34AF" w:rsidP="003A34AF">
            <w:pPr>
              <w:pStyle w:val="Caption"/>
              <w:keepNext/>
              <w:rPr>
                <w:color w:val="000000"/>
                <w:sz w:val="16"/>
                <w:szCs w:val="16"/>
              </w:rPr>
            </w:pPr>
            <w:bookmarkStart w:id="126" w:name="_Toc217391765"/>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8</w:t>
            </w:r>
            <w:r w:rsidR="00FE614C">
              <w:fldChar w:fldCharType="end"/>
            </w:r>
            <w:r>
              <w:t xml:space="preserve">. </w:t>
            </w:r>
            <w:r w:rsidRPr="003A34AF">
              <w:rPr>
                <w:iCs w:val="0"/>
              </w:rPr>
              <w:t xml:space="preserve">HF183 </w:t>
            </w:r>
            <w:r w:rsidR="00CF7640" w:rsidRPr="00584549">
              <w:t>Results</w:t>
            </w:r>
            <w:r w:rsidR="00CF7640">
              <w:t xml:space="preserve"> </w:t>
            </w:r>
            <w:r w:rsidR="00CF7640" w:rsidRPr="001D2FD5">
              <w:t>at Watershed-wide Compliance</w:t>
            </w:r>
            <w:r w:rsidR="00CF7640">
              <w:t xml:space="preserve"> Sites</w:t>
            </w:r>
            <w:r w:rsidR="00CF7640" w:rsidRPr="001D2FD5">
              <w:t xml:space="preserve"> and Other Non-Compliance Sites</w:t>
            </w:r>
            <w:r w:rsidR="00CF7640">
              <w:t xml:space="preserve"> in the Mainstem Santa Ana River</w:t>
            </w:r>
            <w:bookmarkEnd w:id="126"/>
          </w:p>
        </w:tc>
        <w:tc>
          <w:tcPr>
            <w:tcW w:w="270" w:type="dxa"/>
            <w:tcBorders>
              <w:bottom w:val="single" w:sz="4" w:space="0" w:color="auto"/>
            </w:tcBorders>
          </w:tcPr>
          <w:p w14:paraId="63EAF217" w14:textId="77777777" w:rsidR="00CF7640" w:rsidRDefault="00CF7640" w:rsidP="00CA3B62">
            <w:pPr>
              <w:spacing w:line="240" w:lineRule="auto"/>
              <w:rPr>
                <w:rFonts w:ascii="Arial" w:hAnsi="Arial" w:cs="Arial"/>
                <w:b/>
                <w:bCs/>
                <w:color w:val="000000" w:themeColor="text1"/>
                <w:sz w:val="20"/>
              </w:rPr>
            </w:pPr>
          </w:p>
        </w:tc>
      </w:tr>
      <w:tr w:rsidR="00CF7640" w:rsidRPr="00C0271A" w14:paraId="5621C9D2" w14:textId="77777777" w:rsidTr="00A94C91">
        <w:trPr>
          <w:trHeight w:val="315"/>
        </w:trPr>
        <w:tc>
          <w:tcPr>
            <w:tcW w:w="1439" w:type="dxa"/>
            <w:vMerge w:val="restart"/>
            <w:tcBorders>
              <w:top w:val="single" w:sz="8" w:space="0" w:color="auto"/>
              <w:left w:val="single" w:sz="8" w:space="0" w:color="000000"/>
              <w:right w:val="single" w:sz="8" w:space="0" w:color="000000"/>
            </w:tcBorders>
            <w:shd w:val="clear" w:color="auto" w:fill="F2F2F2" w:themeFill="background1" w:themeFillShade="F2"/>
            <w:vAlign w:val="center"/>
          </w:tcPr>
          <w:p w14:paraId="12DEDEB9" w14:textId="4CA78971" w:rsidR="00CF7640" w:rsidRPr="002714B2" w:rsidRDefault="00CF7640" w:rsidP="00CA3B62">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Site Type</w:t>
            </w:r>
          </w:p>
        </w:tc>
        <w:tc>
          <w:tcPr>
            <w:tcW w:w="1003" w:type="dxa"/>
            <w:vMerge w:val="restart"/>
            <w:tcBorders>
              <w:top w:val="nil"/>
              <w:left w:val="nil"/>
              <w:right w:val="single" w:sz="8" w:space="0" w:color="000000"/>
            </w:tcBorders>
            <w:shd w:val="clear" w:color="auto" w:fill="F2F2F2" w:themeFill="background1" w:themeFillShade="F2"/>
            <w:vAlign w:val="center"/>
          </w:tcPr>
          <w:p w14:paraId="0B131BC1" w14:textId="29F861DE" w:rsidR="00CF7640" w:rsidRPr="002714B2" w:rsidRDefault="00CF7640" w:rsidP="00A94C91">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Site ID</w:t>
            </w:r>
          </w:p>
        </w:tc>
        <w:tc>
          <w:tcPr>
            <w:tcW w:w="6108" w:type="dxa"/>
            <w:gridSpan w:val="7"/>
            <w:tcBorders>
              <w:top w:val="nil"/>
              <w:left w:val="nil"/>
              <w:bottom w:val="single" w:sz="8" w:space="0" w:color="000000"/>
              <w:right w:val="single" w:sz="4" w:space="0" w:color="auto"/>
            </w:tcBorders>
            <w:shd w:val="clear" w:color="auto" w:fill="F2F2F2" w:themeFill="background1" w:themeFillShade="F2"/>
            <w:noWrap/>
            <w:vAlign w:val="center"/>
          </w:tcPr>
          <w:p w14:paraId="662536F6" w14:textId="25BF05B0" w:rsidR="00CF7640" w:rsidRPr="002714B2" w:rsidRDefault="00CF7640" w:rsidP="00CF7640">
            <w:pPr>
              <w:spacing w:line="240" w:lineRule="auto"/>
              <w:jc w:val="center"/>
              <w:rPr>
                <w:rFonts w:ascii="Arial" w:hAnsi="Arial" w:cs="Arial"/>
                <w:b/>
                <w:bCs/>
                <w:sz w:val="18"/>
                <w:szCs w:val="18"/>
                <w:vertAlign w:val="superscript"/>
              </w:rPr>
            </w:pPr>
            <w:r w:rsidRPr="002714B2">
              <w:rPr>
                <w:rFonts w:ascii="Arial" w:hAnsi="Arial" w:cs="Arial"/>
                <w:b/>
                <w:bCs/>
                <w:sz w:val="18"/>
                <w:szCs w:val="18"/>
              </w:rPr>
              <w:t>HF183 Results (gene copies/100mL)</w:t>
            </w:r>
            <w:r w:rsidR="003A34AF" w:rsidRPr="002714B2">
              <w:rPr>
                <w:rFonts w:ascii="Arial" w:hAnsi="Arial" w:cs="Arial"/>
                <w:b/>
                <w:bCs/>
                <w:sz w:val="18"/>
                <w:szCs w:val="18"/>
                <w:vertAlign w:val="superscript"/>
              </w:rPr>
              <w:t>1</w:t>
            </w:r>
          </w:p>
        </w:tc>
      </w:tr>
      <w:tr w:rsidR="00C11DCD" w:rsidRPr="00C0271A" w14:paraId="04FF1672" w14:textId="77777777" w:rsidTr="00A94C91">
        <w:trPr>
          <w:trHeight w:val="315"/>
        </w:trPr>
        <w:tc>
          <w:tcPr>
            <w:tcW w:w="1439" w:type="dxa"/>
            <w:vMerge/>
            <w:tcBorders>
              <w:left w:val="single" w:sz="8" w:space="0" w:color="000000"/>
              <w:bottom w:val="single" w:sz="8" w:space="0" w:color="000000"/>
              <w:right w:val="single" w:sz="8" w:space="0" w:color="000000"/>
            </w:tcBorders>
            <w:shd w:val="clear" w:color="auto" w:fill="F2F2F2" w:themeFill="background1" w:themeFillShade="F2"/>
            <w:vAlign w:val="center"/>
          </w:tcPr>
          <w:p w14:paraId="6164EC68" w14:textId="168F105C" w:rsidR="00CF7640" w:rsidRPr="002714B2" w:rsidRDefault="00CF7640" w:rsidP="00CA3B62">
            <w:pPr>
              <w:spacing w:line="240" w:lineRule="auto"/>
              <w:jc w:val="center"/>
              <w:rPr>
                <w:rFonts w:ascii="Arial" w:hAnsi="Arial" w:cs="Arial"/>
                <w:b/>
                <w:bCs/>
                <w:color w:val="000000"/>
                <w:sz w:val="18"/>
                <w:szCs w:val="18"/>
              </w:rPr>
            </w:pPr>
          </w:p>
        </w:tc>
        <w:tc>
          <w:tcPr>
            <w:tcW w:w="1003" w:type="dxa"/>
            <w:vMerge/>
            <w:tcBorders>
              <w:left w:val="nil"/>
              <w:bottom w:val="single" w:sz="8" w:space="0" w:color="000000"/>
              <w:right w:val="single" w:sz="8" w:space="0" w:color="000000"/>
            </w:tcBorders>
            <w:shd w:val="clear" w:color="auto" w:fill="F2F2F2" w:themeFill="background1" w:themeFillShade="F2"/>
            <w:vAlign w:val="center"/>
          </w:tcPr>
          <w:p w14:paraId="77CE3954" w14:textId="40FA1C7C" w:rsidR="00CF7640" w:rsidRPr="002714B2" w:rsidRDefault="00CF7640" w:rsidP="00A94C91">
            <w:pPr>
              <w:spacing w:line="240" w:lineRule="auto"/>
              <w:jc w:val="center"/>
              <w:rPr>
                <w:rFonts w:ascii="Arial" w:hAnsi="Arial" w:cs="Arial"/>
                <w:b/>
                <w:bCs/>
                <w:color w:val="000000"/>
                <w:sz w:val="18"/>
                <w:szCs w:val="18"/>
              </w:rPr>
            </w:pPr>
          </w:p>
        </w:tc>
        <w:tc>
          <w:tcPr>
            <w:tcW w:w="1005" w:type="dxa"/>
            <w:tcBorders>
              <w:top w:val="nil"/>
              <w:left w:val="nil"/>
              <w:bottom w:val="single" w:sz="8" w:space="0" w:color="000000"/>
              <w:right w:val="single" w:sz="8" w:space="0" w:color="000000"/>
            </w:tcBorders>
            <w:shd w:val="clear" w:color="auto" w:fill="F2F2F2" w:themeFill="background1" w:themeFillShade="F2"/>
            <w:noWrap/>
            <w:vAlign w:val="center"/>
          </w:tcPr>
          <w:p w14:paraId="3D7A4CC4" w14:textId="18AD44CF" w:rsidR="00CF7640" w:rsidRPr="002714B2" w:rsidRDefault="00CF7640" w:rsidP="00CA3B62">
            <w:pPr>
              <w:spacing w:line="240" w:lineRule="auto"/>
              <w:jc w:val="center"/>
              <w:rPr>
                <w:rFonts w:ascii="Arial" w:hAnsi="Arial" w:cs="Arial"/>
                <w:b/>
                <w:bCs/>
                <w:sz w:val="18"/>
                <w:szCs w:val="18"/>
              </w:rPr>
            </w:pPr>
            <w:r w:rsidRPr="002714B2">
              <w:rPr>
                <w:rFonts w:ascii="Arial" w:hAnsi="Arial" w:cs="Arial"/>
                <w:b/>
                <w:bCs/>
                <w:sz w:val="18"/>
                <w:szCs w:val="18"/>
              </w:rPr>
              <w:t xml:space="preserve">Week 1 </w:t>
            </w:r>
          </w:p>
        </w:tc>
        <w:tc>
          <w:tcPr>
            <w:tcW w:w="1006" w:type="dxa"/>
            <w:tcBorders>
              <w:top w:val="nil"/>
              <w:left w:val="nil"/>
              <w:bottom w:val="single" w:sz="8" w:space="0" w:color="000000"/>
              <w:right w:val="single" w:sz="8" w:space="0" w:color="000000"/>
            </w:tcBorders>
            <w:shd w:val="clear" w:color="auto" w:fill="F2F2F2" w:themeFill="background1" w:themeFillShade="F2"/>
            <w:noWrap/>
            <w:vAlign w:val="center"/>
          </w:tcPr>
          <w:p w14:paraId="17DFE1C8" w14:textId="77777777" w:rsidR="00CF7640" w:rsidRPr="002714B2" w:rsidRDefault="00CF7640" w:rsidP="00CA3B62">
            <w:pPr>
              <w:spacing w:line="240" w:lineRule="auto"/>
              <w:jc w:val="center"/>
              <w:rPr>
                <w:rFonts w:ascii="Arial" w:hAnsi="Arial" w:cs="Arial"/>
                <w:b/>
                <w:bCs/>
                <w:sz w:val="18"/>
                <w:szCs w:val="18"/>
              </w:rPr>
            </w:pPr>
            <w:r w:rsidRPr="002714B2">
              <w:rPr>
                <w:rFonts w:ascii="Arial" w:hAnsi="Arial" w:cs="Arial"/>
                <w:b/>
                <w:bCs/>
                <w:sz w:val="18"/>
                <w:szCs w:val="18"/>
              </w:rPr>
              <w:t>Week 2</w:t>
            </w:r>
          </w:p>
        </w:tc>
        <w:tc>
          <w:tcPr>
            <w:tcW w:w="1005" w:type="dxa"/>
            <w:tcBorders>
              <w:top w:val="nil"/>
              <w:left w:val="nil"/>
              <w:bottom w:val="single" w:sz="8" w:space="0" w:color="000000"/>
              <w:right w:val="single" w:sz="8" w:space="0" w:color="000000"/>
            </w:tcBorders>
            <w:shd w:val="clear" w:color="auto" w:fill="F2F2F2" w:themeFill="background1" w:themeFillShade="F2"/>
            <w:noWrap/>
            <w:vAlign w:val="center"/>
          </w:tcPr>
          <w:p w14:paraId="02E582B0" w14:textId="77777777" w:rsidR="00CF7640" w:rsidRPr="002714B2" w:rsidRDefault="00CF7640" w:rsidP="00CA3B62">
            <w:pPr>
              <w:spacing w:line="240" w:lineRule="auto"/>
              <w:jc w:val="center"/>
              <w:rPr>
                <w:rFonts w:ascii="Arial" w:hAnsi="Arial" w:cs="Arial"/>
                <w:b/>
                <w:bCs/>
                <w:sz w:val="18"/>
                <w:szCs w:val="18"/>
              </w:rPr>
            </w:pPr>
            <w:r w:rsidRPr="002714B2">
              <w:rPr>
                <w:rFonts w:ascii="Arial" w:hAnsi="Arial" w:cs="Arial"/>
                <w:b/>
                <w:bCs/>
                <w:sz w:val="18"/>
                <w:szCs w:val="18"/>
              </w:rPr>
              <w:t>Week 3</w:t>
            </w:r>
          </w:p>
        </w:tc>
        <w:tc>
          <w:tcPr>
            <w:tcW w:w="1006" w:type="dxa"/>
            <w:tcBorders>
              <w:top w:val="single" w:sz="8" w:space="0" w:color="000000"/>
              <w:left w:val="nil"/>
              <w:bottom w:val="single" w:sz="8" w:space="0" w:color="000000"/>
              <w:right w:val="single" w:sz="8" w:space="0" w:color="000000"/>
            </w:tcBorders>
            <w:shd w:val="clear" w:color="auto" w:fill="F2F2F2" w:themeFill="background1" w:themeFillShade="F2"/>
            <w:noWrap/>
            <w:vAlign w:val="center"/>
          </w:tcPr>
          <w:p w14:paraId="39D342ED" w14:textId="77777777" w:rsidR="00CF7640" w:rsidRPr="002714B2" w:rsidRDefault="00CF7640" w:rsidP="00CA3B62">
            <w:pPr>
              <w:spacing w:line="240" w:lineRule="auto"/>
              <w:jc w:val="center"/>
              <w:rPr>
                <w:rFonts w:ascii="Arial" w:hAnsi="Arial" w:cs="Arial"/>
                <w:b/>
                <w:bCs/>
                <w:sz w:val="18"/>
                <w:szCs w:val="18"/>
              </w:rPr>
            </w:pPr>
            <w:r w:rsidRPr="002714B2">
              <w:rPr>
                <w:rFonts w:ascii="Arial" w:hAnsi="Arial" w:cs="Arial"/>
                <w:b/>
                <w:bCs/>
                <w:sz w:val="18"/>
                <w:szCs w:val="18"/>
              </w:rPr>
              <w:t>Week 4</w:t>
            </w:r>
          </w:p>
        </w:tc>
        <w:tc>
          <w:tcPr>
            <w:tcW w:w="1006" w:type="dxa"/>
            <w:tcBorders>
              <w:top w:val="single" w:sz="8" w:space="0" w:color="000000"/>
              <w:left w:val="nil"/>
              <w:bottom w:val="single" w:sz="8" w:space="0" w:color="000000"/>
              <w:right w:val="single" w:sz="4" w:space="0" w:color="auto"/>
            </w:tcBorders>
            <w:shd w:val="clear" w:color="auto" w:fill="F2F2F2" w:themeFill="background1" w:themeFillShade="F2"/>
            <w:noWrap/>
            <w:vAlign w:val="center"/>
          </w:tcPr>
          <w:p w14:paraId="78BB3F49" w14:textId="77777777" w:rsidR="00CF7640" w:rsidRPr="002714B2" w:rsidRDefault="00CF7640" w:rsidP="00CA3B62">
            <w:pPr>
              <w:spacing w:line="240" w:lineRule="auto"/>
              <w:jc w:val="center"/>
              <w:rPr>
                <w:rFonts w:ascii="Arial" w:hAnsi="Arial" w:cs="Arial"/>
                <w:b/>
                <w:bCs/>
                <w:sz w:val="18"/>
                <w:szCs w:val="18"/>
              </w:rPr>
            </w:pPr>
            <w:r w:rsidRPr="002714B2">
              <w:rPr>
                <w:rFonts w:ascii="Arial" w:hAnsi="Arial" w:cs="Arial"/>
                <w:b/>
                <w:bCs/>
                <w:sz w:val="18"/>
                <w:szCs w:val="18"/>
              </w:rPr>
              <w:t>Week 5</w:t>
            </w:r>
          </w:p>
        </w:tc>
        <w:tc>
          <w:tcPr>
            <w:tcW w:w="108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4E9EBD" w14:textId="2D6A9A96" w:rsidR="00CF7640" w:rsidRPr="002714B2" w:rsidRDefault="00CF7640" w:rsidP="00CF7640">
            <w:pPr>
              <w:spacing w:line="240" w:lineRule="auto"/>
              <w:jc w:val="center"/>
              <w:rPr>
                <w:rFonts w:ascii="Arial" w:hAnsi="Arial" w:cs="Arial"/>
                <w:b/>
                <w:bCs/>
                <w:sz w:val="18"/>
                <w:szCs w:val="18"/>
                <w:vertAlign w:val="superscript"/>
              </w:rPr>
            </w:pPr>
            <w:r w:rsidRPr="002714B2">
              <w:rPr>
                <w:rFonts w:ascii="Arial" w:hAnsi="Arial" w:cs="Arial"/>
                <w:b/>
                <w:bCs/>
                <w:sz w:val="18"/>
                <w:szCs w:val="18"/>
              </w:rPr>
              <w:t>Geomean</w:t>
            </w:r>
            <w:r w:rsidRPr="002714B2">
              <w:rPr>
                <w:rFonts w:ascii="Arial" w:hAnsi="Arial" w:cs="Arial"/>
                <w:b/>
                <w:bCs/>
                <w:sz w:val="18"/>
                <w:szCs w:val="18"/>
                <w:vertAlign w:val="superscript"/>
              </w:rPr>
              <w:t>1</w:t>
            </w:r>
          </w:p>
        </w:tc>
      </w:tr>
      <w:tr w:rsidR="00CF7640" w:rsidRPr="00C0271A" w14:paraId="2743E9BE" w14:textId="77777777" w:rsidTr="00A94C91">
        <w:trPr>
          <w:trHeight w:val="533"/>
        </w:trPr>
        <w:tc>
          <w:tcPr>
            <w:tcW w:w="1439" w:type="dxa"/>
            <w:vMerge w:val="restart"/>
            <w:tcBorders>
              <w:top w:val="single" w:sz="8" w:space="0" w:color="auto"/>
              <w:left w:val="single" w:sz="8" w:space="0" w:color="000000"/>
              <w:bottom w:val="single" w:sz="8" w:space="0" w:color="000000"/>
              <w:right w:val="single" w:sz="8" w:space="0" w:color="000000"/>
            </w:tcBorders>
            <w:vAlign w:val="center"/>
            <w:hideMark/>
          </w:tcPr>
          <w:p w14:paraId="07DD2A95" w14:textId="77777777" w:rsidR="00CF7640" w:rsidRPr="002714B2" w:rsidRDefault="00CF7640" w:rsidP="00CA3B62">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Watershed-wide Compliance</w:t>
            </w:r>
          </w:p>
        </w:tc>
        <w:tc>
          <w:tcPr>
            <w:tcW w:w="1003" w:type="dxa"/>
            <w:tcBorders>
              <w:top w:val="nil"/>
              <w:left w:val="nil"/>
              <w:bottom w:val="single" w:sz="8" w:space="0" w:color="000000"/>
              <w:right w:val="single" w:sz="8" w:space="0" w:color="000000"/>
            </w:tcBorders>
            <w:vAlign w:val="center"/>
            <w:hideMark/>
          </w:tcPr>
          <w:p w14:paraId="4AB75D03" w14:textId="77777777" w:rsidR="00CF7640" w:rsidRPr="002714B2" w:rsidRDefault="00CF7640" w:rsidP="00A94C91">
            <w:pPr>
              <w:spacing w:line="240" w:lineRule="auto"/>
              <w:jc w:val="center"/>
              <w:rPr>
                <w:rFonts w:ascii="Arial" w:hAnsi="Arial" w:cs="Arial"/>
                <w:color w:val="000000"/>
                <w:sz w:val="18"/>
                <w:szCs w:val="18"/>
              </w:rPr>
            </w:pPr>
            <w:r w:rsidRPr="002714B2">
              <w:rPr>
                <w:rFonts w:ascii="Arial" w:hAnsi="Arial" w:cs="Arial"/>
                <w:color w:val="000000"/>
                <w:sz w:val="18"/>
                <w:szCs w:val="18"/>
              </w:rPr>
              <w:t>WW-C7</w:t>
            </w:r>
          </w:p>
        </w:tc>
        <w:tc>
          <w:tcPr>
            <w:tcW w:w="1005" w:type="dxa"/>
            <w:tcBorders>
              <w:top w:val="nil"/>
              <w:left w:val="nil"/>
              <w:bottom w:val="single" w:sz="8" w:space="0" w:color="000000"/>
              <w:right w:val="single" w:sz="8" w:space="0" w:color="000000"/>
            </w:tcBorders>
            <w:noWrap/>
            <w:vAlign w:val="center"/>
            <w:hideMark/>
          </w:tcPr>
          <w:p w14:paraId="77780F7B"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53F6E841"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5" w:type="dxa"/>
            <w:tcBorders>
              <w:top w:val="nil"/>
              <w:left w:val="nil"/>
              <w:bottom w:val="single" w:sz="8" w:space="0" w:color="000000"/>
              <w:right w:val="single" w:sz="8" w:space="0" w:color="000000"/>
            </w:tcBorders>
            <w:noWrap/>
            <w:vAlign w:val="center"/>
            <w:hideMark/>
          </w:tcPr>
          <w:p w14:paraId="4238E825"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single" w:sz="8" w:space="0" w:color="000000"/>
              <w:left w:val="nil"/>
              <w:bottom w:val="single" w:sz="8" w:space="0" w:color="000000"/>
              <w:right w:val="single" w:sz="8" w:space="0" w:color="000000"/>
            </w:tcBorders>
            <w:noWrap/>
            <w:vAlign w:val="center"/>
            <w:hideMark/>
          </w:tcPr>
          <w:p w14:paraId="1C2EA7D0"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single" w:sz="8" w:space="0" w:color="000000"/>
              <w:left w:val="nil"/>
              <w:bottom w:val="single" w:sz="8" w:space="0" w:color="000000"/>
              <w:right w:val="single" w:sz="4" w:space="0" w:color="auto"/>
            </w:tcBorders>
            <w:noWrap/>
            <w:vAlign w:val="center"/>
            <w:hideMark/>
          </w:tcPr>
          <w:p w14:paraId="44E89E45"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23C9210A" w14:textId="07F4193E" w:rsidR="00CF7640" w:rsidRPr="002714B2" w:rsidRDefault="00CF7640" w:rsidP="00CF7640">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CF7640" w:rsidRPr="00C0271A" w14:paraId="56800C16" w14:textId="77777777" w:rsidTr="00A94C91">
        <w:trPr>
          <w:trHeight w:val="533"/>
        </w:trPr>
        <w:tc>
          <w:tcPr>
            <w:tcW w:w="1439" w:type="dxa"/>
            <w:vMerge/>
            <w:tcBorders>
              <w:top w:val="single" w:sz="8" w:space="0" w:color="auto"/>
              <w:left w:val="single" w:sz="8" w:space="0" w:color="000000"/>
              <w:bottom w:val="single" w:sz="8" w:space="0" w:color="000000"/>
              <w:right w:val="single" w:sz="8" w:space="0" w:color="000000"/>
            </w:tcBorders>
            <w:vAlign w:val="center"/>
            <w:hideMark/>
          </w:tcPr>
          <w:p w14:paraId="1C0BFF35" w14:textId="77777777" w:rsidR="00CF7640" w:rsidRPr="002714B2" w:rsidRDefault="00CF7640" w:rsidP="00CA3B62">
            <w:pPr>
              <w:spacing w:line="240" w:lineRule="auto"/>
              <w:rPr>
                <w:rFonts w:ascii="Arial" w:hAnsi="Arial" w:cs="Arial"/>
                <w:b/>
                <w:bCs/>
                <w:color w:val="000000"/>
                <w:sz w:val="18"/>
                <w:szCs w:val="18"/>
              </w:rPr>
            </w:pPr>
          </w:p>
        </w:tc>
        <w:tc>
          <w:tcPr>
            <w:tcW w:w="1003" w:type="dxa"/>
            <w:tcBorders>
              <w:top w:val="nil"/>
              <w:left w:val="nil"/>
              <w:bottom w:val="single" w:sz="8" w:space="0" w:color="000000"/>
              <w:right w:val="single" w:sz="8" w:space="0" w:color="000000"/>
            </w:tcBorders>
            <w:vAlign w:val="center"/>
            <w:hideMark/>
          </w:tcPr>
          <w:p w14:paraId="134A548C" w14:textId="77777777" w:rsidR="00CF7640" w:rsidRPr="002714B2" w:rsidRDefault="00CF7640" w:rsidP="00A94C91">
            <w:pPr>
              <w:spacing w:line="240" w:lineRule="auto"/>
              <w:jc w:val="center"/>
              <w:rPr>
                <w:rFonts w:ascii="Arial" w:hAnsi="Arial" w:cs="Arial"/>
                <w:color w:val="000000"/>
                <w:sz w:val="18"/>
                <w:szCs w:val="18"/>
              </w:rPr>
            </w:pPr>
            <w:r w:rsidRPr="002714B2">
              <w:rPr>
                <w:rFonts w:ascii="Arial" w:hAnsi="Arial" w:cs="Arial"/>
                <w:color w:val="000000"/>
                <w:sz w:val="18"/>
                <w:szCs w:val="18"/>
              </w:rPr>
              <w:t>WW-M6</w:t>
            </w:r>
          </w:p>
        </w:tc>
        <w:tc>
          <w:tcPr>
            <w:tcW w:w="1005" w:type="dxa"/>
            <w:tcBorders>
              <w:top w:val="nil"/>
              <w:left w:val="nil"/>
              <w:bottom w:val="single" w:sz="8" w:space="0" w:color="000000"/>
              <w:right w:val="single" w:sz="8" w:space="0" w:color="000000"/>
            </w:tcBorders>
            <w:noWrap/>
            <w:vAlign w:val="center"/>
            <w:hideMark/>
          </w:tcPr>
          <w:p w14:paraId="259A2C7E"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26A9A901"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5" w:type="dxa"/>
            <w:tcBorders>
              <w:top w:val="nil"/>
              <w:left w:val="nil"/>
              <w:bottom w:val="single" w:sz="8" w:space="0" w:color="000000"/>
              <w:right w:val="single" w:sz="8" w:space="0" w:color="000000"/>
            </w:tcBorders>
            <w:noWrap/>
            <w:vAlign w:val="center"/>
            <w:hideMark/>
          </w:tcPr>
          <w:p w14:paraId="55C54CED"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0D24F778"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4" w:space="0" w:color="auto"/>
            </w:tcBorders>
            <w:noWrap/>
            <w:vAlign w:val="center"/>
            <w:hideMark/>
          </w:tcPr>
          <w:p w14:paraId="5E366220"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177.9</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74CF20AE" w14:textId="0A1B0FC3" w:rsidR="00CF7640" w:rsidRPr="002714B2" w:rsidRDefault="00CF7640" w:rsidP="00CF7640">
            <w:pPr>
              <w:spacing w:line="240" w:lineRule="auto"/>
              <w:jc w:val="center"/>
              <w:rPr>
                <w:rFonts w:ascii="Arial" w:hAnsi="Arial" w:cs="Arial"/>
                <w:color w:val="000000"/>
                <w:sz w:val="18"/>
                <w:szCs w:val="18"/>
              </w:rPr>
            </w:pPr>
            <w:r w:rsidRPr="002714B2">
              <w:rPr>
                <w:rFonts w:ascii="Arial" w:hAnsi="Arial" w:cs="Arial"/>
                <w:color w:val="000000"/>
                <w:sz w:val="18"/>
                <w:szCs w:val="18"/>
              </w:rPr>
              <w:t>27</w:t>
            </w:r>
          </w:p>
        </w:tc>
      </w:tr>
      <w:tr w:rsidR="00CF7640" w:rsidRPr="00C0271A" w14:paraId="79B55F6B" w14:textId="77777777" w:rsidTr="00A94C91">
        <w:trPr>
          <w:trHeight w:val="533"/>
        </w:trPr>
        <w:tc>
          <w:tcPr>
            <w:tcW w:w="1439" w:type="dxa"/>
            <w:vMerge/>
            <w:tcBorders>
              <w:top w:val="single" w:sz="8" w:space="0" w:color="auto"/>
              <w:left w:val="single" w:sz="8" w:space="0" w:color="000000"/>
              <w:bottom w:val="single" w:sz="8" w:space="0" w:color="000000"/>
              <w:right w:val="single" w:sz="8" w:space="0" w:color="000000"/>
            </w:tcBorders>
            <w:vAlign w:val="center"/>
            <w:hideMark/>
          </w:tcPr>
          <w:p w14:paraId="4F234699" w14:textId="77777777" w:rsidR="00CF7640" w:rsidRPr="002714B2" w:rsidRDefault="00CF7640" w:rsidP="00CA3B62">
            <w:pPr>
              <w:spacing w:line="240" w:lineRule="auto"/>
              <w:rPr>
                <w:rFonts w:ascii="Arial" w:hAnsi="Arial" w:cs="Arial"/>
                <w:b/>
                <w:bCs/>
                <w:color w:val="000000"/>
                <w:sz w:val="18"/>
                <w:szCs w:val="18"/>
              </w:rPr>
            </w:pPr>
          </w:p>
        </w:tc>
        <w:tc>
          <w:tcPr>
            <w:tcW w:w="1003" w:type="dxa"/>
            <w:tcBorders>
              <w:top w:val="nil"/>
              <w:left w:val="nil"/>
              <w:bottom w:val="single" w:sz="8" w:space="0" w:color="000000"/>
              <w:right w:val="single" w:sz="8" w:space="0" w:color="000000"/>
            </w:tcBorders>
            <w:vAlign w:val="center"/>
            <w:hideMark/>
          </w:tcPr>
          <w:p w14:paraId="17582876" w14:textId="77777777" w:rsidR="00CF7640" w:rsidRPr="002714B2" w:rsidRDefault="00CF7640" w:rsidP="00A94C91">
            <w:pPr>
              <w:spacing w:line="240" w:lineRule="auto"/>
              <w:jc w:val="center"/>
              <w:rPr>
                <w:rFonts w:ascii="Arial" w:hAnsi="Arial" w:cs="Arial"/>
                <w:color w:val="000000"/>
                <w:sz w:val="18"/>
                <w:szCs w:val="18"/>
              </w:rPr>
            </w:pPr>
            <w:r w:rsidRPr="002714B2">
              <w:rPr>
                <w:rFonts w:ascii="Arial" w:hAnsi="Arial" w:cs="Arial"/>
                <w:color w:val="000000"/>
                <w:sz w:val="18"/>
                <w:szCs w:val="18"/>
              </w:rPr>
              <w:t>WW-S1</w:t>
            </w:r>
          </w:p>
        </w:tc>
        <w:tc>
          <w:tcPr>
            <w:tcW w:w="1005" w:type="dxa"/>
            <w:tcBorders>
              <w:top w:val="nil"/>
              <w:left w:val="nil"/>
              <w:bottom w:val="single" w:sz="8" w:space="0" w:color="000000"/>
              <w:right w:val="single" w:sz="8" w:space="0" w:color="000000"/>
            </w:tcBorders>
            <w:noWrap/>
            <w:vAlign w:val="center"/>
            <w:hideMark/>
          </w:tcPr>
          <w:p w14:paraId="2C14F848"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3B85AB96"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112.1</w:t>
            </w:r>
          </w:p>
        </w:tc>
        <w:tc>
          <w:tcPr>
            <w:tcW w:w="1005" w:type="dxa"/>
            <w:tcBorders>
              <w:top w:val="nil"/>
              <w:left w:val="nil"/>
              <w:bottom w:val="single" w:sz="8" w:space="0" w:color="000000"/>
              <w:right w:val="single" w:sz="8" w:space="0" w:color="000000"/>
            </w:tcBorders>
            <w:noWrap/>
            <w:vAlign w:val="center"/>
            <w:hideMark/>
          </w:tcPr>
          <w:p w14:paraId="121473A2"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156.6</w:t>
            </w:r>
          </w:p>
        </w:tc>
        <w:tc>
          <w:tcPr>
            <w:tcW w:w="1006" w:type="dxa"/>
            <w:tcBorders>
              <w:top w:val="nil"/>
              <w:left w:val="nil"/>
              <w:bottom w:val="single" w:sz="8" w:space="0" w:color="000000"/>
              <w:right w:val="single" w:sz="8" w:space="0" w:color="000000"/>
            </w:tcBorders>
            <w:noWrap/>
            <w:vAlign w:val="center"/>
            <w:hideMark/>
          </w:tcPr>
          <w:p w14:paraId="35A4D509"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210.7</w:t>
            </w:r>
          </w:p>
        </w:tc>
        <w:tc>
          <w:tcPr>
            <w:tcW w:w="1006" w:type="dxa"/>
            <w:tcBorders>
              <w:top w:val="nil"/>
              <w:left w:val="nil"/>
              <w:bottom w:val="single" w:sz="8" w:space="0" w:color="000000"/>
              <w:right w:val="single" w:sz="4" w:space="0" w:color="auto"/>
            </w:tcBorders>
            <w:noWrap/>
            <w:vAlign w:val="center"/>
            <w:hideMark/>
          </w:tcPr>
          <w:p w14:paraId="0F8D832E"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30,270.8</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214AF9BC" w14:textId="2D71A45A" w:rsidR="00CF7640" w:rsidRPr="002714B2" w:rsidRDefault="00CF7640" w:rsidP="00CF7640">
            <w:pPr>
              <w:spacing w:line="240" w:lineRule="auto"/>
              <w:jc w:val="center"/>
              <w:rPr>
                <w:rFonts w:ascii="Arial" w:hAnsi="Arial" w:cs="Arial"/>
                <w:color w:val="000000"/>
                <w:sz w:val="18"/>
                <w:szCs w:val="18"/>
              </w:rPr>
            </w:pPr>
            <w:r w:rsidRPr="002714B2">
              <w:rPr>
                <w:rFonts w:ascii="Arial" w:hAnsi="Arial" w:cs="Arial"/>
                <w:color w:val="000000"/>
                <w:sz w:val="18"/>
                <w:szCs w:val="18"/>
              </w:rPr>
              <w:t>309</w:t>
            </w:r>
          </w:p>
        </w:tc>
      </w:tr>
      <w:tr w:rsidR="00CF7640" w:rsidRPr="00C0271A" w14:paraId="1EF1A5CE" w14:textId="77777777" w:rsidTr="00A94C91">
        <w:trPr>
          <w:trHeight w:val="533"/>
        </w:trPr>
        <w:tc>
          <w:tcPr>
            <w:tcW w:w="1439" w:type="dxa"/>
            <w:vMerge/>
            <w:tcBorders>
              <w:top w:val="single" w:sz="8" w:space="0" w:color="auto"/>
              <w:left w:val="single" w:sz="8" w:space="0" w:color="000000"/>
              <w:bottom w:val="single" w:sz="8" w:space="0" w:color="000000"/>
              <w:right w:val="single" w:sz="8" w:space="0" w:color="000000"/>
            </w:tcBorders>
            <w:vAlign w:val="center"/>
            <w:hideMark/>
          </w:tcPr>
          <w:p w14:paraId="45110791" w14:textId="77777777" w:rsidR="00CF7640" w:rsidRPr="002714B2" w:rsidRDefault="00CF7640" w:rsidP="00CA3B62">
            <w:pPr>
              <w:spacing w:line="240" w:lineRule="auto"/>
              <w:rPr>
                <w:rFonts w:ascii="Arial" w:hAnsi="Arial" w:cs="Arial"/>
                <w:b/>
                <w:bCs/>
                <w:color w:val="000000"/>
                <w:sz w:val="18"/>
                <w:szCs w:val="18"/>
              </w:rPr>
            </w:pPr>
          </w:p>
        </w:tc>
        <w:tc>
          <w:tcPr>
            <w:tcW w:w="1003" w:type="dxa"/>
            <w:tcBorders>
              <w:top w:val="nil"/>
              <w:left w:val="nil"/>
              <w:bottom w:val="single" w:sz="8" w:space="0" w:color="000000"/>
              <w:right w:val="single" w:sz="8" w:space="0" w:color="000000"/>
            </w:tcBorders>
            <w:vAlign w:val="center"/>
            <w:hideMark/>
          </w:tcPr>
          <w:p w14:paraId="395C3253" w14:textId="77777777" w:rsidR="00CF7640" w:rsidRPr="002714B2" w:rsidRDefault="00CF7640" w:rsidP="00A94C91">
            <w:pPr>
              <w:spacing w:line="240" w:lineRule="auto"/>
              <w:jc w:val="center"/>
              <w:rPr>
                <w:rFonts w:ascii="Arial" w:hAnsi="Arial" w:cs="Arial"/>
                <w:color w:val="000000"/>
                <w:sz w:val="18"/>
                <w:szCs w:val="18"/>
              </w:rPr>
            </w:pPr>
            <w:r w:rsidRPr="002714B2">
              <w:rPr>
                <w:rFonts w:ascii="Arial" w:hAnsi="Arial" w:cs="Arial"/>
                <w:color w:val="000000"/>
                <w:sz w:val="18"/>
                <w:szCs w:val="18"/>
              </w:rPr>
              <w:t>WW-S4</w:t>
            </w:r>
          </w:p>
        </w:tc>
        <w:tc>
          <w:tcPr>
            <w:tcW w:w="1005" w:type="dxa"/>
            <w:tcBorders>
              <w:top w:val="nil"/>
              <w:left w:val="nil"/>
              <w:bottom w:val="single" w:sz="8" w:space="0" w:color="000000"/>
              <w:right w:val="single" w:sz="8" w:space="0" w:color="000000"/>
            </w:tcBorders>
            <w:noWrap/>
            <w:vAlign w:val="center"/>
            <w:hideMark/>
          </w:tcPr>
          <w:p w14:paraId="21035C2B"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18F39213"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157.8</w:t>
            </w:r>
          </w:p>
        </w:tc>
        <w:tc>
          <w:tcPr>
            <w:tcW w:w="1005" w:type="dxa"/>
            <w:tcBorders>
              <w:top w:val="nil"/>
              <w:left w:val="nil"/>
              <w:bottom w:val="single" w:sz="8" w:space="0" w:color="000000"/>
              <w:right w:val="single" w:sz="8" w:space="0" w:color="000000"/>
            </w:tcBorders>
            <w:noWrap/>
            <w:vAlign w:val="center"/>
            <w:hideMark/>
          </w:tcPr>
          <w:p w14:paraId="53379C12"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207.2</w:t>
            </w:r>
          </w:p>
        </w:tc>
        <w:tc>
          <w:tcPr>
            <w:tcW w:w="1006" w:type="dxa"/>
            <w:tcBorders>
              <w:top w:val="nil"/>
              <w:left w:val="nil"/>
              <w:bottom w:val="single" w:sz="8" w:space="0" w:color="000000"/>
              <w:right w:val="single" w:sz="8" w:space="0" w:color="000000"/>
            </w:tcBorders>
            <w:noWrap/>
            <w:vAlign w:val="center"/>
            <w:hideMark/>
          </w:tcPr>
          <w:p w14:paraId="176B4F16"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129,564.2</w:t>
            </w:r>
          </w:p>
        </w:tc>
        <w:tc>
          <w:tcPr>
            <w:tcW w:w="1006" w:type="dxa"/>
            <w:tcBorders>
              <w:top w:val="nil"/>
              <w:left w:val="nil"/>
              <w:bottom w:val="single" w:sz="8" w:space="0" w:color="000000"/>
              <w:right w:val="single" w:sz="4" w:space="0" w:color="auto"/>
            </w:tcBorders>
            <w:noWrap/>
            <w:vAlign w:val="center"/>
            <w:hideMark/>
          </w:tcPr>
          <w:p w14:paraId="0AC5ABBA"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415.7</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301BB653" w14:textId="69F1B7D0" w:rsidR="00CF7640" w:rsidRPr="002714B2" w:rsidRDefault="00CF7640" w:rsidP="00CF7640">
            <w:pPr>
              <w:spacing w:line="240" w:lineRule="auto"/>
              <w:jc w:val="center"/>
              <w:rPr>
                <w:rFonts w:ascii="Arial" w:hAnsi="Arial" w:cs="Arial"/>
                <w:color w:val="000000"/>
                <w:sz w:val="18"/>
                <w:szCs w:val="18"/>
              </w:rPr>
            </w:pPr>
            <w:r w:rsidRPr="002714B2">
              <w:rPr>
                <w:rFonts w:ascii="Arial" w:hAnsi="Arial" w:cs="Arial"/>
                <w:color w:val="000000"/>
                <w:sz w:val="18"/>
                <w:szCs w:val="18"/>
              </w:rPr>
              <w:t>535</w:t>
            </w:r>
          </w:p>
        </w:tc>
      </w:tr>
      <w:tr w:rsidR="00CF7640" w:rsidRPr="00C0271A" w14:paraId="3B57E3FD" w14:textId="77777777" w:rsidTr="00A94C91">
        <w:trPr>
          <w:trHeight w:val="533"/>
        </w:trPr>
        <w:tc>
          <w:tcPr>
            <w:tcW w:w="1439" w:type="dxa"/>
            <w:vMerge w:val="restart"/>
            <w:tcBorders>
              <w:top w:val="nil"/>
              <w:left w:val="single" w:sz="8" w:space="0" w:color="000000"/>
              <w:bottom w:val="single" w:sz="8" w:space="0" w:color="000000"/>
              <w:right w:val="single" w:sz="8" w:space="0" w:color="000000"/>
            </w:tcBorders>
            <w:vAlign w:val="center"/>
            <w:hideMark/>
          </w:tcPr>
          <w:p w14:paraId="7A970AEE" w14:textId="77777777" w:rsidR="00CF7640" w:rsidRPr="002714B2" w:rsidRDefault="00CF7640" w:rsidP="00CA3B62">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Santa Ana River Mainstem</w:t>
            </w:r>
          </w:p>
        </w:tc>
        <w:tc>
          <w:tcPr>
            <w:tcW w:w="1003" w:type="dxa"/>
            <w:tcBorders>
              <w:top w:val="nil"/>
              <w:left w:val="nil"/>
              <w:bottom w:val="single" w:sz="8" w:space="0" w:color="000000"/>
              <w:right w:val="single" w:sz="8" w:space="0" w:color="000000"/>
            </w:tcBorders>
            <w:vAlign w:val="center"/>
            <w:hideMark/>
          </w:tcPr>
          <w:p w14:paraId="0F8B45B3" w14:textId="77777777" w:rsidR="00CF7640" w:rsidRPr="002714B2" w:rsidRDefault="00CF7640" w:rsidP="00A94C91">
            <w:pPr>
              <w:spacing w:line="240" w:lineRule="auto"/>
              <w:jc w:val="center"/>
              <w:rPr>
                <w:rFonts w:ascii="Arial" w:hAnsi="Arial" w:cs="Arial"/>
                <w:color w:val="000000"/>
                <w:sz w:val="18"/>
                <w:szCs w:val="18"/>
              </w:rPr>
            </w:pPr>
            <w:r w:rsidRPr="002714B2">
              <w:rPr>
                <w:rFonts w:ascii="Arial" w:hAnsi="Arial" w:cs="Arial"/>
                <w:color w:val="000000"/>
                <w:sz w:val="18"/>
                <w:szCs w:val="18"/>
              </w:rPr>
              <w:t>MISSION</w:t>
            </w:r>
          </w:p>
        </w:tc>
        <w:tc>
          <w:tcPr>
            <w:tcW w:w="1005" w:type="dxa"/>
            <w:tcBorders>
              <w:top w:val="nil"/>
              <w:left w:val="nil"/>
              <w:bottom w:val="single" w:sz="8" w:space="0" w:color="000000"/>
              <w:right w:val="single" w:sz="8" w:space="0" w:color="000000"/>
            </w:tcBorders>
            <w:noWrap/>
            <w:vAlign w:val="center"/>
            <w:hideMark/>
          </w:tcPr>
          <w:p w14:paraId="6CFD939B"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338.4</w:t>
            </w:r>
          </w:p>
        </w:tc>
        <w:tc>
          <w:tcPr>
            <w:tcW w:w="1006" w:type="dxa"/>
            <w:tcBorders>
              <w:top w:val="nil"/>
              <w:left w:val="nil"/>
              <w:bottom w:val="single" w:sz="8" w:space="0" w:color="000000"/>
              <w:right w:val="single" w:sz="8" w:space="0" w:color="000000"/>
            </w:tcBorders>
            <w:noWrap/>
            <w:vAlign w:val="center"/>
            <w:hideMark/>
          </w:tcPr>
          <w:p w14:paraId="57148842"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444.8</w:t>
            </w:r>
          </w:p>
        </w:tc>
        <w:tc>
          <w:tcPr>
            <w:tcW w:w="1005" w:type="dxa"/>
            <w:tcBorders>
              <w:top w:val="nil"/>
              <w:left w:val="nil"/>
              <w:bottom w:val="single" w:sz="8" w:space="0" w:color="000000"/>
              <w:right w:val="single" w:sz="8" w:space="0" w:color="000000"/>
            </w:tcBorders>
            <w:noWrap/>
            <w:vAlign w:val="center"/>
            <w:hideMark/>
          </w:tcPr>
          <w:p w14:paraId="49BC3BFE"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55566E51"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4" w:space="0" w:color="auto"/>
            </w:tcBorders>
            <w:noWrap/>
            <w:vAlign w:val="center"/>
            <w:hideMark/>
          </w:tcPr>
          <w:p w14:paraId="6FD2FA9B"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220.9</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52490D7F" w14:textId="1EC6AD6B" w:rsidR="00CF7640" w:rsidRPr="002714B2" w:rsidRDefault="00CF7640" w:rsidP="00CF7640">
            <w:pPr>
              <w:spacing w:line="240" w:lineRule="auto"/>
              <w:jc w:val="center"/>
              <w:rPr>
                <w:rFonts w:ascii="Arial" w:hAnsi="Arial" w:cs="Arial"/>
                <w:color w:val="000000"/>
                <w:sz w:val="18"/>
                <w:szCs w:val="18"/>
              </w:rPr>
            </w:pPr>
            <w:r w:rsidRPr="002714B2">
              <w:rPr>
                <w:rFonts w:ascii="Arial" w:hAnsi="Arial" w:cs="Arial"/>
                <w:color w:val="000000"/>
                <w:sz w:val="18"/>
                <w:szCs w:val="18"/>
              </w:rPr>
              <w:t>116</w:t>
            </w:r>
          </w:p>
        </w:tc>
      </w:tr>
      <w:tr w:rsidR="00CF7640" w:rsidRPr="00C0271A" w14:paraId="6C73FB23" w14:textId="77777777" w:rsidTr="00A94C91">
        <w:trPr>
          <w:trHeight w:val="533"/>
        </w:trPr>
        <w:tc>
          <w:tcPr>
            <w:tcW w:w="1439" w:type="dxa"/>
            <w:vMerge/>
            <w:tcBorders>
              <w:top w:val="nil"/>
              <w:left w:val="single" w:sz="8" w:space="0" w:color="000000"/>
              <w:bottom w:val="single" w:sz="8" w:space="0" w:color="000000"/>
              <w:right w:val="single" w:sz="8" w:space="0" w:color="000000"/>
            </w:tcBorders>
            <w:vAlign w:val="center"/>
            <w:hideMark/>
          </w:tcPr>
          <w:p w14:paraId="6ABF4A8C" w14:textId="77777777" w:rsidR="00CF7640" w:rsidRPr="002714B2" w:rsidRDefault="00CF7640" w:rsidP="00CA3B62">
            <w:pPr>
              <w:spacing w:line="240" w:lineRule="auto"/>
              <w:rPr>
                <w:rFonts w:ascii="Arial" w:hAnsi="Arial" w:cs="Arial"/>
                <w:b/>
                <w:bCs/>
                <w:color w:val="000000"/>
                <w:sz w:val="18"/>
                <w:szCs w:val="18"/>
              </w:rPr>
            </w:pPr>
          </w:p>
        </w:tc>
        <w:tc>
          <w:tcPr>
            <w:tcW w:w="1003" w:type="dxa"/>
            <w:tcBorders>
              <w:top w:val="nil"/>
              <w:left w:val="nil"/>
              <w:bottom w:val="single" w:sz="8" w:space="0" w:color="000000"/>
              <w:right w:val="single" w:sz="8" w:space="0" w:color="000000"/>
            </w:tcBorders>
            <w:vAlign w:val="center"/>
            <w:hideMark/>
          </w:tcPr>
          <w:p w14:paraId="479BCFCD" w14:textId="77777777" w:rsidR="00CF7640" w:rsidRPr="002714B2" w:rsidRDefault="00CF7640" w:rsidP="00A94C91">
            <w:pPr>
              <w:spacing w:line="240" w:lineRule="auto"/>
              <w:jc w:val="center"/>
              <w:rPr>
                <w:rFonts w:ascii="Arial" w:hAnsi="Arial" w:cs="Arial"/>
                <w:color w:val="000000"/>
                <w:sz w:val="18"/>
                <w:szCs w:val="18"/>
              </w:rPr>
            </w:pPr>
            <w:r w:rsidRPr="002714B2">
              <w:rPr>
                <w:rFonts w:ascii="Arial" w:hAnsi="Arial" w:cs="Arial"/>
                <w:color w:val="000000"/>
                <w:sz w:val="18"/>
                <w:szCs w:val="18"/>
              </w:rPr>
              <w:t>P3-SBC1</w:t>
            </w:r>
          </w:p>
        </w:tc>
        <w:tc>
          <w:tcPr>
            <w:tcW w:w="1005" w:type="dxa"/>
            <w:tcBorders>
              <w:top w:val="nil"/>
              <w:left w:val="nil"/>
              <w:bottom w:val="single" w:sz="8" w:space="0" w:color="000000"/>
              <w:right w:val="single" w:sz="8" w:space="0" w:color="000000"/>
            </w:tcBorders>
            <w:noWrap/>
            <w:vAlign w:val="center"/>
            <w:hideMark/>
          </w:tcPr>
          <w:p w14:paraId="3F7FB760"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21AAB7CB"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5" w:type="dxa"/>
            <w:tcBorders>
              <w:top w:val="nil"/>
              <w:left w:val="nil"/>
              <w:bottom w:val="single" w:sz="8" w:space="0" w:color="000000"/>
              <w:right w:val="single" w:sz="8" w:space="0" w:color="000000"/>
            </w:tcBorders>
            <w:noWrap/>
            <w:vAlign w:val="center"/>
            <w:hideMark/>
          </w:tcPr>
          <w:p w14:paraId="2D599906"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8" w:space="0" w:color="000000"/>
            </w:tcBorders>
            <w:noWrap/>
            <w:vAlign w:val="center"/>
            <w:hideMark/>
          </w:tcPr>
          <w:p w14:paraId="61505072"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06" w:type="dxa"/>
            <w:tcBorders>
              <w:top w:val="nil"/>
              <w:left w:val="nil"/>
              <w:bottom w:val="single" w:sz="8" w:space="0" w:color="000000"/>
              <w:right w:val="single" w:sz="4" w:space="0" w:color="auto"/>
            </w:tcBorders>
            <w:noWrap/>
            <w:vAlign w:val="center"/>
            <w:hideMark/>
          </w:tcPr>
          <w:p w14:paraId="612B1A60" w14:textId="77777777" w:rsidR="00CF7640" w:rsidRPr="002714B2" w:rsidRDefault="00CF7640" w:rsidP="00CA3B6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080" w:type="dxa"/>
            <w:gridSpan w:val="2"/>
            <w:tcBorders>
              <w:top w:val="single" w:sz="4" w:space="0" w:color="auto"/>
              <w:left w:val="single" w:sz="4" w:space="0" w:color="auto"/>
              <w:bottom w:val="single" w:sz="4" w:space="0" w:color="auto"/>
              <w:right w:val="single" w:sz="4" w:space="0" w:color="auto"/>
            </w:tcBorders>
            <w:vAlign w:val="center"/>
          </w:tcPr>
          <w:p w14:paraId="54D6309F" w14:textId="11940536" w:rsidR="00CF7640" w:rsidRPr="002714B2" w:rsidRDefault="00CF7640" w:rsidP="00CF7640">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bl>
    <w:p w14:paraId="10D1714A" w14:textId="2C49E504" w:rsidR="00CF7640" w:rsidRPr="003A34AF" w:rsidRDefault="003A34AF" w:rsidP="00C11DCD">
      <w:pPr>
        <w:pStyle w:val="BodyText"/>
        <w:spacing w:after="0"/>
        <w:rPr>
          <w:rFonts w:ascii="Arial" w:hAnsi="Arial" w:cs="Arial"/>
          <w:sz w:val="16"/>
          <w:szCs w:val="16"/>
        </w:rPr>
      </w:pPr>
      <w:r w:rsidRPr="003A34AF">
        <w:rPr>
          <w:rFonts w:ascii="Arial" w:hAnsi="Arial" w:cs="Arial"/>
          <w:sz w:val="16"/>
          <w:szCs w:val="16"/>
          <w:vertAlign w:val="superscript"/>
        </w:rPr>
        <w:t>1</w:t>
      </w:r>
      <w:r w:rsidR="00E5313D" w:rsidRPr="003A34AF">
        <w:rPr>
          <w:rFonts w:ascii="Arial" w:hAnsi="Arial" w:cs="Arial"/>
          <w:sz w:val="16"/>
          <w:szCs w:val="16"/>
        </w:rPr>
        <w:t>Week 1=8/4-8/7/2025; Week 2=8/11-8/14/2025; Week 3=8/18/-8/21/2025; Week 4=8/25/-8/28/2025; Week 5=9/02/-9/04/2025</w:t>
      </w:r>
    </w:p>
    <w:p w14:paraId="350260E6" w14:textId="18C4753A" w:rsidR="00CF7640" w:rsidRPr="003A34AF" w:rsidRDefault="003A34AF" w:rsidP="003A34AF">
      <w:pPr>
        <w:pStyle w:val="BodyText"/>
        <w:spacing w:after="0"/>
        <w:rPr>
          <w:rFonts w:ascii="Arial" w:hAnsi="Arial" w:cs="Arial"/>
          <w:sz w:val="16"/>
          <w:szCs w:val="16"/>
        </w:rPr>
      </w:pPr>
      <w:r w:rsidRPr="003A34AF">
        <w:rPr>
          <w:rFonts w:ascii="Arial" w:hAnsi="Arial" w:cs="Arial"/>
          <w:sz w:val="16"/>
          <w:szCs w:val="16"/>
          <w:vertAlign w:val="superscript"/>
        </w:rPr>
        <w:t>2</w:t>
      </w:r>
      <w:r w:rsidR="00CF7640" w:rsidRPr="003A34AF">
        <w:rPr>
          <w:rFonts w:ascii="Arial" w:hAnsi="Arial" w:cs="Arial"/>
          <w:sz w:val="16"/>
          <w:szCs w:val="16"/>
        </w:rPr>
        <w:t xml:space="preserve"> For geometric mean calculation purposes, 0.5* LOD was used for LOD samples and 0.1* the LOD was used for </w:t>
      </w:r>
      <w:proofErr w:type="gramStart"/>
      <w:r w:rsidR="00CF7640" w:rsidRPr="003A34AF">
        <w:rPr>
          <w:rFonts w:ascii="Arial" w:hAnsi="Arial" w:cs="Arial"/>
          <w:sz w:val="16"/>
          <w:szCs w:val="16"/>
        </w:rPr>
        <w:t>Non-Detect</w:t>
      </w:r>
      <w:proofErr w:type="gramEnd"/>
      <w:r w:rsidR="00CF7640" w:rsidRPr="003A34AF">
        <w:rPr>
          <w:rFonts w:ascii="Arial" w:hAnsi="Arial" w:cs="Arial"/>
          <w:sz w:val="16"/>
          <w:szCs w:val="16"/>
        </w:rPr>
        <w:t xml:space="preserve"> results</w:t>
      </w:r>
    </w:p>
    <w:p w14:paraId="272818F8" w14:textId="22C4F4E1" w:rsidR="003A34AF" w:rsidRPr="003A34AF" w:rsidRDefault="003A34AF" w:rsidP="00C11DCD">
      <w:pPr>
        <w:pStyle w:val="BodyText"/>
        <w:rPr>
          <w:rFonts w:ascii="Arial" w:hAnsi="Arial" w:cs="Arial"/>
          <w:sz w:val="16"/>
          <w:szCs w:val="16"/>
        </w:rPr>
      </w:pPr>
      <w:r w:rsidRPr="003A34AF">
        <w:rPr>
          <w:rFonts w:ascii="Arial" w:hAnsi="Arial" w:cs="Arial"/>
          <w:sz w:val="16"/>
          <w:szCs w:val="16"/>
        </w:rPr>
        <w:t>LOD = limit of detection, approximately 50 gene copies/100mL</w:t>
      </w:r>
    </w:p>
    <w:p w14:paraId="5F4A59F7" w14:textId="3D99C292" w:rsidR="006E176B" w:rsidRDefault="006E176B" w:rsidP="006E176B">
      <w:pPr>
        <w:spacing w:after="240"/>
      </w:pPr>
      <w:r w:rsidRPr="00C855C4">
        <w:t xml:space="preserve">Recent </w:t>
      </w:r>
      <w:r>
        <w:t xml:space="preserve">studies have </w:t>
      </w:r>
      <w:r w:rsidRPr="00C855C4">
        <w:t xml:space="preserve">shown that </w:t>
      </w:r>
      <w:r>
        <w:t xml:space="preserve">in addition to defecation, </w:t>
      </w:r>
      <w:r w:rsidRPr="00C855C4">
        <w:t>human activities such as wading, bathing, handwashing, and laundry</w:t>
      </w:r>
      <w:r>
        <w:t xml:space="preserve"> can </w:t>
      </w:r>
      <w:r w:rsidRPr="00C855C4">
        <w:t>contribute to HF183 concentrations (Li et al. 202</w:t>
      </w:r>
      <w:r>
        <w:t>2</w:t>
      </w:r>
      <w:r w:rsidRPr="00C855C4">
        <w:t>)</w:t>
      </w:r>
      <w:r>
        <w:t>, although to a lesser extent</w:t>
      </w:r>
      <w:r w:rsidRPr="00C855C4">
        <w:t xml:space="preserve">. Sewage exfiltration </w:t>
      </w:r>
      <w:r>
        <w:t xml:space="preserve">can </w:t>
      </w:r>
      <w:r w:rsidRPr="00C855C4">
        <w:t xml:space="preserve">also </w:t>
      </w:r>
      <w:r>
        <w:t xml:space="preserve">be </w:t>
      </w:r>
      <w:r w:rsidRPr="00C855C4">
        <w:t xml:space="preserve">a potential source of human marker (Schiff et al., 2023; Schiff et al., 2025). </w:t>
      </w:r>
      <w:proofErr w:type="gramStart"/>
      <w:r>
        <w:t>B</w:t>
      </w:r>
      <w:r w:rsidRPr="00C855C4">
        <w:t xml:space="preserve">oth </w:t>
      </w:r>
      <w:r>
        <w:t>of these</w:t>
      </w:r>
      <w:proofErr w:type="gramEnd"/>
      <w:r>
        <w:t xml:space="preserve"> types of sources </w:t>
      </w:r>
      <w:r w:rsidRPr="00C855C4">
        <w:t xml:space="preserve">can account for the elevated </w:t>
      </w:r>
      <w:proofErr w:type="gramStart"/>
      <w:r w:rsidRPr="00C855C4">
        <w:t>HF183</w:t>
      </w:r>
      <w:proofErr w:type="gramEnd"/>
      <w:r w:rsidRPr="00C855C4">
        <w:t xml:space="preserve"> and </w:t>
      </w:r>
      <w:r w:rsidRPr="00CA3B62">
        <w:rPr>
          <w:i/>
        </w:rPr>
        <w:t>E. coli</w:t>
      </w:r>
      <w:r w:rsidRPr="00C855C4">
        <w:t xml:space="preserve"> concentrations observed </w:t>
      </w:r>
      <w:r>
        <w:t>during the 2025 Synoptic Study</w:t>
      </w:r>
      <w:r>
        <w:t>.</w:t>
      </w:r>
    </w:p>
    <w:p w14:paraId="64B66751" w14:textId="05927976" w:rsidR="00E5313D" w:rsidRPr="00A22F90" w:rsidRDefault="00E5313D" w:rsidP="00E5313D">
      <w:pPr>
        <w:pStyle w:val="Heading4"/>
        <w:tabs>
          <w:tab w:val="num" w:pos="5796"/>
        </w:tabs>
      </w:pPr>
      <w:r w:rsidRPr="00602C2F">
        <w:t xml:space="preserve">Bacteroides </w:t>
      </w:r>
      <w:r w:rsidRPr="00A22F90">
        <w:t>HF183 Gene Concentrations at Tier 1 Sites</w:t>
      </w:r>
    </w:p>
    <w:p w14:paraId="42A7229B" w14:textId="2AF80A4B" w:rsidR="00E5313D" w:rsidRDefault="00E5313D" w:rsidP="006E176B">
      <w:pPr>
        <w:pStyle w:val="BodyText"/>
        <w:rPr>
          <w:b/>
        </w:rPr>
      </w:pPr>
      <w:r>
        <w:t xml:space="preserve">For Tier 1 sites the human marker was detected at a frequency of approximately </w:t>
      </w:r>
      <w:r w:rsidRPr="00CA3B62">
        <w:t>32%</w:t>
      </w:r>
      <w:r>
        <w:t xml:space="preserve"> with the concentrations ranging from 73 to 33,413 </w:t>
      </w:r>
      <w:proofErr w:type="spellStart"/>
      <w:r>
        <w:t>gc</w:t>
      </w:r>
      <w:proofErr w:type="spellEnd"/>
      <w:r>
        <w:t xml:space="preserve">/100mL of human </w:t>
      </w:r>
      <w:r w:rsidR="00563250">
        <w:t>marker, HF</w:t>
      </w:r>
      <w:r>
        <w:t>183 (</w:t>
      </w:r>
      <w:r w:rsidRPr="00BE7810">
        <w:rPr>
          <w:b/>
        </w:rPr>
        <w:t>Table 3-</w:t>
      </w:r>
      <w:r>
        <w:rPr>
          <w:b/>
        </w:rPr>
        <w:t>9</w:t>
      </w:r>
      <w:r>
        <w:t xml:space="preserve">). The human marker was not detected at </w:t>
      </w:r>
      <w:r w:rsidRPr="00B34D7F">
        <w:t>Chino</w:t>
      </w:r>
      <w:r>
        <w:t xml:space="preserve">, </w:t>
      </w:r>
      <w:r w:rsidRPr="00B34D7F">
        <w:t>Carbon C</w:t>
      </w:r>
      <w:r>
        <w:t xml:space="preserve">anyon (CCCH), and </w:t>
      </w:r>
      <w:r w:rsidRPr="00B34D7F">
        <w:t xml:space="preserve">Cucamonga </w:t>
      </w:r>
      <w:r>
        <w:t xml:space="preserve">Creeks, and at Eastvale MPD Line D &amp;E </w:t>
      </w:r>
      <w:r w:rsidRPr="00CA3B62">
        <w:rPr>
          <w:b/>
        </w:rPr>
        <w:t>(Table 3-9)</w:t>
      </w:r>
      <w:r>
        <w:rPr>
          <w:b/>
        </w:rPr>
        <w:t xml:space="preserve">.  </w:t>
      </w:r>
      <w:r w:rsidRPr="00CA3B62">
        <w:t>However, the human marker HF183 was consistently detected at Box Springs (T1-BXSP), Magnolia Center (T1-MCSD), and Sunnyslope Channel (SNCH; Table 3-9).</w:t>
      </w:r>
      <w:r>
        <w:t xml:space="preserve">  The human marker concentration was </w:t>
      </w:r>
      <w:r w:rsidR="00563250">
        <w:t>the highest</w:t>
      </w:r>
      <w:r>
        <w:t xml:space="preserve"> at Magnolia Center (T1-MCSD) and at Box Springs (T1-BXSP), with </w:t>
      </w:r>
      <w:r w:rsidR="00A1591D">
        <w:t>geometric</w:t>
      </w:r>
      <w:r>
        <w:t xml:space="preserve"> mean concentration of approximately </w:t>
      </w:r>
      <w:r w:rsidR="00A1591D">
        <w:t xml:space="preserve">26,614 </w:t>
      </w:r>
      <w:proofErr w:type="spellStart"/>
      <w:r>
        <w:t>gc</w:t>
      </w:r>
      <w:proofErr w:type="spellEnd"/>
      <w:r>
        <w:t xml:space="preserve">/100ML and </w:t>
      </w:r>
      <w:r w:rsidR="00A1591D">
        <w:t xml:space="preserve">1,574 </w:t>
      </w:r>
      <w:proofErr w:type="spellStart"/>
      <w:r>
        <w:t>gc</w:t>
      </w:r>
      <w:proofErr w:type="spellEnd"/>
      <w:r>
        <w:t xml:space="preserve">/100mL respectively. </w:t>
      </w:r>
      <w:r w:rsidR="00A1591D">
        <w:t xml:space="preserve">A heatmap of HF183 geometric mean concentrations at Tier 1 and Tier 2 sites is provided in </w:t>
      </w:r>
      <w:r w:rsidR="00A1591D" w:rsidRPr="00CA3B62">
        <w:rPr>
          <w:b/>
        </w:rPr>
        <w:t>Figure 3-20</w:t>
      </w:r>
      <w:r w:rsidR="00CC310E">
        <w:rPr>
          <w:b/>
        </w:rPr>
        <w:t>.</w:t>
      </w:r>
    </w:p>
    <w:p w14:paraId="0430543D" w14:textId="77777777" w:rsidR="009B59A3" w:rsidRPr="00CA3B62" w:rsidRDefault="009B59A3" w:rsidP="009B59A3">
      <w:pPr>
        <w:pStyle w:val="BodyText"/>
        <w:rPr>
          <w:b/>
          <w:i/>
        </w:rPr>
      </w:pPr>
      <w:r w:rsidRPr="00CA3B62">
        <w:rPr>
          <w:b/>
          <w:i/>
        </w:rPr>
        <w:t>Bacteroides HF183 Gene Concentrations at Tier 2 Sites</w:t>
      </w:r>
    </w:p>
    <w:p w14:paraId="11EF87FD" w14:textId="5C4B3919" w:rsidR="009B59A3" w:rsidRDefault="009B59A3" w:rsidP="00E5313D">
      <w:pPr>
        <w:pStyle w:val="BodyText"/>
      </w:pPr>
      <w:r w:rsidRPr="00CA3B62">
        <w:t xml:space="preserve">For Tier </w:t>
      </w:r>
      <w:r>
        <w:t>2</w:t>
      </w:r>
      <w:r w:rsidRPr="00CA3B62">
        <w:t xml:space="preserve"> sites the human marker was detected at a </w:t>
      </w:r>
      <w:r>
        <w:t xml:space="preserve">lower frequency when compared to Tier 1 sites because Tier 2 sites were located within the Cucamonga Creek watershed, where HF183 was minimally present. The </w:t>
      </w:r>
      <w:r w:rsidRPr="00CA3B62">
        <w:t>frequency</w:t>
      </w:r>
      <w:r>
        <w:t xml:space="preserve"> of detection of the human marker, HF183 was </w:t>
      </w:r>
      <w:r w:rsidRPr="00CA3B62">
        <w:lastRenderedPageBreak/>
        <w:t xml:space="preserve">approximately </w:t>
      </w:r>
      <w:r>
        <w:t>10</w:t>
      </w:r>
      <w:r w:rsidRPr="00CA3B62">
        <w:t>%</w:t>
      </w:r>
      <w:r>
        <w:t xml:space="preserve"> due to HF183 detection on 8/21/25 at County Line Channel (T2-CLCH, 128gc/100mL; </w:t>
      </w:r>
      <w:r w:rsidRPr="00CA3B62">
        <w:rPr>
          <w:b/>
        </w:rPr>
        <w:t>Table 3-9</w:t>
      </w:r>
      <w:r>
        <w:rPr>
          <w:b/>
        </w:rPr>
        <w:t xml:space="preserve">). </w:t>
      </w:r>
      <w:r>
        <w:t xml:space="preserve"> At the remaining </w:t>
      </w:r>
      <w:r w:rsidRPr="00CA3B62">
        <w:t xml:space="preserve">Tier </w:t>
      </w:r>
      <w:r>
        <w:t>2</w:t>
      </w:r>
      <w:r w:rsidRPr="00CA3B62">
        <w:t xml:space="preserve"> sites</w:t>
      </w:r>
      <w:r>
        <w:t>,</w:t>
      </w:r>
      <w:r w:rsidRPr="00CA3B62">
        <w:t xml:space="preserve"> the </w:t>
      </w:r>
      <w:r>
        <w:t xml:space="preserve">human marker was not detected during the five week sampling period. </w:t>
      </w:r>
    </w:p>
    <w:tbl>
      <w:tblPr>
        <w:tblW w:w="8820" w:type="dxa"/>
        <w:tblLayout w:type="fixed"/>
        <w:tblLook w:val="04A0" w:firstRow="1" w:lastRow="0" w:firstColumn="1" w:lastColumn="0" w:noHBand="0" w:noVBand="1"/>
      </w:tblPr>
      <w:tblGrid>
        <w:gridCol w:w="1080"/>
        <w:gridCol w:w="1710"/>
        <w:gridCol w:w="972"/>
        <w:gridCol w:w="972"/>
        <w:gridCol w:w="972"/>
        <w:gridCol w:w="972"/>
        <w:gridCol w:w="972"/>
        <w:gridCol w:w="630"/>
        <w:gridCol w:w="540"/>
      </w:tblGrid>
      <w:tr w:rsidR="00563250" w:rsidRPr="00C0271A" w14:paraId="6AC12ABB" w14:textId="62943D5D" w:rsidTr="003A34AF">
        <w:trPr>
          <w:trHeight w:val="315"/>
        </w:trPr>
        <w:tc>
          <w:tcPr>
            <w:tcW w:w="8280" w:type="dxa"/>
            <w:gridSpan w:val="8"/>
            <w:tcBorders>
              <w:bottom w:val="single" w:sz="8" w:space="0" w:color="000000"/>
            </w:tcBorders>
            <w:vAlign w:val="center"/>
          </w:tcPr>
          <w:p w14:paraId="20E776B1" w14:textId="3478ABAF" w:rsidR="00563250" w:rsidRPr="003A34AF" w:rsidRDefault="003A34AF" w:rsidP="003A34AF">
            <w:pPr>
              <w:pStyle w:val="Caption"/>
              <w:keepNext/>
            </w:pPr>
            <w:bookmarkStart w:id="127" w:name="_Toc217391766"/>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9</w:t>
            </w:r>
            <w:r w:rsidR="00FE614C">
              <w:fldChar w:fldCharType="end"/>
            </w:r>
            <w:r>
              <w:t>.</w:t>
            </w:r>
            <w:r w:rsidR="00563250" w:rsidRPr="00584549">
              <w:t xml:space="preserve"> </w:t>
            </w:r>
            <w:r w:rsidR="00563250">
              <w:t xml:space="preserve">HF183 </w:t>
            </w:r>
            <w:r w:rsidR="00563250" w:rsidRPr="00584549">
              <w:t>Results</w:t>
            </w:r>
            <w:r w:rsidR="00563250">
              <w:t xml:space="preserve"> </w:t>
            </w:r>
            <w:r w:rsidR="00563250" w:rsidRPr="001D2FD5">
              <w:t>at</w:t>
            </w:r>
            <w:r w:rsidR="00563250" w:rsidRPr="0087078B">
              <w:rPr>
                <w:bCs/>
              </w:rPr>
              <w:t xml:space="preserve"> </w:t>
            </w:r>
            <w:r w:rsidR="00563250">
              <w:rPr>
                <w:bCs/>
              </w:rPr>
              <w:t>Tier 1 and Tier 2 Sites</w:t>
            </w:r>
            <w:bookmarkEnd w:id="127"/>
            <w:r w:rsidR="00563250" w:rsidRPr="001D2FD5">
              <w:t xml:space="preserve"> </w:t>
            </w:r>
          </w:p>
        </w:tc>
        <w:tc>
          <w:tcPr>
            <w:tcW w:w="540" w:type="dxa"/>
            <w:tcBorders>
              <w:bottom w:val="single" w:sz="4" w:space="0" w:color="auto"/>
            </w:tcBorders>
          </w:tcPr>
          <w:p w14:paraId="6C030607" w14:textId="77777777" w:rsidR="00563250" w:rsidRPr="001D2FD5" w:rsidRDefault="00563250" w:rsidP="00CA3B62">
            <w:pPr>
              <w:spacing w:line="240" w:lineRule="auto"/>
              <w:rPr>
                <w:rFonts w:ascii="Arial" w:hAnsi="Arial" w:cs="Arial"/>
                <w:b/>
                <w:bCs/>
                <w:color w:val="000000" w:themeColor="text1"/>
                <w:sz w:val="20"/>
              </w:rPr>
            </w:pPr>
          </w:p>
        </w:tc>
      </w:tr>
      <w:tr w:rsidR="00563250" w:rsidRPr="00C0271A" w14:paraId="696C52B3" w14:textId="77777777" w:rsidTr="002714B2">
        <w:trPr>
          <w:trHeight w:val="315"/>
        </w:trPr>
        <w:tc>
          <w:tcPr>
            <w:tcW w:w="1080" w:type="dxa"/>
            <w:vMerge w:val="restart"/>
            <w:tcBorders>
              <w:top w:val="single" w:sz="8" w:space="0" w:color="auto"/>
              <w:left w:val="single" w:sz="8" w:space="0" w:color="000000"/>
              <w:right w:val="single" w:sz="8" w:space="0" w:color="000000"/>
            </w:tcBorders>
            <w:shd w:val="clear" w:color="auto" w:fill="F2F2F2" w:themeFill="background1" w:themeFillShade="F2"/>
            <w:vAlign w:val="center"/>
          </w:tcPr>
          <w:p w14:paraId="068F9360" w14:textId="0F1EF59B" w:rsidR="00563250" w:rsidRPr="002714B2" w:rsidRDefault="00563250" w:rsidP="002714B2">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Site Type</w:t>
            </w:r>
          </w:p>
        </w:tc>
        <w:tc>
          <w:tcPr>
            <w:tcW w:w="1710" w:type="dxa"/>
            <w:vMerge w:val="restart"/>
            <w:tcBorders>
              <w:top w:val="nil"/>
              <w:left w:val="nil"/>
              <w:right w:val="single" w:sz="8" w:space="0" w:color="000000"/>
            </w:tcBorders>
            <w:shd w:val="clear" w:color="auto" w:fill="F2F2F2" w:themeFill="background1" w:themeFillShade="F2"/>
            <w:vAlign w:val="center"/>
          </w:tcPr>
          <w:p w14:paraId="4D156FF0" w14:textId="40FAD3C8" w:rsidR="00563250" w:rsidRPr="002714B2" w:rsidRDefault="00563250" w:rsidP="002714B2">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Site ID</w:t>
            </w:r>
          </w:p>
        </w:tc>
        <w:tc>
          <w:tcPr>
            <w:tcW w:w="6030" w:type="dxa"/>
            <w:gridSpan w:val="7"/>
            <w:tcBorders>
              <w:top w:val="nil"/>
              <w:left w:val="nil"/>
              <w:bottom w:val="single" w:sz="4" w:space="0" w:color="auto"/>
              <w:right w:val="single" w:sz="4" w:space="0" w:color="auto"/>
            </w:tcBorders>
            <w:shd w:val="clear" w:color="auto" w:fill="F2F2F2" w:themeFill="background1" w:themeFillShade="F2"/>
            <w:noWrap/>
            <w:vAlign w:val="center"/>
          </w:tcPr>
          <w:p w14:paraId="71050A62" w14:textId="14B0BC90" w:rsidR="00563250" w:rsidRPr="002714B2" w:rsidRDefault="00563250" w:rsidP="002714B2">
            <w:pPr>
              <w:spacing w:line="240" w:lineRule="auto"/>
              <w:jc w:val="center"/>
              <w:rPr>
                <w:rFonts w:ascii="Arial" w:hAnsi="Arial" w:cs="Arial"/>
                <w:b/>
                <w:bCs/>
                <w:sz w:val="18"/>
                <w:szCs w:val="18"/>
                <w:vertAlign w:val="superscript"/>
              </w:rPr>
            </w:pPr>
            <w:r w:rsidRPr="002714B2">
              <w:rPr>
                <w:rFonts w:ascii="Arial" w:hAnsi="Arial" w:cs="Arial"/>
                <w:b/>
                <w:bCs/>
                <w:sz w:val="18"/>
                <w:szCs w:val="18"/>
              </w:rPr>
              <w:t>HF183 Results (gene copies/100mL)</w:t>
            </w:r>
            <w:r w:rsidR="003A34AF" w:rsidRPr="002714B2">
              <w:rPr>
                <w:rFonts w:ascii="Arial" w:hAnsi="Arial" w:cs="Arial"/>
                <w:b/>
                <w:bCs/>
                <w:sz w:val="18"/>
                <w:szCs w:val="18"/>
                <w:vertAlign w:val="superscript"/>
              </w:rPr>
              <w:t>1</w:t>
            </w:r>
          </w:p>
        </w:tc>
      </w:tr>
      <w:tr w:rsidR="00563250" w:rsidRPr="00C0271A" w14:paraId="6E88BB6D" w14:textId="0FE0FD1E" w:rsidTr="002714B2">
        <w:trPr>
          <w:trHeight w:val="315"/>
        </w:trPr>
        <w:tc>
          <w:tcPr>
            <w:tcW w:w="1080" w:type="dxa"/>
            <w:vMerge/>
            <w:tcBorders>
              <w:left w:val="single" w:sz="8" w:space="0" w:color="000000"/>
              <w:bottom w:val="single" w:sz="4" w:space="0" w:color="auto"/>
              <w:right w:val="single" w:sz="8" w:space="0" w:color="000000"/>
            </w:tcBorders>
            <w:shd w:val="clear" w:color="auto" w:fill="F2F2F2" w:themeFill="background1" w:themeFillShade="F2"/>
            <w:vAlign w:val="center"/>
          </w:tcPr>
          <w:p w14:paraId="0F913E40" w14:textId="60860F17" w:rsidR="00563250" w:rsidRPr="002714B2" w:rsidRDefault="00563250" w:rsidP="002714B2">
            <w:pPr>
              <w:spacing w:line="240" w:lineRule="auto"/>
              <w:jc w:val="center"/>
              <w:rPr>
                <w:rFonts w:ascii="Arial" w:hAnsi="Arial" w:cs="Arial"/>
                <w:b/>
                <w:bCs/>
                <w:color w:val="000000"/>
                <w:sz w:val="18"/>
                <w:szCs w:val="18"/>
              </w:rPr>
            </w:pPr>
          </w:p>
        </w:tc>
        <w:tc>
          <w:tcPr>
            <w:tcW w:w="1710" w:type="dxa"/>
            <w:vMerge/>
            <w:tcBorders>
              <w:left w:val="nil"/>
              <w:bottom w:val="single" w:sz="4" w:space="0" w:color="auto"/>
              <w:right w:val="single" w:sz="8" w:space="0" w:color="000000"/>
            </w:tcBorders>
            <w:shd w:val="clear" w:color="auto" w:fill="F2F2F2" w:themeFill="background1" w:themeFillShade="F2"/>
            <w:vAlign w:val="center"/>
          </w:tcPr>
          <w:p w14:paraId="520DC975" w14:textId="5F5F952A" w:rsidR="00563250" w:rsidRPr="002714B2" w:rsidRDefault="00563250" w:rsidP="002714B2">
            <w:pPr>
              <w:spacing w:line="240" w:lineRule="auto"/>
              <w:jc w:val="center"/>
              <w:rPr>
                <w:rFonts w:ascii="Arial" w:hAnsi="Arial" w:cs="Arial"/>
                <w:b/>
                <w:bCs/>
                <w:color w:val="000000"/>
                <w:sz w:val="18"/>
                <w:szCs w:val="18"/>
              </w:rPr>
            </w:pPr>
          </w:p>
        </w:tc>
        <w:tc>
          <w:tcPr>
            <w:tcW w:w="972" w:type="dxa"/>
            <w:tcBorders>
              <w:top w:val="nil"/>
              <w:left w:val="nil"/>
              <w:bottom w:val="single" w:sz="4" w:space="0" w:color="auto"/>
              <w:right w:val="single" w:sz="8" w:space="0" w:color="000000"/>
            </w:tcBorders>
            <w:shd w:val="clear" w:color="auto" w:fill="F2F2F2" w:themeFill="background1" w:themeFillShade="F2"/>
            <w:noWrap/>
            <w:vAlign w:val="center"/>
          </w:tcPr>
          <w:p w14:paraId="75F66DC9" w14:textId="77777777" w:rsidR="00563250" w:rsidRPr="002714B2" w:rsidRDefault="00563250" w:rsidP="002714B2">
            <w:pPr>
              <w:spacing w:line="240" w:lineRule="auto"/>
              <w:jc w:val="center"/>
              <w:rPr>
                <w:rFonts w:ascii="Arial" w:hAnsi="Arial" w:cs="Arial"/>
                <w:b/>
                <w:bCs/>
                <w:sz w:val="18"/>
                <w:szCs w:val="18"/>
              </w:rPr>
            </w:pPr>
            <w:r w:rsidRPr="002714B2">
              <w:rPr>
                <w:rFonts w:ascii="Arial" w:hAnsi="Arial" w:cs="Arial"/>
                <w:b/>
                <w:bCs/>
                <w:sz w:val="18"/>
                <w:szCs w:val="18"/>
              </w:rPr>
              <w:t>Week1</w:t>
            </w:r>
          </w:p>
        </w:tc>
        <w:tc>
          <w:tcPr>
            <w:tcW w:w="972" w:type="dxa"/>
            <w:tcBorders>
              <w:top w:val="nil"/>
              <w:left w:val="nil"/>
              <w:bottom w:val="single" w:sz="4" w:space="0" w:color="auto"/>
              <w:right w:val="single" w:sz="8" w:space="0" w:color="000000"/>
            </w:tcBorders>
            <w:shd w:val="clear" w:color="auto" w:fill="F2F2F2" w:themeFill="background1" w:themeFillShade="F2"/>
            <w:noWrap/>
            <w:vAlign w:val="center"/>
          </w:tcPr>
          <w:p w14:paraId="09DEA186" w14:textId="77777777" w:rsidR="00563250" w:rsidRPr="002714B2" w:rsidRDefault="00563250" w:rsidP="002714B2">
            <w:pPr>
              <w:spacing w:line="240" w:lineRule="auto"/>
              <w:jc w:val="center"/>
              <w:rPr>
                <w:rFonts w:ascii="Arial" w:hAnsi="Arial" w:cs="Arial"/>
                <w:b/>
                <w:bCs/>
                <w:sz w:val="18"/>
                <w:szCs w:val="18"/>
              </w:rPr>
            </w:pPr>
            <w:r w:rsidRPr="002714B2">
              <w:rPr>
                <w:rFonts w:ascii="Arial" w:hAnsi="Arial" w:cs="Arial"/>
                <w:b/>
                <w:bCs/>
                <w:sz w:val="18"/>
                <w:szCs w:val="18"/>
              </w:rPr>
              <w:t>Week 2</w:t>
            </w:r>
          </w:p>
        </w:tc>
        <w:tc>
          <w:tcPr>
            <w:tcW w:w="972" w:type="dxa"/>
            <w:tcBorders>
              <w:top w:val="nil"/>
              <w:left w:val="nil"/>
              <w:bottom w:val="single" w:sz="4" w:space="0" w:color="auto"/>
              <w:right w:val="single" w:sz="8" w:space="0" w:color="000000"/>
            </w:tcBorders>
            <w:shd w:val="clear" w:color="auto" w:fill="F2F2F2" w:themeFill="background1" w:themeFillShade="F2"/>
            <w:noWrap/>
            <w:vAlign w:val="center"/>
          </w:tcPr>
          <w:p w14:paraId="3CE73B91" w14:textId="77777777" w:rsidR="00563250" w:rsidRPr="002714B2" w:rsidRDefault="00563250" w:rsidP="002714B2">
            <w:pPr>
              <w:spacing w:line="240" w:lineRule="auto"/>
              <w:jc w:val="center"/>
              <w:rPr>
                <w:rFonts w:ascii="Arial" w:hAnsi="Arial" w:cs="Arial"/>
                <w:b/>
                <w:bCs/>
                <w:sz w:val="18"/>
                <w:szCs w:val="18"/>
              </w:rPr>
            </w:pPr>
            <w:r w:rsidRPr="002714B2">
              <w:rPr>
                <w:rFonts w:ascii="Arial" w:hAnsi="Arial" w:cs="Arial"/>
                <w:b/>
                <w:bCs/>
                <w:sz w:val="18"/>
                <w:szCs w:val="18"/>
              </w:rPr>
              <w:t>Week 3</w:t>
            </w:r>
          </w:p>
        </w:tc>
        <w:tc>
          <w:tcPr>
            <w:tcW w:w="972" w:type="dxa"/>
            <w:tcBorders>
              <w:top w:val="single" w:sz="8" w:space="0" w:color="000000"/>
              <w:left w:val="nil"/>
              <w:bottom w:val="single" w:sz="4" w:space="0" w:color="auto"/>
              <w:right w:val="single" w:sz="8" w:space="0" w:color="000000"/>
            </w:tcBorders>
            <w:shd w:val="clear" w:color="auto" w:fill="F2F2F2" w:themeFill="background1" w:themeFillShade="F2"/>
            <w:noWrap/>
            <w:vAlign w:val="center"/>
          </w:tcPr>
          <w:p w14:paraId="0DE4F1C3" w14:textId="77777777" w:rsidR="00563250" w:rsidRPr="002714B2" w:rsidRDefault="00563250" w:rsidP="002714B2">
            <w:pPr>
              <w:spacing w:line="240" w:lineRule="auto"/>
              <w:jc w:val="center"/>
              <w:rPr>
                <w:rFonts w:ascii="Arial" w:hAnsi="Arial" w:cs="Arial"/>
                <w:b/>
                <w:bCs/>
                <w:sz w:val="18"/>
                <w:szCs w:val="18"/>
              </w:rPr>
            </w:pPr>
            <w:r w:rsidRPr="002714B2">
              <w:rPr>
                <w:rFonts w:ascii="Arial" w:hAnsi="Arial" w:cs="Arial"/>
                <w:b/>
                <w:bCs/>
                <w:sz w:val="18"/>
                <w:szCs w:val="18"/>
              </w:rPr>
              <w:t>Week 4</w:t>
            </w:r>
          </w:p>
        </w:tc>
        <w:tc>
          <w:tcPr>
            <w:tcW w:w="972" w:type="dxa"/>
            <w:tcBorders>
              <w:top w:val="single" w:sz="8" w:space="0" w:color="000000"/>
              <w:left w:val="nil"/>
              <w:bottom w:val="single" w:sz="4" w:space="0" w:color="auto"/>
              <w:right w:val="single" w:sz="4" w:space="0" w:color="auto"/>
            </w:tcBorders>
            <w:shd w:val="clear" w:color="auto" w:fill="F2F2F2" w:themeFill="background1" w:themeFillShade="F2"/>
            <w:noWrap/>
            <w:vAlign w:val="center"/>
          </w:tcPr>
          <w:p w14:paraId="231B6F47" w14:textId="77777777" w:rsidR="00563250" w:rsidRPr="002714B2" w:rsidRDefault="00563250" w:rsidP="002714B2">
            <w:pPr>
              <w:spacing w:line="240" w:lineRule="auto"/>
              <w:jc w:val="center"/>
              <w:rPr>
                <w:rFonts w:ascii="Arial" w:hAnsi="Arial" w:cs="Arial"/>
                <w:b/>
                <w:bCs/>
                <w:sz w:val="18"/>
                <w:szCs w:val="18"/>
              </w:rPr>
            </w:pPr>
            <w:r w:rsidRPr="002714B2">
              <w:rPr>
                <w:rFonts w:ascii="Arial" w:hAnsi="Arial" w:cs="Arial"/>
                <w:b/>
                <w:bCs/>
                <w:sz w:val="18"/>
                <w:szCs w:val="18"/>
              </w:rPr>
              <w:t>Week 5</w:t>
            </w:r>
          </w:p>
        </w:tc>
        <w:tc>
          <w:tcPr>
            <w:tcW w:w="117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5B11C9" w14:textId="77F0D417" w:rsidR="00563250" w:rsidRPr="002714B2" w:rsidRDefault="00563250" w:rsidP="002714B2">
            <w:pPr>
              <w:spacing w:line="240" w:lineRule="auto"/>
              <w:jc w:val="center"/>
              <w:rPr>
                <w:rFonts w:ascii="Arial" w:hAnsi="Arial" w:cs="Arial"/>
                <w:b/>
                <w:bCs/>
                <w:sz w:val="18"/>
                <w:szCs w:val="18"/>
                <w:vertAlign w:val="superscript"/>
              </w:rPr>
            </w:pPr>
            <w:r w:rsidRPr="002714B2">
              <w:rPr>
                <w:rFonts w:ascii="Arial" w:hAnsi="Arial" w:cs="Arial"/>
                <w:b/>
                <w:bCs/>
                <w:sz w:val="18"/>
                <w:szCs w:val="18"/>
              </w:rPr>
              <w:t>Geomean</w:t>
            </w:r>
            <w:r w:rsidR="003A34AF" w:rsidRPr="002714B2">
              <w:rPr>
                <w:rFonts w:ascii="Arial" w:hAnsi="Arial" w:cs="Arial"/>
                <w:b/>
                <w:bCs/>
                <w:sz w:val="18"/>
                <w:szCs w:val="18"/>
                <w:vertAlign w:val="superscript"/>
              </w:rPr>
              <w:t>2</w:t>
            </w:r>
          </w:p>
        </w:tc>
      </w:tr>
      <w:tr w:rsidR="00563250" w:rsidRPr="00C0271A" w14:paraId="14D361AE" w14:textId="484FAA85" w:rsidTr="002714B2">
        <w:trPr>
          <w:trHeight w:val="315"/>
        </w:trPr>
        <w:tc>
          <w:tcPr>
            <w:tcW w:w="1080" w:type="dxa"/>
            <w:vMerge w:val="restart"/>
            <w:tcBorders>
              <w:top w:val="single" w:sz="4" w:space="0" w:color="auto"/>
              <w:left w:val="single" w:sz="4" w:space="0" w:color="auto"/>
              <w:bottom w:val="single" w:sz="4" w:space="0" w:color="auto"/>
              <w:right w:val="single" w:sz="4" w:space="0" w:color="auto"/>
            </w:tcBorders>
            <w:vAlign w:val="center"/>
            <w:hideMark/>
          </w:tcPr>
          <w:p w14:paraId="0E8B2D20" w14:textId="77777777" w:rsidR="00563250" w:rsidRPr="002714B2" w:rsidRDefault="00563250" w:rsidP="002714B2">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Tier 1</w:t>
            </w:r>
          </w:p>
        </w:tc>
        <w:tc>
          <w:tcPr>
            <w:tcW w:w="1710" w:type="dxa"/>
            <w:tcBorders>
              <w:top w:val="single" w:sz="4" w:space="0" w:color="auto"/>
              <w:left w:val="single" w:sz="4" w:space="0" w:color="auto"/>
              <w:bottom w:val="single" w:sz="4" w:space="0" w:color="auto"/>
              <w:right w:val="single" w:sz="4" w:space="0" w:color="auto"/>
            </w:tcBorders>
            <w:vAlign w:val="center"/>
          </w:tcPr>
          <w:p w14:paraId="0C4EE71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T1-SACH</w:t>
            </w:r>
          </w:p>
        </w:tc>
        <w:tc>
          <w:tcPr>
            <w:tcW w:w="972" w:type="dxa"/>
            <w:tcBorders>
              <w:top w:val="single" w:sz="4" w:space="0" w:color="auto"/>
              <w:left w:val="single" w:sz="4" w:space="0" w:color="auto"/>
              <w:bottom w:val="single" w:sz="4" w:space="0" w:color="auto"/>
              <w:right w:val="single" w:sz="4" w:space="0" w:color="auto"/>
            </w:tcBorders>
            <w:noWrap/>
            <w:vAlign w:val="center"/>
          </w:tcPr>
          <w:p w14:paraId="4A04154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2,036</w:t>
            </w:r>
          </w:p>
        </w:tc>
        <w:tc>
          <w:tcPr>
            <w:tcW w:w="972" w:type="dxa"/>
            <w:tcBorders>
              <w:top w:val="single" w:sz="4" w:space="0" w:color="auto"/>
              <w:left w:val="single" w:sz="4" w:space="0" w:color="auto"/>
              <w:bottom w:val="single" w:sz="4" w:space="0" w:color="auto"/>
              <w:right w:val="single" w:sz="4" w:space="0" w:color="auto"/>
            </w:tcBorders>
            <w:noWrap/>
            <w:vAlign w:val="center"/>
          </w:tcPr>
          <w:p w14:paraId="19B0256C"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15986CA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138D73B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49D625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334D98D8" w14:textId="664FDE43"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60</w:t>
            </w:r>
          </w:p>
        </w:tc>
      </w:tr>
      <w:tr w:rsidR="00563250" w:rsidRPr="00C0271A" w14:paraId="6F5AF77C" w14:textId="30059620"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hideMark/>
          </w:tcPr>
          <w:p w14:paraId="0C57062A"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01942459"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T1-CHINOCRK</w:t>
            </w:r>
          </w:p>
        </w:tc>
        <w:tc>
          <w:tcPr>
            <w:tcW w:w="972" w:type="dxa"/>
            <w:tcBorders>
              <w:top w:val="single" w:sz="4" w:space="0" w:color="auto"/>
              <w:left w:val="single" w:sz="4" w:space="0" w:color="auto"/>
              <w:bottom w:val="single" w:sz="4" w:space="0" w:color="auto"/>
              <w:right w:val="single" w:sz="4" w:space="0" w:color="auto"/>
            </w:tcBorders>
            <w:noWrap/>
            <w:vAlign w:val="center"/>
          </w:tcPr>
          <w:p w14:paraId="2B43087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45A824BB"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5E95F01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9277AF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AA537D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178</w:t>
            </w:r>
          </w:p>
        </w:tc>
        <w:tc>
          <w:tcPr>
            <w:tcW w:w="1170" w:type="dxa"/>
            <w:gridSpan w:val="2"/>
            <w:tcBorders>
              <w:top w:val="single" w:sz="4" w:space="0" w:color="auto"/>
              <w:bottom w:val="single" w:sz="4" w:space="0" w:color="auto"/>
              <w:right w:val="single" w:sz="4" w:space="0" w:color="auto"/>
            </w:tcBorders>
            <w:vAlign w:val="center"/>
          </w:tcPr>
          <w:p w14:paraId="615D15AD" w14:textId="0A0F744D"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7BEDCA6F" w14:textId="70EF3F9D"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hideMark/>
          </w:tcPr>
          <w:p w14:paraId="0FD5307C"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00B1AFD6"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T1-BRSC</w:t>
            </w:r>
          </w:p>
        </w:tc>
        <w:tc>
          <w:tcPr>
            <w:tcW w:w="972" w:type="dxa"/>
            <w:tcBorders>
              <w:top w:val="single" w:sz="4" w:space="0" w:color="auto"/>
              <w:left w:val="single" w:sz="4" w:space="0" w:color="auto"/>
              <w:bottom w:val="single" w:sz="4" w:space="0" w:color="auto"/>
              <w:right w:val="single" w:sz="4" w:space="0" w:color="auto"/>
            </w:tcBorders>
            <w:noWrap/>
            <w:vAlign w:val="center"/>
          </w:tcPr>
          <w:p w14:paraId="3BB34D5B"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68AB60C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151</w:t>
            </w:r>
          </w:p>
        </w:tc>
        <w:tc>
          <w:tcPr>
            <w:tcW w:w="972" w:type="dxa"/>
            <w:tcBorders>
              <w:top w:val="single" w:sz="4" w:space="0" w:color="auto"/>
              <w:left w:val="single" w:sz="4" w:space="0" w:color="auto"/>
              <w:bottom w:val="single" w:sz="4" w:space="0" w:color="auto"/>
              <w:right w:val="single" w:sz="4" w:space="0" w:color="auto"/>
            </w:tcBorders>
            <w:noWrap/>
            <w:vAlign w:val="center"/>
          </w:tcPr>
          <w:p w14:paraId="11AC3A2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17401382" w14:textId="394C4024" w:rsidR="00563250" w:rsidRPr="002714B2" w:rsidRDefault="00972B57"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2</w:t>
            </w:r>
            <w:r w:rsidR="00563250" w:rsidRPr="002714B2">
              <w:rPr>
                <w:rFonts w:ascii="Arial" w:hAnsi="Arial" w:cs="Arial"/>
                <w:color w:val="000000"/>
                <w:sz w:val="18"/>
                <w:szCs w:val="18"/>
              </w:rPr>
              <w:t>49</w:t>
            </w:r>
          </w:p>
        </w:tc>
        <w:tc>
          <w:tcPr>
            <w:tcW w:w="972" w:type="dxa"/>
            <w:tcBorders>
              <w:top w:val="single" w:sz="4" w:space="0" w:color="auto"/>
              <w:left w:val="single" w:sz="4" w:space="0" w:color="auto"/>
              <w:bottom w:val="single" w:sz="4" w:space="0" w:color="auto"/>
              <w:right w:val="single" w:sz="4" w:space="0" w:color="auto"/>
            </w:tcBorders>
            <w:noWrap/>
            <w:vAlign w:val="center"/>
          </w:tcPr>
          <w:p w14:paraId="1039293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256857F5" w14:textId="139F2B9E"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51</w:t>
            </w:r>
          </w:p>
        </w:tc>
      </w:tr>
      <w:tr w:rsidR="00563250" w:rsidRPr="00C0271A" w14:paraId="3C65500A" w14:textId="5A07EF35"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hideMark/>
          </w:tcPr>
          <w:p w14:paraId="6C7C06C6"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6D1CBCE8"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T1-CCCH</w:t>
            </w:r>
          </w:p>
        </w:tc>
        <w:tc>
          <w:tcPr>
            <w:tcW w:w="972" w:type="dxa"/>
            <w:tcBorders>
              <w:top w:val="single" w:sz="4" w:space="0" w:color="auto"/>
              <w:left w:val="single" w:sz="4" w:space="0" w:color="auto"/>
              <w:bottom w:val="single" w:sz="4" w:space="0" w:color="auto"/>
              <w:right w:val="single" w:sz="4" w:space="0" w:color="auto"/>
            </w:tcBorders>
            <w:noWrap/>
            <w:vAlign w:val="center"/>
          </w:tcPr>
          <w:p w14:paraId="02880E8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8A27A28"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4C3528F3"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2E70C9A5"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7F490D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7D709FAA" w14:textId="4A48C38E"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1779DB4F" w14:textId="77F08632"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15BC517F"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748F4203"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T1-LLSC</w:t>
            </w:r>
          </w:p>
        </w:tc>
        <w:tc>
          <w:tcPr>
            <w:tcW w:w="972" w:type="dxa"/>
            <w:tcBorders>
              <w:top w:val="single" w:sz="4" w:space="0" w:color="auto"/>
              <w:left w:val="single" w:sz="4" w:space="0" w:color="auto"/>
              <w:bottom w:val="single" w:sz="4" w:space="0" w:color="auto"/>
              <w:right w:val="single" w:sz="4" w:space="0" w:color="auto"/>
            </w:tcBorders>
            <w:noWrap/>
            <w:vAlign w:val="center"/>
          </w:tcPr>
          <w:p w14:paraId="36E454DE"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536</w:t>
            </w:r>
          </w:p>
        </w:tc>
        <w:tc>
          <w:tcPr>
            <w:tcW w:w="972" w:type="dxa"/>
            <w:tcBorders>
              <w:top w:val="single" w:sz="4" w:space="0" w:color="auto"/>
              <w:left w:val="single" w:sz="4" w:space="0" w:color="auto"/>
              <w:bottom w:val="single" w:sz="4" w:space="0" w:color="auto"/>
              <w:right w:val="single" w:sz="4" w:space="0" w:color="auto"/>
            </w:tcBorders>
            <w:noWrap/>
            <w:vAlign w:val="center"/>
          </w:tcPr>
          <w:p w14:paraId="7098922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282BC34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1EF3DDB"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4224C3D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61591D14" w14:textId="2B2310F6"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46</w:t>
            </w:r>
          </w:p>
        </w:tc>
      </w:tr>
      <w:tr w:rsidR="00563250" w:rsidRPr="00C0271A" w14:paraId="065BF54A" w14:textId="2E8509F7"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38DF3520"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6605D4C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T1-CUCAMONGA</w:t>
            </w:r>
          </w:p>
        </w:tc>
        <w:tc>
          <w:tcPr>
            <w:tcW w:w="972" w:type="dxa"/>
            <w:tcBorders>
              <w:top w:val="single" w:sz="4" w:space="0" w:color="auto"/>
              <w:left w:val="single" w:sz="4" w:space="0" w:color="auto"/>
              <w:bottom w:val="single" w:sz="4" w:space="0" w:color="auto"/>
              <w:right w:val="single" w:sz="4" w:space="0" w:color="auto"/>
            </w:tcBorders>
            <w:noWrap/>
            <w:vAlign w:val="center"/>
          </w:tcPr>
          <w:p w14:paraId="08C0D36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Not Detected</w:t>
            </w:r>
          </w:p>
        </w:tc>
        <w:tc>
          <w:tcPr>
            <w:tcW w:w="972" w:type="dxa"/>
            <w:tcBorders>
              <w:top w:val="single" w:sz="4" w:space="0" w:color="auto"/>
              <w:left w:val="single" w:sz="4" w:space="0" w:color="auto"/>
              <w:bottom w:val="single" w:sz="4" w:space="0" w:color="auto"/>
              <w:right w:val="single" w:sz="4" w:space="0" w:color="auto"/>
            </w:tcBorders>
            <w:noWrap/>
            <w:vAlign w:val="center"/>
          </w:tcPr>
          <w:p w14:paraId="687BBD1C"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6E12C412"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60F8CBC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43AE075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40DC0A5E" w14:textId="7C5AF6B0"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3C36EB08" w14:textId="4288C6F5"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10DDCE36"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283C952E"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T1-BXSP</w:t>
            </w:r>
          </w:p>
        </w:tc>
        <w:tc>
          <w:tcPr>
            <w:tcW w:w="972" w:type="dxa"/>
            <w:tcBorders>
              <w:top w:val="single" w:sz="4" w:space="0" w:color="auto"/>
              <w:left w:val="single" w:sz="4" w:space="0" w:color="auto"/>
              <w:bottom w:val="single" w:sz="4" w:space="0" w:color="auto"/>
              <w:right w:val="single" w:sz="4" w:space="0" w:color="auto"/>
            </w:tcBorders>
            <w:noWrap/>
            <w:vAlign w:val="center"/>
          </w:tcPr>
          <w:p w14:paraId="3733DBF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238</w:t>
            </w:r>
          </w:p>
        </w:tc>
        <w:tc>
          <w:tcPr>
            <w:tcW w:w="972" w:type="dxa"/>
            <w:tcBorders>
              <w:top w:val="single" w:sz="4" w:space="0" w:color="auto"/>
              <w:left w:val="single" w:sz="4" w:space="0" w:color="auto"/>
              <w:bottom w:val="single" w:sz="4" w:space="0" w:color="auto"/>
              <w:right w:val="single" w:sz="4" w:space="0" w:color="auto"/>
            </w:tcBorders>
            <w:noWrap/>
            <w:vAlign w:val="center"/>
          </w:tcPr>
          <w:p w14:paraId="5B89FC1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801</w:t>
            </w:r>
          </w:p>
        </w:tc>
        <w:tc>
          <w:tcPr>
            <w:tcW w:w="972" w:type="dxa"/>
            <w:tcBorders>
              <w:top w:val="single" w:sz="4" w:space="0" w:color="auto"/>
              <w:left w:val="single" w:sz="4" w:space="0" w:color="auto"/>
              <w:bottom w:val="single" w:sz="4" w:space="0" w:color="auto"/>
              <w:right w:val="single" w:sz="4" w:space="0" w:color="auto"/>
            </w:tcBorders>
            <w:noWrap/>
            <w:vAlign w:val="center"/>
          </w:tcPr>
          <w:p w14:paraId="579950D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755</w:t>
            </w:r>
          </w:p>
        </w:tc>
        <w:tc>
          <w:tcPr>
            <w:tcW w:w="972" w:type="dxa"/>
            <w:tcBorders>
              <w:top w:val="single" w:sz="4" w:space="0" w:color="auto"/>
              <w:left w:val="single" w:sz="4" w:space="0" w:color="auto"/>
              <w:bottom w:val="single" w:sz="4" w:space="0" w:color="auto"/>
              <w:right w:val="single" w:sz="4" w:space="0" w:color="auto"/>
            </w:tcBorders>
            <w:noWrap/>
            <w:vAlign w:val="center"/>
          </w:tcPr>
          <w:p w14:paraId="2FBEB79F"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910</w:t>
            </w:r>
          </w:p>
        </w:tc>
        <w:tc>
          <w:tcPr>
            <w:tcW w:w="972" w:type="dxa"/>
            <w:tcBorders>
              <w:top w:val="single" w:sz="4" w:space="0" w:color="auto"/>
              <w:left w:val="single" w:sz="4" w:space="0" w:color="auto"/>
              <w:bottom w:val="single" w:sz="4" w:space="0" w:color="auto"/>
              <w:right w:val="single" w:sz="4" w:space="0" w:color="auto"/>
            </w:tcBorders>
            <w:noWrap/>
            <w:vAlign w:val="center"/>
          </w:tcPr>
          <w:p w14:paraId="42972A19" w14:textId="199AEB5E"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33,413</w:t>
            </w:r>
            <w:r w:rsidR="00A1591D" w:rsidRPr="002714B2">
              <w:rPr>
                <w:rFonts w:ascii="Arial" w:hAnsi="Arial" w:cs="Arial"/>
                <w:color w:val="000000"/>
                <w:sz w:val="18"/>
                <w:szCs w:val="18"/>
              </w:rPr>
              <w:t>, 3,477</w:t>
            </w:r>
            <w:r w:rsidR="003A34AF" w:rsidRPr="002714B2">
              <w:rPr>
                <w:rFonts w:ascii="Arial" w:hAnsi="Arial" w:cs="Arial"/>
                <w:color w:val="000000"/>
                <w:sz w:val="18"/>
                <w:szCs w:val="18"/>
                <w:vertAlign w:val="superscript"/>
              </w:rPr>
              <w:t>3</w:t>
            </w:r>
          </w:p>
        </w:tc>
        <w:tc>
          <w:tcPr>
            <w:tcW w:w="1170" w:type="dxa"/>
            <w:gridSpan w:val="2"/>
            <w:tcBorders>
              <w:top w:val="single" w:sz="4" w:space="0" w:color="auto"/>
              <w:bottom w:val="single" w:sz="4" w:space="0" w:color="auto"/>
              <w:right w:val="single" w:sz="4" w:space="0" w:color="auto"/>
            </w:tcBorders>
            <w:vAlign w:val="center"/>
          </w:tcPr>
          <w:p w14:paraId="144589B6" w14:textId="6488512D"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w:t>
            </w:r>
            <w:r w:rsidR="00A1591D" w:rsidRPr="002714B2">
              <w:rPr>
                <w:rFonts w:ascii="Arial" w:hAnsi="Arial" w:cs="Arial"/>
                <w:color w:val="000000"/>
                <w:sz w:val="18"/>
                <w:szCs w:val="18"/>
              </w:rPr>
              <w:t>,</w:t>
            </w:r>
            <w:r w:rsidRPr="002714B2">
              <w:rPr>
                <w:rFonts w:ascii="Arial" w:hAnsi="Arial" w:cs="Arial"/>
                <w:color w:val="000000"/>
                <w:sz w:val="18"/>
                <w:szCs w:val="18"/>
              </w:rPr>
              <w:t>574</w:t>
            </w:r>
          </w:p>
        </w:tc>
      </w:tr>
      <w:tr w:rsidR="00563250" w:rsidRPr="00C0271A" w14:paraId="3B529161" w14:textId="10E2E339"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21E3659A"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2BBD9AA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T1-MCSD</w:t>
            </w:r>
          </w:p>
        </w:tc>
        <w:tc>
          <w:tcPr>
            <w:tcW w:w="972" w:type="dxa"/>
            <w:tcBorders>
              <w:top w:val="single" w:sz="4" w:space="0" w:color="auto"/>
              <w:left w:val="single" w:sz="4" w:space="0" w:color="auto"/>
              <w:bottom w:val="single" w:sz="4" w:space="0" w:color="auto"/>
              <w:right w:val="single" w:sz="4" w:space="0" w:color="auto"/>
            </w:tcBorders>
            <w:noWrap/>
            <w:vAlign w:val="center"/>
          </w:tcPr>
          <w:p w14:paraId="23E33DCE"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123,768</w:t>
            </w:r>
          </w:p>
        </w:tc>
        <w:tc>
          <w:tcPr>
            <w:tcW w:w="972" w:type="dxa"/>
            <w:tcBorders>
              <w:top w:val="single" w:sz="4" w:space="0" w:color="auto"/>
              <w:left w:val="single" w:sz="4" w:space="0" w:color="auto"/>
              <w:bottom w:val="single" w:sz="4" w:space="0" w:color="auto"/>
              <w:right w:val="single" w:sz="4" w:space="0" w:color="auto"/>
            </w:tcBorders>
            <w:noWrap/>
            <w:vAlign w:val="center"/>
          </w:tcPr>
          <w:p w14:paraId="5FC6DDB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14,540</w:t>
            </w:r>
          </w:p>
        </w:tc>
        <w:tc>
          <w:tcPr>
            <w:tcW w:w="972" w:type="dxa"/>
            <w:tcBorders>
              <w:top w:val="single" w:sz="4" w:space="0" w:color="auto"/>
              <w:left w:val="single" w:sz="4" w:space="0" w:color="auto"/>
              <w:bottom w:val="single" w:sz="4" w:space="0" w:color="auto"/>
              <w:right w:val="single" w:sz="4" w:space="0" w:color="auto"/>
            </w:tcBorders>
            <w:noWrap/>
            <w:vAlign w:val="center"/>
          </w:tcPr>
          <w:p w14:paraId="6B34225F"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30,145</w:t>
            </w:r>
          </w:p>
        </w:tc>
        <w:tc>
          <w:tcPr>
            <w:tcW w:w="972" w:type="dxa"/>
            <w:tcBorders>
              <w:top w:val="single" w:sz="4" w:space="0" w:color="auto"/>
              <w:left w:val="single" w:sz="4" w:space="0" w:color="auto"/>
              <w:bottom w:val="single" w:sz="4" w:space="0" w:color="auto"/>
              <w:right w:val="single" w:sz="4" w:space="0" w:color="auto"/>
            </w:tcBorders>
            <w:noWrap/>
            <w:vAlign w:val="center"/>
          </w:tcPr>
          <w:p w14:paraId="4A178A8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15,346</w:t>
            </w:r>
          </w:p>
        </w:tc>
        <w:tc>
          <w:tcPr>
            <w:tcW w:w="972" w:type="dxa"/>
            <w:tcBorders>
              <w:top w:val="single" w:sz="4" w:space="0" w:color="auto"/>
              <w:left w:val="single" w:sz="4" w:space="0" w:color="auto"/>
              <w:bottom w:val="single" w:sz="4" w:space="0" w:color="auto"/>
              <w:right w:val="single" w:sz="4" w:space="0" w:color="auto"/>
            </w:tcBorders>
            <w:noWrap/>
            <w:vAlign w:val="center"/>
          </w:tcPr>
          <w:p w14:paraId="0429313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16,040</w:t>
            </w:r>
          </w:p>
        </w:tc>
        <w:tc>
          <w:tcPr>
            <w:tcW w:w="1170" w:type="dxa"/>
            <w:gridSpan w:val="2"/>
            <w:tcBorders>
              <w:top w:val="single" w:sz="4" w:space="0" w:color="auto"/>
              <w:bottom w:val="single" w:sz="4" w:space="0" w:color="auto"/>
              <w:right w:val="single" w:sz="4" w:space="0" w:color="auto"/>
            </w:tcBorders>
            <w:vAlign w:val="center"/>
          </w:tcPr>
          <w:p w14:paraId="6B33C18B" w14:textId="4274D32C"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26,614</w:t>
            </w:r>
          </w:p>
        </w:tc>
      </w:tr>
      <w:tr w:rsidR="00563250" w:rsidRPr="00C0271A" w14:paraId="7C5624F7" w14:textId="7DAC0ED8"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69A0141F"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3D30D9F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T1-SNCH</w:t>
            </w:r>
          </w:p>
        </w:tc>
        <w:tc>
          <w:tcPr>
            <w:tcW w:w="972" w:type="dxa"/>
            <w:tcBorders>
              <w:top w:val="single" w:sz="4" w:space="0" w:color="auto"/>
              <w:left w:val="single" w:sz="4" w:space="0" w:color="auto"/>
              <w:bottom w:val="single" w:sz="4" w:space="0" w:color="auto"/>
              <w:right w:val="single" w:sz="4" w:space="0" w:color="auto"/>
            </w:tcBorders>
            <w:noWrap/>
            <w:vAlign w:val="center"/>
          </w:tcPr>
          <w:p w14:paraId="162646A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330</w:t>
            </w:r>
          </w:p>
        </w:tc>
        <w:tc>
          <w:tcPr>
            <w:tcW w:w="972" w:type="dxa"/>
            <w:tcBorders>
              <w:top w:val="single" w:sz="4" w:space="0" w:color="auto"/>
              <w:left w:val="single" w:sz="4" w:space="0" w:color="auto"/>
              <w:bottom w:val="single" w:sz="4" w:space="0" w:color="auto"/>
              <w:right w:val="single" w:sz="4" w:space="0" w:color="auto"/>
            </w:tcBorders>
            <w:noWrap/>
            <w:vAlign w:val="center"/>
          </w:tcPr>
          <w:p w14:paraId="557216F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134</w:t>
            </w:r>
          </w:p>
        </w:tc>
        <w:tc>
          <w:tcPr>
            <w:tcW w:w="972" w:type="dxa"/>
            <w:tcBorders>
              <w:top w:val="single" w:sz="4" w:space="0" w:color="auto"/>
              <w:left w:val="single" w:sz="4" w:space="0" w:color="auto"/>
              <w:bottom w:val="single" w:sz="4" w:space="0" w:color="auto"/>
              <w:right w:val="single" w:sz="4" w:space="0" w:color="auto"/>
            </w:tcBorders>
            <w:noWrap/>
            <w:vAlign w:val="center"/>
          </w:tcPr>
          <w:p w14:paraId="14E6E8F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540</w:t>
            </w:r>
          </w:p>
        </w:tc>
        <w:tc>
          <w:tcPr>
            <w:tcW w:w="972" w:type="dxa"/>
            <w:tcBorders>
              <w:top w:val="single" w:sz="4" w:space="0" w:color="auto"/>
              <w:left w:val="single" w:sz="4" w:space="0" w:color="auto"/>
              <w:bottom w:val="single" w:sz="4" w:space="0" w:color="auto"/>
              <w:right w:val="single" w:sz="4" w:space="0" w:color="auto"/>
            </w:tcBorders>
            <w:noWrap/>
            <w:vAlign w:val="center"/>
          </w:tcPr>
          <w:p w14:paraId="7983A47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1,565</w:t>
            </w:r>
          </w:p>
        </w:tc>
        <w:tc>
          <w:tcPr>
            <w:tcW w:w="972" w:type="dxa"/>
            <w:tcBorders>
              <w:top w:val="single" w:sz="4" w:space="0" w:color="auto"/>
              <w:left w:val="single" w:sz="4" w:space="0" w:color="auto"/>
              <w:bottom w:val="single" w:sz="4" w:space="0" w:color="auto"/>
              <w:right w:val="single" w:sz="4" w:space="0" w:color="auto"/>
            </w:tcBorders>
            <w:noWrap/>
            <w:vAlign w:val="center"/>
          </w:tcPr>
          <w:p w14:paraId="4A49628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609</w:t>
            </w:r>
          </w:p>
        </w:tc>
        <w:tc>
          <w:tcPr>
            <w:tcW w:w="1170" w:type="dxa"/>
            <w:gridSpan w:val="2"/>
            <w:tcBorders>
              <w:top w:val="single" w:sz="4" w:space="0" w:color="auto"/>
              <w:bottom w:val="single" w:sz="4" w:space="0" w:color="auto"/>
              <w:right w:val="single" w:sz="4" w:space="0" w:color="auto"/>
            </w:tcBorders>
            <w:vAlign w:val="center"/>
          </w:tcPr>
          <w:p w14:paraId="4CC25CD8" w14:textId="22AB9785"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469</w:t>
            </w:r>
          </w:p>
        </w:tc>
      </w:tr>
      <w:tr w:rsidR="00563250" w:rsidRPr="00C0271A" w14:paraId="156050FD" w14:textId="505EAC5F"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0FD519F6"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7D519A2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T1-EVLD</w:t>
            </w:r>
          </w:p>
        </w:tc>
        <w:tc>
          <w:tcPr>
            <w:tcW w:w="972" w:type="dxa"/>
            <w:tcBorders>
              <w:top w:val="single" w:sz="4" w:space="0" w:color="auto"/>
              <w:left w:val="single" w:sz="4" w:space="0" w:color="auto"/>
              <w:bottom w:val="single" w:sz="4" w:space="0" w:color="auto"/>
              <w:right w:val="single" w:sz="4" w:space="0" w:color="auto"/>
            </w:tcBorders>
            <w:noWrap/>
            <w:vAlign w:val="center"/>
          </w:tcPr>
          <w:p w14:paraId="3E93B551"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Not Detected</w:t>
            </w:r>
          </w:p>
        </w:tc>
        <w:tc>
          <w:tcPr>
            <w:tcW w:w="972" w:type="dxa"/>
            <w:tcBorders>
              <w:top w:val="single" w:sz="4" w:space="0" w:color="auto"/>
              <w:left w:val="single" w:sz="4" w:space="0" w:color="auto"/>
              <w:bottom w:val="single" w:sz="4" w:space="0" w:color="auto"/>
              <w:right w:val="single" w:sz="4" w:space="0" w:color="auto"/>
            </w:tcBorders>
            <w:noWrap/>
            <w:vAlign w:val="center"/>
          </w:tcPr>
          <w:p w14:paraId="439FB4A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60E318E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03403243"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50D4F8F9"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5B078BFB" w14:textId="6957D59B"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09758666" w14:textId="4780C61F"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2B0FACF0"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136A416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T1-EVLE</w:t>
            </w:r>
          </w:p>
        </w:tc>
        <w:tc>
          <w:tcPr>
            <w:tcW w:w="972" w:type="dxa"/>
            <w:tcBorders>
              <w:top w:val="single" w:sz="4" w:space="0" w:color="auto"/>
              <w:left w:val="single" w:sz="4" w:space="0" w:color="auto"/>
              <w:bottom w:val="single" w:sz="4" w:space="0" w:color="auto"/>
              <w:right w:val="single" w:sz="4" w:space="0" w:color="auto"/>
            </w:tcBorders>
            <w:noWrap/>
            <w:vAlign w:val="center"/>
          </w:tcPr>
          <w:p w14:paraId="6E5C4B42"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Not Detected</w:t>
            </w:r>
          </w:p>
        </w:tc>
        <w:tc>
          <w:tcPr>
            <w:tcW w:w="972" w:type="dxa"/>
            <w:tcBorders>
              <w:top w:val="single" w:sz="4" w:space="0" w:color="auto"/>
              <w:left w:val="single" w:sz="4" w:space="0" w:color="auto"/>
              <w:bottom w:val="single" w:sz="4" w:space="0" w:color="auto"/>
              <w:right w:val="single" w:sz="4" w:space="0" w:color="auto"/>
            </w:tcBorders>
            <w:noWrap/>
            <w:vAlign w:val="center"/>
          </w:tcPr>
          <w:p w14:paraId="65C01551"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14FEA576"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081E5BF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0FBAB9C5"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323D7DD0" w14:textId="2F2F91CF"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0B4D8374" w14:textId="52848A53"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7CB1A3A2"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45DF80F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T1-ANZA</w:t>
            </w:r>
          </w:p>
        </w:tc>
        <w:tc>
          <w:tcPr>
            <w:tcW w:w="972" w:type="dxa"/>
            <w:tcBorders>
              <w:top w:val="single" w:sz="4" w:space="0" w:color="auto"/>
              <w:left w:val="single" w:sz="4" w:space="0" w:color="auto"/>
              <w:bottom w:val="single" w:sz="4" w:space="0" w:color="auto"/>
              <w:right w:val="single" w:sz="4" w:space="0" w:color="auto"/>
            </w:tcBorders>
            <w:noWrap/>
            <w:vAlign w:val="center"/>
          </w:tcPr>
          <w:p w14:paraId="2A63CBDE"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109</w:t>
            </w:r>
          </w:p>
        </w:tc>
        <w:tc>
          <w:tcPr>
            <w:tcW w:w="972" w:type="dxa"/>
            <w:tcBorders>
              <w:top w:val="single" w:sz="4" w:space="0" w:color="auto"/>
              <w:left w:val="single" w:sz="4" w:space="0" w:color="auto"/>
              <w:bottom w:val="single" w:sz="4" w:space="0" w:color="auto"/>
              <w:right w:val="single" w:sz="4" w:space="0" w:color="auto"/>
            </w:tcBorders>
            <w:noWrap/>
            <w:vAlign w:val="center"/>
          </w:tcPr>
          <w:p w14:paraId="5190BD58"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8BCAD9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95B49E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7E2FD00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41BB7236" w14:textId="1CA5486A"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34</w:t>
            </w:r>
          </w:p>
        </w:tc>
      </w:tr>
      <w:tr w:rsidR="00563250" w:rsidRPr="00C0271A" w14:paraId="685675A5" w14:textId="074CC865"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37B8AF04"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431EF6EF"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T1-SSCH</w:t>
            </w:r>
          </w:p>
        </w:tc>
        <w:tc>
          <w:tcPr>
            <w:tcW w:w="972" w:type="dxa"/>
            <w:tcBorders>
              <w:top w:val="single" w:sz="4" w:space="0" w:color="auto"/>
              <w:left w:val="single" w:sz="4" w:space="0" w:color="auto"/>
              <w:bottom w:val="single" w:sz="4" w:space="0" w:color="auto"/>
              <w:right w:val="single" w:sz="4" w:space="0" w:color="auto"/>
            </w:tcBorders>
            <w:noWrap/>
            <w:vAlign w:val="center"/>
          </w:tcPr>
          <w:p w14:paraId="15F3F76F"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4B68112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73</w:t>
            </w:r>
          </w:p>
        </w:tc>
        <w:tc>
          <w:tcPr>
            <w:tcW w:w="972" w:type="dxa"/>
            <w:tcBorders>
              <w:top w:val="single" w:sz="4" w:space="0" w:color="auto"/>
              <w:left w:val="single" w:sz="4" w:space="0" w:color="auto"/>
              <w:bottom w:val="single" w:sz="4" w:space="0" w:color="auto"/>
              <w:right w:val="single" w:sz="4" w:space="0" w:color="auto"/>
            </w:tcBorders>
            <w:noWrap/>
            <w:vAlign w:val="center"/>
          </w:tcPr>
          <w:p w14:paraId="7267B97F"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1044284A"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21CA48C5"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27B07EB2" w14:textId="41409A74"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31</w:t>
            </w:r>
          </w:p>
        </w:tc>
      </w:tr>
      <w:tr w:rsidR="00563250" w:rsidRPr="00C0271A" w14:paraId="2BDCEED2" w14:textId="17B87BDD" w:rsidTr="002714B2">
        <w:trPr>
          <w:trHeight w:val="315"/>
        </w:trPr>
        <w:tc>
          <w:tcPr>
            <w:tcW w:w="1080" w:type="dxa"/>
            <w:vMerge/>
            <w:tcBorders>
              <w:top w:val="single" w:sz="4" w:space="0" w:color="auto"/>
              <w:left w:val="single" w:sz="4" w:space="0" w:color="auto"/>
              <w:bottom w:val="single" w:sz="4" w:space="0" w:color="auto"/>
              <w:right w:val="single" w:sz="4" w:space="0" w:color="auto"/>
            </w:tcBorders>
            <w:vAlign w:val="center"/>
          </w:tcPr>
          <w:p w14:paraId="57EC311A"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1B249D72"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T1-DAY</w:t>
            </w:r>
          </w:p>
        </w:tc>
        <w:tc>
          <w:tcPr>
            <w:tcW w:w="972" w:type="dxa"/>
            <w:tcBorders>
              <w:top w:val="single" w:sz="4" w:space="0" w:color="auto"/>
              <w:left w:val="single" w:sz="4" w:space="0" w:color="auto"/>
              <w:bottom w:val="single" w:sz="4" w:space="0" w:color="auto"/>
              <w:right w:val="single" w:sz="4" w:space="0" w:color="auto"/>
            </w:tcBorders>
            <w:noWrap/>
            <w:vAlign w:val="center"/>
          </w:tcPr>
          <w:p w14:paraId="66B8E093"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5D8C502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6AEBBF75"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711CDCCB"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7B4F4A29"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1B748064" w14:textId="585733CD"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76372992" w14:textId="18478666" w:rsidTr="002714B2">
        <w:trPr>
          <w:trHeight w:val="315"/>
        </w:trPr>
        <w:tc>
          <w:tcPr>
            <w:tcW w:w="1080" w:type="dxa"/>
            <w:vMerge w:val="restart"/>
            <w:tcBorders>
              <w:top w:val="single" w:sz="4" w:space="0" w:color="auto"/>
              <w:left w:val="single" w:sz="4" w:space="0" w:color="auto"/>
              <w:right w:val="single" w:sz="4" w:space="0" w:color="auto"/>
            </w:tcBorders>
            <w:vAlign w:val="center"/>
            <w:hideMark/>
          </w:tcPr>
          <w:p w14:paraId="55C2C5BB" w14:textId="77777777" w:rsidR="00563250" w:rsidRPr="002714B2" w:rsidRDefault="00563250" w:rsidP="002714B2">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Tier 2</w:t>
            </w:r>
          </w:p>
        </w:tc>
        <w:tc>
          <w:tcPr>
            <w:tcW w:w="1710" w:type="dxa"/>
            <w:tcBorders>
              <w:top w:val="single" w:sz="4" w:space="0" w:color="auto"/>
              <w:left w:val="single" w:sz="4" w:space="0" w:color="auto"/>
              <w:bottom w:val="single" w:sz="4" w:space="0" w:color="auto"/>
              <w:right w:val="single" w:sz="4" w:space="0" w:color="auto"/>
            </w:tcBorders>
            <w:vAlign w:val="center"/>
          </w:tcPr>
          <w:p w14:paraId="2C286FC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T2-CHRIS</w:t>
            </w:r>
          </w:p>
        </w:tc>
        <w:tc>
          <w:tcPr>
            <w:tcW w:w="972" w:type="dxa"/>
            <w:tcBorders>
              <w:top w:val="single" w:sz="4" w:space="0" w:color="auto"/>
              <w:left w:val="single" w:sz="4" w:space="0" w:color="auto"/>
              <w:bottom w:val="single" w:sz="4" w:space="0" w:color="auto"/>
              <w:right w:val="single" w:sz="4" w:space="0" w:color="auto"/>
            </w:tcBorders>
            <w:noWrap/>
            <w:vAlign w:val="center"/>
          </w:tcPr>
          <w:p w14:paraId="2655CF49"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Not Detected</w:t>
            </w:r>
          </w:p>
        </w:tc>
        <w:tc>
          <w:tcPr>
            <w:tcW w:w="972" w:type="dxa"/>
            <w:tcBorders>
              <w:top w:val="single" w:sz="4" w:space="0" w:color="auto"/>
              <w:left w:val="single" w:sz="4" w:space="0" w:color="auto"/>
              <w:bottom w:val="single" w:sz="4" w:space="0" w:color="auto"/>
              <w:right w:val="single" w:sz="4" w:space="0" w:color="auto"/>
            </w:tcBorders>
            <w:noWrap/>
            <w:vAlign w:val="center"/>
          </w:tcPr>
          <w:p w14:paraId="44FDE5C2"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5B640CD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284D1A8D"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1005E8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0AFBAE0E" w14:textId="65B26E0F"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3995319E" w14:textId="336C89CA" w:rsidTr="002714B2">
        <w:trPr>
          <w:trHeight w:val="315"/>
        </w:trPr>
        <w:tc>
          <w:tcPr>
            <w:tcW w:w="1080" w:type="dxa"/>
            <w:vMerge/>
            <w:tcBorders>
              <w:left w:val="single" w:sz="4" w:space="0" w:color="auto"/>
              <w:right w:val="single" w:sz="4" w:space="0" w:color="auto"/>
            </w:tcBorders>
            <w:vAlign w:val="center"/>
            <w:hideMark/>
          </w:tcPr>
          <w:p w14:paraId="3D42BFA6"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44BF15A7"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T2-CLCH</w:t>
            </w:r>
          </w:p>
        </w:tc>
        <w:tc>
          <w:tcPr>
            <w:tcW w:w="972" w:type="dxa"/>
            <w:tcBorders>
              <w:top w:val="single" w:sz="4" w:space="0" w:color="auto"/>
              <w:left w:val="single" w:sz="4" w:space="0" w:color="auto"/>
              <w:bottom w:val="single" w:sz="4" w:space="0" w:color="auto"/>
              <w:right w:val="single" w:sz="4" w:space="0" w:color="auto"/>
            </w:tcBorders>
            <w:noWrap/>
            <w:vAlign w:val="center"/>
          </w:tcPr>
          <w:p w14:paraId="71AE730B"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Not Detected</w:t>
            </w:r>
          </w:p>
        </w:tc>
        <w:tc>
          <w:tcPr>
            <w:tcW w:w="972" w:type="dxa"/>
            <w:tcBorders>
              <w:top w:val="single" w:sz="4" w:space="0" w:color="auto"/>
              <w:left w:val="single" w:sz="4" w:space="0" w:color="auto"/>
              <w:bottom w:val="single" w:sz="4" w:space="0" w:color="auto"/>
              <w:right w:val="single" w:sz="4" w:space="0" w:color="auto"/>
            </w:tcBorders>
            <w:noWrap/>
            <w:vAlign w:val="center"/>
          </w:tcPr>
          <w:p w14:paraId="4C8062DC"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745D611E"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128</w:t>
            </w:r>
          </w:p>
        </w:tc>
        <w:tc>
          <w:tcPr>
            <w:tcW w:w="972" w:type="dxa"/>
            <w:tcBorders>
              <w:top w:val="single" w:sz="4" w:space="0" w:color="auto"/>
              <w:left w:val="single" w:sz="4" w:space="0" w:color="auto"/>
              <w:bottom w:val="single" w:sz="4" w:space="0" w:color="auto"/>
              <w:right w:val="single" w:sz="4" w:space="0" w:color="auto"/>
            </w:tcBorders>
            <w:noWrap/>
            <w:vAlign w:val="center"/>
          </w:tcPr>
          <w:p w14:paraId="3D63BBE0"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62B6382"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65EECA12" w14:textId="64452AFC"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r>
      <w:tr w:rsidR="00563250" w:rsidRPr="00C0271A" w14:paraId="05EE1490" w14:textId="3E15E1F3" w:rsidTr="002714B2">
        <w:trPr>
          <w:trHeight w:val="315"/>
        </w:trPr>
        <w:tc>
          <w:tcPr>
            <w:tcW w:w="1080" w:type="dxa"/>
            <w:vMerge/>
            <w:tcBorders>
              <w:left w:val="single" w:sz="4" w:space="0" w:color="auto"/>
              <w:right w:val="single" w:sz="4" w:space="0" w:color="auto"/>
            </w:tcBorders>
            <w:vAlign w:val="center"/>
          </w:tcPr>
          <w:p w14:paraId="2B9D4780"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4BCCCFD1"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T2-HWY60</w:t>
            </w:r>
          </w:p>
        </w:tc>
        <w:tc>
          <w:tcPr>
            <w:tcW w:w="972" w:type="dxa"/>
            <w:tcBorders>
              <w:top w:val="single" w:sz="4" w:space="0" w:color="auto"/>
              <w:left w:val="single" w:sz="4" w:space="0" w:color="auto"/>
              <w:bottom w:val="single" w:sz="4" w:space="0" w:color="auto"/>
              <w:right w:val="single" w:sz="4" w:space="0" w:color="auto"/>
            </w:tcBorders>
            <w:noWrap/>
            <w:vAlign w:val="center"/>
          </w:tcPr>
          <w:p w14:paraId="0B4D685C"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Not Detected</w:t>
            </w:r>
          </w:p>
        </w:tc>
        <w:tc>
          <w:tcPr>
            <w:tcW w:w="972" w:type="dxa"/>
            <w:tcBorders>
              <w:top w:val="single" w:sz="4" w:space="0" w:color="auto"/>
              <w:left w:val="single" w:sz="4" w:space="0" w:color="auto"/>
              <w:bottom w:val="single" w:sz="4" w:space="0" w:color="auto"/>
              <w:right w:val="single" w:sz="4" w:space="0" w:color="auto"/>
            </w:tcBorders>
            <w:noWrap/>
            <w:vAlign w:val="center"/>
          </w:tcPr>
          <w:p w14:paraId="33A94653"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7FFB9AC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726D4F61"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668B37F1"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6889F474" w14:textId="3B3513E4"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r w:rsidR="00563250" w:rsidRPr="00C0271A" w14:paraId="3371E920" w14:textId="5817BEEB" w:rsidTr="002714B2">
        <w:trPr>
          <w:trHeight w:val="315"/>
        </w:trPr>
        <w:tc>
          <w:tcPr>
            <w:tcW w:w="1080" w:type="dxa"/>
            <w:vMerge/>
            <w:tcBorders>
              <w:left w:val="single" w:sz="4" w:space="0" w:color="auto"/>
              <w:bottom w:val="single" w:sz="4" w:space="0" w:color="auto"/>
              <w:right w:val="single" w:sz="4" w:space="0" w:color="auto"/>
            </w:tcBorders>
            <w:vAlign w:val="center"/>
          </w:tcPr>
          <w:p w14:paraId="19977D08" w14:textId="77777777" w:rsidR="00563250" w:rsidRPr="002714B2" w:rsidRDefault="00563250" w:rsidP="002714B2">
            <w:pPr>
              <w:spacing w:line="240" w:lineRule="auto"/>
              <w:jc w:val="center"/>
              <w:rPr>
                <w:rFonts w:ascii="Arial" w:hAnsi="Arial" w:cs="Arial"/>
                <w:b/>
                <w:bCs/>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63A44F88"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T2 – CHINO RP1</w:t>
            </w:r>
          </w:p>
        </w:tc>
        <w:tc>
          <w:tcPr>
            <w:tcW w:w="972" w:type="dxa"/>
            <w:tcBorders>
              <w:top w:val="single" w:sz="4" w:space="0" w:color="auto"/>
              <w:left w:val="single" w:sz="4" w:space="0" w:color="auto"/>
              <w:bottom w:val="single" w:sz="4" w:space="0" w:color="auto"/>
              <w:right w:val="single" w:sz="4" w:space="0" w:color="auto"/>
            </w:tcBorders>
            <w:noWrap/>
            <w:vAlign w:val="center"/>
          </w:tcPr>
          <w:p w14:paraId="318BF404"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Not Detected</w:t>
            </w:r>
          </w:p>
        </w:tc>
        <w:tc>
          <w:tcPr>
            <w:tcW w:w="972" w:type="dxa"/>
            <w:tcBorders>
              <w:top w:val="single" w:sz="4" w:space="0" w:color="auto"/>
              <w:left w:val="single" w:sz="4" w:space="0" w:color="auto"/>
              <w:bottom w:val="single" w:sz="4" w:space="0" w:color="auto"/>
              <w:right w:val="single" w:sz="4" w:space="0" w:color="auto"/>
            </w:tcBorders>
            <w:noWrap/>
            <w:vAlign w:val="center"/>
          </w:tcPr>
          <w:p w14:paraId="611D0E99"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32C5F8EC"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6FEB3A71"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972" w:type="dxa"/>
            <w:tcBorders>
              <w:top w:val="single" w:sz="4" w:space="0" w:color="auto"/>
              <w:left w:val="single" w:sz="4" w:space="0" w:color="auto"/>
              <w:bottom w:val="single" w:sz="4" w:space="0" w:color="auto"/>
              <w:right w:val="single" w:sz="4" w:space="0" w:color="auto"/>
            </w:tcBorders>
            <w:noWrap/>
            <w:vAlign w:val="center"/>
          </w:tcPr>
          <w:p w14:paraId="2E2DF08C" w14:textId="77777777" w:rsidR="00563250" w:rsidRPr="002714B2" w:rsidRDefault="00563250"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c>
          <w:tcPr>
            <w:tcW w:w="1170" w:type="dxa"/>
            <w:gridSpan w:val="2"/>
            <w:tcBorders>
              <w:top w:val="single" w:sz="4" w:space="0" w:color="auto"/>
              <w:bottom w:val="single" w:sz="4" w:space="0" w:color="auto"/>
              <w:right w:val="single" w:sz="4" w:space="0" w:color="auto"/>
            </w:tcBorders>
            <w:vAlign w:val="center"/>
          </w:tcPr>
          <w:p w14:paraId="22041CE8" w14:textId="6A55715C" w:rsidR="00563250" w:rsidRPr="002714B2" w:rsidRDefault="00A1591D" w:rsidP="002714B2">
            <w:pPr>
              <w:spacing w:line="240" w:lineRule="auto"/>
              <w:jc w:val="center"/>
              <w:rPr>
                <w:rFonts w:ascii="Arial" w:hAnsi="Arial" w:cs="Arial"/>
                <w:color w:val="000000"/>
                <w:sz w:val="18"/>
                <w:szCs w:val="18"/>
              </w:rPr>
            </w:pPr>
            <w:r w:rsidRPr="002714B2">
              <w:rPr>
                <w:rFonts w:ascii="Arial" w:hAnsi="Arial" w:cs="Arial"/>
                <w:color w:val="000000"/>
                <w:sz w:val="18"/>
                <w:szCs w:val="18"/>
              </w:rPr>
              <w:t>LOD</w:t>
            </w:r>
          </w:p>
        </w:tc>
      </w:tr>
    </w:tbl>
    <w:p w14:paraId="3409484B" w14:textId="05827F0C" w:rsidR="00E5313D" w:rsidRPr="003A34AF" w:rsidRDefault="003A34AF" w:rsidP="00972B57">
      <w:pPr>
        <w:pStyle w:val="BodyText"/>
        <w:spacing w:after="0"/>
        <w:rPr>
          <w:rFonts w:ascii="Arial" w:hAnsi="Arial" w:cs="Arial"/>
          <w:sz w:val="16"/>
          <w:szCs w:val="16"/>
        </w:rPr>
      </w:pPr>
      <w:r w:rsidRPr="003A34AF">
        <w:rPr>
          <w:rFonts w:ascii="Arial" w:hAnsi="Arial" w:cs="Arial"/>
          <w:sz w:val="16"/>
          <w:szCs w:val="16"/>
          <w:vertAlign w:val="superscript"/>
        </w:rPr>
        <w:t xml:space="preserve">1 </w:t>
      </w:r>
      <w:r w:rsidR="00E5313D" w:rsidRPr="003A34AF">
        <w:rPr>
          <w:rFonts w:ascii="Arial" w:hAnsi="Arial" w:cs="Arial"/>
          <w:sz w:val="16"/>
          <w:szCs w:val="16"/>
        </w:rPr>
        <w:t>Week 1=8/4-8/7/2025; Week 2=8/11-8/14/2025; Week 3=8/18/-8/21/2025; Week 4=8/25/-8/28/2025; Week 5=9/02/-9/04/2025</w:t>
      </w:r>
    </w:p>
    <w:p w14:paraId="183118F2" w14:textId="0380B20A" w:rsidR="00A1591D" w:rsidRPr="003A34AF" w:rsidRDefault="003A34AF" w:rsidP="00972B57">
      <w:pPr>
        <w:pStyle w:val="BodyText"/>
        <w:spacing w:after="0"/>
        <w:rPr>
          <w:rFonts w:ascii="Arial" w:hAnsi="Arial" w:cs="Arial"/>
          <w:bCs/>
          <w:sz w:val="16"/>
          <w:szCs w:val="16"/>
        </w:rPr>
      </w:pPr>
      <w:r>
        <w:rPr>
          <w:rFonts w:ascii="Arial" w:hAnsi="Arial" w:cs="Arial"/>
          <w:bCs/>
          <w:sz w:val="16"/>
          <w:szCs w:val="16"/>
          <w:vertAlign w:val="superscript"/>
        </w:rPr>
        <w:t>2</w:t>
      </w:r>
      <w:r w:rsidR="00E5313D" w:rsidRPr="003A34AF">
        <w:rPr>
          <w:rFonts w:ascii="Arial" w:hAnsi="Arial" w:cs="Arial"/>
          <w:bCs/>
          <w:sz w:val="16"/>
          <w:szCs w:val="16"/>
        </w:rPr>
        <w:t xml:space="preserve"> </w:t>
      </w:r>
      <w:r w:rsidR="00A1591D" w:rsidRPr="003A34AF">
        <w:rPr>
          <w:rFonts w:ascii="Arial" w:hAnsi="Arial" w:cs="Arial"/>
          <w:bCs/>
          <w:sz w:val="16"/>
          <w:szCs w:val="16"/>
        </w:rPr>
        <w:t>For geometric mean calculation purposes, 0.5* LOD was used for LOD samples and 0.1* the LOD was used for non-detect samples</w:t>
      </w:r>
    </w:p>
    <w:p w14:paraId="63272CA7" w14:textId="7C1F5F41" w:rsidR="00E5313D" w:rsidRDefault="003A34AF" w:rsidP="003A34AF">
      <w:pPr>
        <w:pStyle w:val="BodyText"/>
        <w:spacing w:after="0"/>
        <w:rPr>
          <w:bCs/>
          <w:sz w:val="16"/>
          <w:szCs w:val="16"/>
        </w:rPr>
      </w:pPr>
      <w:r>
        <w:rPr>
          <w:rFonts w:ascii="Arial" w:hAnsi="Arial" w:cs="Arial"/>
          <w:bCs/>
          <w:sz w:val="16"/>
          <w:szCs w:val="16"/>
          <w:vertAlign w:val="superscript"/>
        </w:rPr>
        <w:t xml:space="preserve">3 </w:t>
      </w:r>
      <w:r w:rsidR="00E5313D" w:rsidRPr="003A34AF">
        <w:rPr>
          <w:rFonts w:ascii="Arial" w:hAnsi="Arial" w:cs="Arial"/>
          <w:bCs/>
          <w:sz w:val="16"/>
          <w:szCs w:val="16"/>
        </w:rPr>
        <w:t>T1-BXSP additional sample collected 9/4/25 HF183</w:t>
      </w:r>
      <w:r w:rsidR="00A1591D" w:rsidRPr="00972B57">
        <w:rPr>
          <w:bCs/>
          <w:sz w:val="16"/>
          <w:szCs w:val="16"/>
        </w:rPr>
        <w:t>.</w:t>
      </w:r>
    </w:p>
    <w:p w14:paraId="4DE5EA44" w14:textId="7AF34E23" w:rsidR="003A34AF" w:rsidRPr="003A34AF" w:rsidRDefault="003A34AF" w:rsidP="00E5313D">
      <w:pPr>
        <w:pStyle w:val="BodyText"/>
        <w:rPr>
          <w:rFonts w:ascii="Arial" w:hAnsi="Arial" w:cs="Arial"/>
          <w:bCs/>
          <w:sz w:val="16"/>
          <w:szCs w:val="16"/>
        </w:rPr>
      </w:pPr>
      <w:r w:rsidRPr="003A34AF">
        <w:rPr>
          <w:rFonts w:ascii="Arial" w:hAnsi="Arial" w:cs="Arial"/>
          <w:bCs/>
          <w:sz w:val="16"/>
          <w:szCs w:val="16"/>
        </w:rPr>
        <w:t>LOD = limit of detection, approximately 50 gene copies/100mL</w:t>
      </w:r>
    </w:p>
    <w:p w14:paraId="7CF494C1" w14:textId="77777777" w:rsidR="00E5313D" w:rsidRPr="00CA3B62" w:rsidRDefault="00E5313D" w:rsidP="00972B57">
      <w:pPr>
        <w:pStyle w:val="Heading3"/>
      </w:pPr>
      <w:bookmarkStart w:id="128" w:name="_Toc217410167"/>
      <w:r w:rsidRPr="00CA3B62">
        <w:t>Relationship between E. coli Concentrations and Bacteroides Detections</w:t>
      </w:r>
      <w:bookmarkEnd w:id="128"/>
    </w:p>
    <w:p w14:paraId="4DFBA347" w14:textId="00ED79BA" w:rsidR="00E5313D" w:rsidRDefault="00E5313D" w:rsidP="00E5313D">
      <w:pPr>
        <w:pStyle w:val="BodyText"/>
      </w:pPr>
      <w:r w:rsidRPr="0076317B">
        <w:t xml:space="preserve">Microbial decay and persistence </w:t>
      </w:r>
      <w:r>
        <w:t xml:space="preserve">of microorganisms </w:t>
      </w:r>
      <w:r w:rsidRPr="0076317B">
        <w:t xml:space="preserve">are driven by environmental conditions including water matrix properties, sunlight, temperature, pH, humidity, salinity, predation, and organic matter (Ahmed et al., 2019). </w:t>
      </w:r>
      <w:r w:rsidRPr="00CA3B62">
        <w:rPr>
          <w:i/>
        </w:rPr>
        <w:t>Bacteroides</w:t>
      </w:r>
      <w:r w:rsidRPr="0076317B">
        <w:t xml:space="preserve"> persistence in surface waters varies considerably</w:t>
      </w:r>
      <w:r>
        <w:t>, r</w:t>
      </w:r>
      <w:r w:rsidRPr="0076317B">
        <w:t>anging from 1 to 14 days depending on environmental conditions, with an average of 3–4 days</w:t>
      </w:r>
      <w:r>
        <w:t xml:space="preserve">. This </w:t>
      </w:r>
      <w:r w:rsidRPr="0076317B">
        <w:t>is influenced by temperature, ultraviolet inactivation, and predation by other microorganisms (</w:t>
      </w:r>
      <w:proofErr w:type="spellStart"/>
      <w:r w:rsidRPr="0076317B">
        <w:t>Kreader</w:t>
      </w:r>
      <w:proofErr w:type="spellEnd"/>
      <w:r w:rsidRPr="0076317B">
        <w:t>, 1998; Bell et al., 2009; Boehm et al., 20</w:t>
      </w:r>
      <w:r w:rsidR="00C139A2">
        <w:t>20</w:t>
      </w:r>
      <w:r w:rsidRPr="0076317B">
        <w:t xml:space="preserve">; </w:t>
      </w:r>
      <w:r w:rsidRPr="0076317B">
        <w:lastRenderedPageBreak/>
        <w:t xml:space="preserve">Ahmed et al., 2019). Temperature particularly affects decay rates, with </w:t>
      </w:r>
      <w:r w:rsidRPr="00CA3B62">
        <w:rPr>
          <w:i/>
        </w:rPr>
        <w:t xml:space="preserve">Bacteroides </w:t>
      </w:r>
      <w:r w:rsidRPr="0076317B">
        <w:t>persisting longer at lower temperatures than at higher temperatures (Bell et al., 2009).</w:t>
      </w:r>
    </w:p>
    <w:p w14:paraId="49B3BBAD" w14:textId="77777777" w:rsidR="00E5313D" w:rsidRDefault="00E5313D" w:rsidP="00E5313D">
      <w:pPr>
        <w:pStyle w:val="BodyText"/>
      </w:pPr>
      <w:r w:rsidRPr="0076317B">
        <w:t xml:space="preserve">The variability in both human marker and </w:t>
      </w:r>
      <w:r w:rsidRPr="00CA3B62">
        <w:rPr>
          <w:i/>
        </w:rPr>
        <w:t>E. coli</w:t>
      </w:r>
      <w:r w:rsidRPr="0076317B">
        <w:t xml:space="preserve"> concentrations observed across the Tier 1 sites reflects these environmental decay patterns. While previous studies documented similar variability in receiving waters (</w:t>
      </w:r>
      <w:proofErr w:type="spellStart"/>
      <w:r w:rsidRPr="0076317B">
        <w:t>Gedalanga</w:t>
      </w:r>
      <w:proofErr w:type="spellEnd"/>
      <w:r w:rsidRPr="0076317B">
        <w:t xml:space="preserve"> et al., 2019; Litton et al., 2010), unique MS4 conditions may influence the decay patterns and </w:t>
      </w:r>
      <w:r>
        <w:t xml:space="preserve">the </w:t>
      </w:r>
      <w:r w:rsidRPr="0076317B">
        <w:t>variability observed in this study</w:t>
      </w:r>
      <w:r>
        <w:t xml:space="preserve">. </w:t>
      </w:r>
    </w:p>
    <w:p w14:paraId="0F33B05F" w14:textId="77777777" w:rsidR="00E5313D" w:rsidRDefault="00E5313D" w:rsidP="00E5313D">
      <w:pPr>
        <w:pStyle w:val="BodyText"/>
        <w:spacing w:after="120"/>
      </w:pPr>
      <w:r w:rsidRPr="005227B5">
        <w:t xml:space="preserve">The relationship between </w:t>
      </w:r>
      <w:r>
        <w:t xml:space="preserve">the </w:t>
      </w:r>
      <w:r w:rsidRPr="005227B5">
        <w:t>human</w:t>
      </w:r>
      <w:r>
        <w:t xml:space="preserve"> marker </w:t>
      </w:r>
      <w:r w:rsidRPr="005227B5">
        <w:t xml:space="preserve">and </w:t>
      </w:r>
      <w:r w:rsidRPr="00520F4A">
        <w:rPr>
          <w:i/>
        </w:rPr>
        <w:t>E. coli</w:t>
      </w:r>
      <w:r>
        <w:t xml:space="preserve"> concentrations</w:t>
      </w:r>
      <w:r w:rsidRPr="005227B5">
        <w:t xml:space="preserve"> shows the effectiveness of using </w:t>
      </w:r>
      <w:r>
        <w:t xml:space="preserve">the combination of </w:t>
      </w:r>
      <w:r w:rsidRPr="005227B5">
        <w:t xml:space="preserve">bacterial indicators </w:t>
      </w:r>
      <w:r>
        <w:t xml:space="preserve">as paired measurements </w:t>
      </w:r>
      <w:r w:rsidRPr="005227B5">
        <w:t>to assess potential health risk</w:t>
      </w:r>
      <w:r>
        <w:t xml:space="preserve">s to </w:t>
      </w:r>
      <w:r w:rsidRPr="005227B5">
        <w:t xml:space="preserve">recreational users. </w:t>
      </w:r>
      <w:r>
        <w:t xml:space="preserve">The </w:t>
      </w:r>
      <w:r w:rsidRPr="00DD6701">
        <w:rPr>
          <w:i/>
        </w:rPr>
        <w:t>E. coli</w:t>
      </w:r>
      <w:r>
        <w:t xml:space="preserve"> data </w:t>
      </w:r>
      <w:proofErr w:type="gramStart"/>
      <w:r>
        <w:t>were</w:t>
      </w:r>
      <w:proofErr w:type="gramEnd"/>
      <w:r>
        <w:t xml:space="preserve"> divided into two </w:t>
      </w:r>
      <w:proofErr w:type="gramStart"/>
      <w:r>
        <w:t>datasets</w:t>
      </w:r>
      <w:proofErr w:type="gramEnd"/>
      <w:r>
        <w:t>:</w:t>
      </w:r>
    </w:p>
    <w:p w14:paraId="4D01DBCA" w14:textId="5649099A" w:rsidR="00E5313D" w:rsidRDefault="00E5313D" w:rsidP="00972B57">
      <w:pPr>
        <w:pStyle w:val="BodyText"/>
        <w:numPr>
          <w:ilvl w:val="0"/>
          <w:numId w:val="69"/>
        </w:numPr>
        <w:spacing w:after="120"/>
      </w:pPr>
      <w:r w:rsidRPr="00972B57">
        <w:t>E. coli</w:t>
      </w:r>
      <w:r>
        <w:t xml:space="preserve"> concentrations where HF183</w:t>
      </w:r>
      <w:r w:rsidR="003129FC">
        <w:t xml:space="preserve"> </w:t>
      </w:r>
      <w:r>
        <w:t>was not detecte</w:t>
      </w:r>
      <w:r w:rsidR="003129FC">
        <w:t>d</w:t>
      </w:r>
      <w:r>
        <w:t xml:space="preserve"> </w:t>
      </w:r>
    </w:p>
    <w:p w14:paraId="5B59C5D3" w14:textId="26C5236B" w:rsidR="00E5313D" w:rsidRDefault="00E5313D" w:rsidP="00972B57">
      <w:pPr>
        <w:pStyle w:val="BodyText"/>
        <w:numPr>
          <w:ilvl w:val="0"/>
          <w:numId w:val="69"/>
        </w:numPr>
        <w:spacing w:after="120"/>
      </w:pPr>
      <w:r w:rsidRPr="00972B57">
        <w:t>E. coli</w:t>
      </w:r>
      <w:r>
        <w:t xml:space="preserve"> concentrations where HF183</w:t>
      </w:r>
      <w:r w:rsidR="003129FC">
        <w:t xml:space="preserve"> </w:t>
      </w:r>
      <w:r>
        <w:t xml:space="preserve">was detected and quantified </w:t>
      </w:r>
    </w:p>
    <w:p w14:paraId="1E0709A5" w14:textId="4544DC06" w:rsidR="00E5313D" w:rsidRDefault="00E5313D" w:rsidP="00E5313D">
      <w:pPr>
        <w:pStyle w:val="BodyText"/>
        <w:spacing w:after="360"/>
      </w:pPr>
      <w:r w:rsidRPr="0016758E">
        <w:rPr>
          <w:b/>
        </w:rPr>
        <w:t>Figure 3-2</w:t>
      </w:r>
      <w:r w:rsidR="007838A1">
        <w:rPr>
          <w:b/>
        </w:rPr>
        <w:t>2</w:t>
      </w:r>
      <w:r>
        <w:t xml:space="preserve"> compares these datasets for (a) all Santa Ana River sites (Watershed-wide compliance and Mainstem River sites); and (b) all MS4 sites (Tier 1 and Tier 2). </w:t>
      </w:r>
      <w:r>
        <w:rPr>
          <w:bCs/>
        </w:rPr>
        <w:t>The difference in the stratified datasets was shown to be s</w:t>
      </w:r>
      <w:r w:rsidRPr="005227B5">
        <w:rPr>
          <w:bCs/>
        </w:rPr>
        <w:t xml:space="preserve">tatistically significant </w:t>
      </w:r>
      <w:r>
        <w:rPr>
          <w:bCs/>
        </w:rPr>
        <w:t>(p value &lt; 0.05) for MS4 sites (</w:t>
      </w:r>
      <w:r w:rsidRPr="0016758E">
        <w:rPr>
          <w:b/>
          <w:bCs/>
        </w:rPr>
        <w:t>Table 3-</w:t>
      </w:r>
      <w:r>
        <w:rPr>
          <w:b/>
          <w:bCs/>
        </w:rPr>
        <w:t>10</w:t>
      </w:r>
      <w:r>
        <w:rPr>
          <w:bCs/>
        </w:rPr>
        <w:t>) and for receiving water sites (</w:t>
      </w:r>
      <w:r w:rsidRPr="003F411D">
        <w:rPr>
          <w:b/>
          <w:bCs/>
        </w:rPr>
        <w:t>Table 3-1</w:t>
      </w:r>
      <w:r>
        <w:rPr>
          <w:b/>
          <w:bCs/>
        </w:rPr>
        <w:t>1)</w:t>
      </w:r>
      <w:r w:rsidRPr="005227B5">
        <w:rPr>
          <w:bCs/>
        </w:rPr>
        <w:t>.</w:t>
      </w:r>
      <w:r w:rsidRPr="009C1882">
        <w:t xml:space="preserve"> </w:t>
      </w:r>
    </w:p>
    <w:p w14:paraId="7C777AF6" w14:textId="15DA150C" w:rsidR="007838A1" w:rsidRDefault="007838A1" w:rsidP="007838A1">
      <w:pPr>
        <w:pStyle w:val="BodyText"/>
        <w:spacing w:after="0"/>
      </w:pPr>
      <w:r>
        <w:rPr>
          <w:noProof/>
        </w:rPr>
        <w:drawing>
          <wp:inline distT="0" distB="0" distL="0" distR="0" wp14:anchorId="6A66263A" wp14:editId="26F3E4CA">
            <wp:extent cx="5285778" cy="3753293"/>
            <wp:effectExtent l="0" t="0" r="0" b="0"/>
            <wp:docPr id="1923615613" name="Picture 1" descr="A chart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14644" name="Picture 1" descr="A chart with different colored squares&#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95609" cy="3760274"/>
                    </a:xfrm>
                    <a:prstGeom prst="rect">
                      <a:avLst/>
                    </a:prstGeom>
                    <a:noFill/>
                  </pic:spPr>
                </pic:pic>
              </a:graphicData>
            </a:graphic>
          </wp:inline>
        </w:drawing>
      </w:r>
    </w:p>
    <w:p w14:paraId="1451FD1F" w14:textId="4DAD601E" w:rsidR="007838A1" w:rsidRPr="007838A1" w:rsidRDefault="007838A1" w:rsidP="007838A1">
      <w:pPr>
        <w:pStyle w:val="BodyText"/>
        <w:spacing w:after="120"/>
        <w:rPr>
          <w:rFonts w:ascii="Arial" w:hAnsi="Arial" w:cs="Arial"/>
          <w:sz w:val="16"/>
          <w:szCs w:val="16"/>
        </w:rPr>
      </w:pPr>
      <w:r w:rsidRPr="007838A1">
        <w:rPr>
          <w:rFonts w:ascii="Arial" w:hAnsi="Arial" w:cs="Arial"/>
          <w:sz w:val="16"/>
          <w:szCs w:val="16"/>
        </w:rPr>
        <w:t xml:space="preserve">Note: y-axis is </w:t>
      </w:r>
      <w:proofErr w:type="gramStart"/>
      <w:r w:rsidRPr="007838A1">
        <w:rPr>
          <w:rFonts w:ascii="Arial" w:hAnsi="Arial" w:cs="Arial"/>
          <w:sz w:val="16"/>
          <w:szCs w:val="16"/>
        </w:rPr>
        <w:t>in</w:t>
      </w:r>
      <w:proofErr w:type="gramEnd"/>
      <w:r w:rsidRPr="007838A1">
        <w:rPr>
          <w:rFonts w:ascii="Arial" w:hAnsi="Arial" w:cs="Arial"/>
          <w:sz w:val="16"/>
          <w:szCs w:val="16"/>
        </w:rPr>
        <w:t xml:space="preserve"> Log</w:t>
      </w:r>
      <w:r w:rsidRPr="007838A1">
        <w:rPr>
          <w:rFonts w:ascii="Arial" w:hAnsi="Arial" w:cs="Arial"/>
          <w:sz w:val="16"/>
          <w:szCs w:val="16"/>
          <w:vertAlign w:val="subscript"/>
        </w:rPr>
        <w:t>10</w:t>
      </w:r>
      <w:r w:rsidRPr="007838A1">
        <w:rPr>
          <w:rFonts w:ascii="Arial" w:hAnsi="Arial" w:cs="Arial"/>
          <w:sz w:val="16"/>
          <w:szCs w:val="16"/>
        </w:rPr>
        <w:t xml:space="preserve"> scale. </w:t>
      </w:r>
    </w:p>
    <w:p w14:paraId="5DCF4522" w14:textId="4EF16937" w:rsidR="007838A1" w:rsidRDefault="007838A1" w:rsidP="007838A1">
      <w:pPr>
        <w:pStyle w:val="Caption"/>
      </w:pPr>
      <w:bookmarkStart w:id="129" w:name="_Toc217394580"/>
      <w:bookmarkStart w:id="130" w:name="_Toc217394775"/>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22</w:t>
      </w:r>
      <w:r w:rsidR="0023167A">
        <w:fldChar w:fldCharType="end"/>
      </w:r>
      <w:r>
        <w:t xml:space="preserve">. Box-Whisker Plots of </w:t>
      </w:r>
      <w:r w:rsidRPr="007838A1">
        <w:rPr>
          <w:i/>
          <w:iCs w:val="0"/>
        </w:rPr>
        <w:t xml:space="preserve">E. coli </w:t>
      </w:r>
      <w:r>
        <w:t>Concentrations in Samples with/without Detection/Amplification of HF183 for MS4 and Mainstem Sites</w:t>
      </w:r>
      <w:bookmarkEnd w:id="129"/>
      <w:bookmarkEnd w:id="130"/>
    </w:p>
    <w:tbl>
      <w:tblPr>
        <w:tblW w:w="8157" w:type="dxa"/>
        <w:tblLook w:val="04A0" w:firstRow="1" w:lastRow="0" w:firstColumn="1" w:lastColumn="0" w:noHBand="0" w:noVBand="1"/>
      </w:tblPr>
      <w:tblGrid>
        <w:gridCol w:w="3240"/>
        <w:gridCol w:w="1407"/>
        <w:gridCol w:w="1890"/>
        <w:gridCol w:w="1620"/>
      </w:tblGrid>
      <w:tr w:rsidR="00E5313D" w:rsidRPr="00E733AE" w14:paraId="2D2D7B78" w14:textId="77777777" w:rsidTr="00CA3B62">
        <w:trPr>
          <w:trHeight w:val="513"/>
        </w:trPr>
        <w:tc>
          <w:tcPr>
            <w:tcW w:w="8157" w:type="dxa"/>
            <w:gridSpan w:val="4"/>
            <w:tcBorders>
              <w:top w:val="nil"/>
              <w:left w:val="nil"/>
              <w:bottom w:val="single" w:sz="4" w:space="0" w:color="auto"/>
              <w:right w:val="nil"/>
            </w:tcBorders>
            <w:vAlign w:val="bottom"/>
            <w:hideMark/>
          </w:tcPr>
          <w:p w14:paraId="02EBDA97" w14:textId="7055D6DF" w:rsidR="00E5313D" w:rsidRPr="00E733AE" w:rsidRDefault="003A34AF" w:rsidP="007838A1">
            <w:pPr>
              <w:pStyle w:val="Caption"/>
              <w:keepNext/>
              <w:spacing w:before="240"/>
            </w:pPr>
            <w:bookmarkStart w:id="131" w:name="_Toc217391767"/>
            <w:r>
              <w:lastRenderedPageBreak/>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10</w:t>
            </w:r>
            <w:r w:rsidR="00FE614C">
              <w:fldChar w:fldCharType="end"/>
            </w:r>
            <w:r>
              <w:t xml:space="preserve">. </w:t>
            </w:r>
            <w:r w:rsidR="00E5313D" w:rsidRPr="00E733AE">
              <w:t xml:space="preserve">Student T-Test Results Comparing </w:t>
            </w:r>
            <w:r w:rsidR="00E5313D" w:rsidRPr="00E733AE">
              <w:rPr>
                <w:i/>
              </w:rPr>
              <w:t xml:space="preserve">E. </w:t>
            </w:r>
            <w:proofErr w:type="gramStart"/>
            <w:r w:rsidR="00E5313D" w:rsidRPr="00E733AE">
              <w:rPr>
                <w:i/>
              </w:rPr>
              <w:t>coli</w:t>
            </w:r>
            <w:proofErr w:type="gramEnd"/>
            <w:r w:rsidR="00E5313D" w:rsidRPr="00E733AE">
              <w:rPr>
                <w:i/>
              </w:rPr>
              <w:t xml:space="preserve"> C</w:t>
            </w:r>
            <w:r w:rsidR="00E5313D" w:rsidRPr="00E733AE">
              <w:t>oncentrations in Samples with/without Detection Human Marker HF183 for all Tier-1 and 2 Sites</w:t>
            </w:r>
            <w:bookmarkEnd w:id="131"/>
          </w:p>
        </w:tc>
      </w:tr>
      <w:tr w:rsidR="00E5313D" w:rsidRPr="00E733AE" w14:paraId="74860682" w14:textId="77777777" w:rsidTr="002714B2">
        <w:trPr>
          <w:trHeight w:val="504"/>
        </w:trPr>
        <w:tc>
          <w:tcPr>
            <w:tcW w:w="32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4E66F4E" w14:textId="77777777" w:rsidR="00E5313D" w:rsidRPr="00E733AE" w:rsidRDefault="00E5313D" w:rsidP="00CA3B62">
            <w:pPr>
              <w:spacing w:line="240" w:lineRule="auto"/>
              <w:jc w:val="center"/>
              <w:rPr>
                <w:rFonts w:ascii="Arial" w:hAnsi="Arial" w:cs="Arial"/>
                <w:b/>
                <w:sz w:val="18"/>
                <w:szCs w:val="18"/>
              </w:rPr>
            </w:pPr>
            <w:r w:rsidRPr="00E733AE">
              <w:rPr>
                <w:rFonts w:ascii="Arial" w:hAnsi="Arial" w:cs="Arial"/>
                <w:b/>
                <w:i/>
                <w:sz w:val="18"/>
                <w:szCs w:val="18"/>
              </w:rPr>
              <w:t>E. coli</w:t>
            </w:r>
            <w:r w:rsidRPr="00E733AE">
              <w:rPr>
                <w:rFonts w:ascii="Arial" w:hAnsi="Arial" w:cs="Arial"/>
                <w:b/>
                <w:sz w:val="18"/>
                <w:szCs w:val="18"/>
              </w:rPr>
              <w:t xml:space="preserve"> Data Set</w:t>
            </w:r>
          </w:p>
        </w:tc>
        <w:tc>
          <w:tcPr>
            <w:tcW w:w="140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748E378" w14:textId="77777777" w:rsidR="00E5313D" w:rsidRPr="00E733AE" w:rsidRDefault="00E5313D" w:rsidP="00CA3B62">
            <w:pPr>
              <w:spacing w:line="240" w:lineRule="auto"/>
              <w:jc w:val="center"/>
              <w:rPr>
                <w:rFonts w:ascii="Arial" w:hAnsi="Arial" w:cs="Arial"/>
                <w:b/>
                <w:bCs/>
                <w:sz w:val="18"/>
                <w:szCs w:val="18"/>
              </w:rPr>
            </w:pPr>
            <w:r w:rsidRPr="00E733AE">
              <w:rPr>
                <w:rFonts w:ascii="Arial" w:hAnsi="Arial" w:cs="Arial"/>
                <w:b/>
                <w:bCs/>
                <w:sz w:val="18"/>
                <w:szCs w:val="18"/>
              </w:rPr>
              <w:t>n</w:t>
            </w:r>
          </w:p>
        </w:tc>
        <w:tc>
          <w:tcPr>
            <w:tcW w:w="18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24B4E29" w14:textId="77777777" w:rsidR="00E5313D" w:rsidRPr="00E733AE" w:rsidRDefault="00E5313D" w:rsidP="00CA3B62">
            <w:pPr>
              <w:spacing w:line="240" w:lineRule="auto"/>
              <w:jc w:val="center"/>
              <w:rPr>
                <w:rFonts w:ascii="Arial" w:hAnsi="Arial" w:cs="Arial"/>
                <w:b/>
                <w:bCs/>
                <w:sz w:val="18"/>
                <w:szCs w:val="18"/>
              </w:rPr>
            </w:pPr>
            <w:r w:rsidRPr="00E733AE">
              <w:rPr>
                <w:rFonts w:ascii="Arial" w:hAnsi="Arial" w:cs="Arial"/>
                <w:b/>
                <w:bCs/>
                <w:i/>
                <w:sz w:val="18"/>
                <w:szCs w:val="18"/>
              </w:rPr>
              <w:t>E. coli</w:t>
            </w:r>
            <w:r w:rsidRPr="00E733AE">
              <w:rPr>
                <w:rFonts w:ascii="Arial" w:hAnsi="Arial" w:cs="Arial"/>
                <w:b/>
                <w:bCs/>
                <w:sz w:val="18"/>
                <w:szCs w:val="18"/>
              </w:rPr>
              <w:t xml:space="preserve"> Geomean (MPN/100 mL)</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E022D06" w14:textId="77777777" w:rsidR="00E5313D" w:rsidRPr="00E733AE" w:rsidRDefault="00E5313D" w:rsidP="00CA3B62">
            <w:pPr>
              <w:spacing w:line="240" w:lineRule="auto"/>
              <w:jc w:val="center"/>
              <w:rPr>
                <w:rFonts w:ascii="Arial" w:hAnsi="Arial" w:cs="Arial"/>
                <w:b/>
                <w:bCs/>
                <w:sz w:val="18"/>
                <w:szCs w:val="18"/>
                <w:vertAlign w:val="superscript"/>
              </w:rPr>
            </w:pPr>
            <w:r w:rsidRPr="00E733AE">
              <w:rPr>
                <w:rFonts w:ascii="Arial" w:hAnsi="Arial" w:cs="Arial"/>
                <w:b/>
                <w:bCs/>
                <w:sz w:val="18"/>
                <w:szCs w:val="18"/>
              </w:rPr>
              <w:t>P-Value</w:t>
            </w:r>
            <w:r w:rsidRPr="00E733AE">
              <w:rPr>
                <w:rFonts w:ascii="Arial" w:hAnsi="Arial" w:cs="Arial"/>
                <w:b/>
                <w:bCs/>
                <w:sz w:val="18"/>
                <w:szCs w:val="18"/>
                <w:vertAlign w:val="superscript"/>
              </w:rPr>
              <w:t>1</w:t>
            </w:r>
          </w:p>
        </w:tc>
      </w:tr>
      <w:tr w:rsidR="00E5313D" w:rsidRPr="00E733AE" w14:paraId="26E88CF3" w14:textId="77777777" w:rsidTr="00CA3B62">
        <w:trPr>
          <w:trHeight w:val="504"/>
        </w:trPr>
        <w:tc>
          <w:tcPr>
            <w:tcW w:w="3240" w:type="dxa"/>
            <w:tcBorders>
              <w:top w:val="single" w:sz="4" w:space="0" w:color="auto"/>
              <w:left w:val="single" w:sz="4" w:space="0" w:color="auto"/>
              <w:bottom w:val="single" w:sz="4" w:space="0" w:color="auto"/>
              <w:right w:val="single" w:sz="4" w:space="0" w:color="auto"/>
            </w:tcBorders>
            <w:vAlign w:val="center"/>
            <w:hideMark/>
          </w:tcPr>
          <w:p w14:paraId="54B4A66E" w14:textId="77777777" w:rsidR="00E5313D" w:rsidRPr="00E733AE" w:rsidRDefault="00E5313D" w:rsidP="00CA3B62">
            <w:pPr>
              <w:spacing w:line="240" w:lineRule="auto"/>
              <w:rPr>
                <w:rFonts w:ascii="Arial" w:hAnsi="Arial" w:cs="Arial"/>
                <w:sz w:val="18"/>
                <w:szCs w:val="18"/>
              </w:rPr>
            </w:pPr>
            <w:r w:rsidRPr="00E733AE">
              <w:rPr>
                <w:rFonts w:ascii="Arial" w:hAnsi="Arial" w:cs="Arial"/>
                <w:sz w:val="18"/>
                <w:szCs w:val="18"/>
              </w:rPr>
              <w:t>Human Marker HF183 Detected</w:t>
            </w:r>
          </w:p>
        </w:tc>
        <w:tc>
          <w:tcPr>
            <w:tcW w:w="1407" w:type="dxa"/>
            <w:tcBorders>
              <w:top w:val="single" w:sz="4" w:space="0" w:color="auto"/>
              <w:left w:val="single" w:sz="4" w:space="0" w:color="auto"/>
              <w:bottom w:val="single" w:sz="4" w:space="0" w:color="auto"/>
              <w:right w:val="single" w:sz="4" w:space="0" w:color="auto"/>
            </w:tcBorders>
            <w:noWrap/>
            <w:vAlign w:val="center"/>
            <w:hideMark/>
          </w:tcPr>
          <w:p w14:paraId="3161B7E2"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22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14:paraId="0CD81E7D"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1,763</w:t>
            </w:r>
          </w:p>
        </w:tc>
        <w:tc>
          <w:tcPr>
            <w:tcW w:w="1620" w:type="dxa"/>
            <w:vMerge w:val="restart"/>
            <w:tcBorders>
              <w:top w:val="single" w:sz="4" w:space="0" w:color="auto"/>
              <w:left w:val="single" w:sz="4" w:space="0" w:color="auto"/>
              <w:bottom w:val="single" w:sz="4" w:space="0" w:color="auto"/>
              <w:right w:val="single" w:sz="4" w:space="0" w:color="auto"/>
            </w:tcBorders>
            <w:noWrap/>
            <w:vAlign w:val="center"/>
            <w:hideMark/>
          </w:tcPr>
          <w:p w14:paraId="5A165C87"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0.009*</w:t>
            </w:r>
          </w:p>
        </w:tc>
      </w:tr>
      <w:tr w:rsidR="00E5313D" w:rsidRPr="00E733AE" w14:paraId="2530320A" w14:textId="77777777" w:rsidTr="00CA3B62">
        <w:trPr>
          <w:trHeight w:val="504"/>
        </w:trPr>
        <w:tc>
          <w:tcPr>
            <w:tcW w:w="3240"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14:paraId="4273FAF4" w14:textId="77777777" w:rsidR="00E5313D" w:rsidRPr="00E733AE" w:rsidRDefault="00E5313D" w:rsidP="00CA3B62">
            <w:pPr>
              <w:spacing w:line="240" w:lineRule="auto"/>
              <w:rPr>
                <w:rFonts w:ascii="Arial" w:hAnsi="Arial" w:cs="Arial"/>
                <w:sz w:val="18"/>
                <w:szCs w:val="18"/>
              </w:rPr>
            </w:pPr>
            <w:r w:rsidRPr="00E733AE">
              <w:rPr>
                <w:rFonts w:ascii="Arial" w:hAnsi="Arial" w:cs="Arial"/>
                <w:sz w:val="18"/>
                <w:szCs w:val="18"/>
              </w:rPr>
              <w:t>Human Marker HF183 Not Detected</w:t>
            </w:r>
          </w:p>
        </w:tc>
        <w:tc>
          <w:tcPr>
            <w:tcW w:w="1407" w:type="dxa"/>
            <w:tcBorders>
              <w:top w:val="single" w:sz="4" w:space="0" w:color="auto"/>
              <w:left w:val="single" w:sz="4" w:space="0" w:color="000000" w:themeColor="text1"/>
              <w:bottom w:val="single" w:sz="4" w:space="0" w:color="000000" w:themeColor="text1"/>
              <w:right w:val="single" w:sz="4" w:space="0" w:color="000000" w:themeColor="text1"/>
            </w:tcBorders>
            <w:noWrap/>
            <w:vAlign w:val="center"/>
            <w:hideMark/>
          </w:tcPr>
          <w:p w14:paraId="766F30B7"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68</w:t>
            </w:r>
          </w:p>
        </w:tc>
        <w:tc>
          <w:tcPr>
            <w:tcW w:w="1890" w:type="dxa"/>
            <w:tcBorders>
              <w:top w:val="single" w:sz="4" w:space="0" w:color="auto"/>
              <w:left w:val="single" w:sz="4" w:space="0" w:color="000000" w:themeColor="text1"/>
              <w:bottom w:val="single" w:sz="4" w:space="0" w:color="000000" w:themeColor="text1"/>
              <w:right w:val="single" w:sz="4" w:space="0" w:color="000000" w:themeColor="text1"/>
            </w:tcBorders>
            <w:noWrap/>
            <w:vAlign w:val="center"/>
            <w:hideMark/>
          </w:tcPr>
          <w:p w14:paraId="22ACC0A9"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597</w:t>
            </w:r>
          </w:p>
        </w:tc>
        <w:tc>
          <w:tcPr>
            <w:tcW w:w="1620" w:type="dxa"/>
            <w:vMerge/>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14:paraId="5867E7B0" w14:textId="77777777" w:rsidR="00E5313D" w:rsidRPr="00E733AE" w:rsidRDefault="00E5313D" w:rsidP="00CA3B62">
            <w:pPr>
              <w:spacing w:line="240" w:lineRule="auto"/>
              <w:rPr>
                <w:rFonts w:asciiTheme="majorHAnsi" w:hAnsiTheme="majorHAnsi" w:cstheme="majorHAnsi"/>
                <w:sz w:val="18"/>
                <w:szCs w:val="18"/>
              </w:rPr>
            </w:pPr>
          </w:p>
        </w:tc>
      </w:tr>
      <w:tr w:rsidR="00E5313D" w:rsidRPr="00E733AE" w14:paraId="25F08EC5" w14:textId="77777777" w:rsidTr="00CA3B62">
        <w:trPr>
          <w:trHeight w:val="313"/>
        </w:trPr>
        <w:tc>
          <w:tcPr>
            <w:tcW w:w="8157" w:type="dxa"/>
            <w:gridSpan w:val="4"/>
            <w:tcBorders>
              <w:top w:val="single" w:sz="4" w:space="0" w:color="000000" w:themeColor="text1"/>
            </w:tcBorders>
            <w:vAlign w:val="center"/>
          </w:tcPr>
          <w:p w14:paraId="44FC8113" w14:textId="77777777" w:rsidR="00E5313D" w:rsidRPr="003A34AF" w:rsidRDefault="00E5313D" w:rsidP="00CA3B62">
            <w:pPr>
              <w:spacing w:line="240" w:lineRule="auto"/>
              <w:rPr>
                <w:rFonts w:ascii="Arial" w:hAnsi="Arial" w:cs="Arial"/>
                <w:sz w:val="16"/>
                <w:szCs w:val="16"/>
              </w:rPr>
            </w:pPr>
            <w:r w:rsidRPr="003A34AF">
              <w:rPr>
                <w:rFonts w:ascii="Arial" w:hAnsi="Arial" w:cs="Arial"/>
                <w:sz w:val="16"/>
                <w:szCs w:val="16"/>
                <w:vertAlign w:val="superscript"/>
              </w:rPr>
              <w:t xml:space="preserve">1 </w:t>
            </w:r>
            <w:r w:rsidRPr="003A34AF">
              <w:rPr>
                <w:rFonts w:ascii="Arial" w:hAnsi="Arial" w:cs="Arial"/>
                <w:sz w:val="16"/>
                <w:szCs w:val="16"/>
              </w:rPr>
              <w:t>Statistically significant, p-value &lt; 0.05</w:t>
            </w:r>
          </w:p>
        </w:tc>
      </w:tr>
    </w:tbl>
    <w:p w14:paraId="18A1DF61" w14:textId="77777777" w:rsidR="00E5313D" w:rsidRDefault="00E5313D" w:rsidP="00E5313D">
      <w:pPr>
        <w:pStyle w:val="BodyText"/>
        <w:spacing w:after="120"/>
      </w:pPr>
    </w:p>
    <w:tbl>
      <w:tblPr>
        <w:tblpPr w:leftFromText="2880" w:rightFromText="2880" w:vertAnchor="text" w:horzAnchor="margin" w:tblpY="59"/>
        <w:tblW w:w="8100" w:type="dxa"/>
        <w:tblLook w:val="04A0" w:firstRow="1" w:lastRow="0" w:firstColumn="1" w:lastColumn="0" w:noHBand="0" w:noVBand="1"/>
      </w:tblPr>
      <w:tblGrid>
        <w:gridCol w:w="3240"/>
        <w:gridCol w:w="1440"/>
        <w:gridCol w:w="1800"/>
        <w:gridCol w:w="1620"/>
      </w:tblGrid>
      <w:tr w:rsidR="00E5313D" w:rsidRPr="00E733AE" w14:paraId="3AE667AD" w14:textId="77777777" w:rsidTr="002714B2">
        <w:trPr>
          <w:trHeight w:val="513"/>
        </w:trPr>
        <w:tc>
          <w:tcPr>
            <w:tcW w:w="8100" w:type="dxa"/>
            <w:gridSpan w:val="4"/>
            <w:tcBorders>
              <w:top w:val="nil"/>
              <w:left w:val="nil"/>
              <w:bottom w:val="single" w:sz="4" w:space="0" w:color="auto"/>
              <w:right w:val="nil"/>
            </w:tcBorders>
            <w:vAlign w:val="bottom"/>
            <w:hideMark/>
          </w:tcPr>
          <w:p w14:paraId="15034E7A" w14:textId="0E27A69D" w:rsidR="00E5313D" w:rsidRPr="00E733AE" w:rsidRDefault="003A34AF" w:rsidP="003A34AF">
            <w:pPr>
              <w:pStyle w:val="Caption"/>
              <w:keepNext/>
            </w:pPr>
            <w:bookmarkStart w:id="132" w:name="_Toc217391768"/>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11</w:t>
            </w:r>
            <w:r w:rsidR="00FE614C">
              <w:fldChar w:fldCharType="end"/>
            </w:r>
            <w:r>
              <w:t>.</w:t>
            </w:r>
            <w:r w:rsidR="00E5313D" w:rsidRPr="00E733AE">
              <w:t xml:space="preserve"> Student T-Test Results Comparing </w:t>
            </w:r>
            <w:r w:rsidR="00E5313D" w:rsidRPr="00E733AE">
              <w:rPr>
                <w:i/>
              </w:rPr>
              <w:t xml:space="preserve">E. </w:t>
            </w:r>
            <w:proofErr w:type="gramStart"/>
            <w:r w:rsidR="00E5313D" w:rsidRPr="00E733AE">
              <w:rPr>
                <w:i/>
              </w:rPr>
              <w:t>coli</w:t>
            </w:r>
            <w:proofErr w:type="gramEnd"/>
            <w:r w:rsidR="00E5313D" w:rsidRPr="00E733AE">
              <w:rPr>
                <w:i/>
              </w:rPr>
              <w:t xml:space="preserve"> C</w:t>
            </w:r>
            <w:r w:rsidR="00E5313D" w:rsidRPr="00E733AE">
              <w:t>oncentrations in Samples with/without Detection of Human Marker HF183 for Mainstem Samples</w:t>
            </w:r>
            <w:bookmarkEnd w:id="132"/>
          </w:p>
        </w:tc>
      </w:tr>
      <w:tr w:rsidR="00E5313D" w:rsidRPr="00E733AE" w14:paraId="01F3CF8C" w14:textId="77777777" w:rsidTr="002714B2">
        <w:trPr>
          <w:trHeight w:val="504"/>
        </w:trPr>
        <w:tc>
          <w:tcPr>
            <w:tcW w:w="32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4242B05" w14:textId="77777777" w:rsidR="00E5313D" w:rsidRPr="00E733AE" w:rsidRDefault="00E5313D" w:rsidP="00CA3B62">
            <w:pPr>
              <w:spacing w:line="240" w:lineRule="auto"/>
              <w:jc w:val="center"/>
              <w:rPr>
                <w:rFonts w:ascii="Arial" w:hAnsi="Arial" w:cs="Arial"/>
                <w:b/>
                <w:sz w:val="18"/>
                <w:szCs w:val="18"/>
              </w:rPr>
            </w:pPr>
            <w:r w:rsidRPr="00E733AE">
              <w:rPr>
                <w:rFonts w:ascii="Arial" w:hAnsi="Arial" w:cs="Arial"/>
                <w:b/>
                <w:i/>
                <w:sz w:val="18"/>
                <w:szCs w:val="18"/>
              </w:rPr>
              <w:t>E. coli</w:t>
            </w:r>
            <w:r w:rsidRPr="00E733AE">
              <w:rPr>
                <w:rFonts w:ascii="Arial" w:hAnsi="Arial" w:cs="Arial"/>
                <w:b/>
                <w:sz w:val="18"/>
                <w:szCs w:val="18"/>
              </w:rPr>
              <w:t xml:space="preserve"> Data Set</w:t>
            </w:r>
          </w:p>
        </w:tc>
        <w:tc>
          <w:tcPr>
            <w:tcW w:w="14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A932A1E" w14:textId="77777777" w:rsidR="00E5313D" w:rsidRPr="00E733AE" w:rsidRDefault="00E5313D" w:rsidP="00CA3B62">
            <w:pPr>
              <w:spacing w:line="240" w:lineRule="auto"/>
              <w:jc w:val="center"/>
              <w:rPr>
                <w:rFonts w:ascii="Arial" w:hAnsi="Arial" w:cs="Arial"/>
                <w:b/>
                <w:bCs/>
                <w:sz w:val="18"/>
                <w:szCs w:val="18"/>
              </w:rPr>
            </w:pPr>
            <w:r w:rsidRPr="00E733AE">
              <w:rPr>
                <w:rFonts w:ascii="Arial" w:hAnsi="Arial" w:cs="Arial"/>
                <w:b/>
                <w:bCs/>
                <w:sz w:val="18"/>
                <w:szCs w:val="18"/>
              </w:rPr>
              <w:t>n</w:t>
            </w:r>
          </w:p>
        </w:tc>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C3AFCB" w14:textId="77777777" w:rsidR="00E5313D" w:rsidRPr="00E733AE" w:rsidRDefault="00E5313D" w:rsidP="00CA3B62">
            <w:pPr>
              <w:spacing w:line="240" w:lineRule="auto"/>
              <w:jc w:val="center"/>
              <w:rPr>
                <w:rFonts w:ascii="Arial" w:hAnsi="Arial" w:cs="Arial"/>
                <w:b/>
                <w:bCs/>
                <w:sz w:val="18"/>
                <w:szCs w:val="18"/>
              </w:rPr>
            </w:pPr>
            <w:r w:rsidRPr="00E733AE">
              <w:rPr>
                <w:rFonts w:ascii="Arial" w:hAnsi="Arial" w:cs="Arial"/>
                <w:b/>
                <w:bCs/>
                <w:i/>
                <w:sz w:val="18"/>
                <w:szCs w:val="18"/>
              </w:rPr>
              <w:t>E. coli</w:t>
            </w:r>
            <w:r w:rsidRPr="00E733AE">
              <w:rPr>
                <w:rFonts w:ascii="Arial" w:hAnsi="Arial" w:cs="Arial"/>
                <w:b/>
                <w:bCs/>
                <w:sz w:val="18"/>
                <w:szCs w:val="18"/>
              </w:rPr>
              <w:t xml:space="preserve"> Geomean (MPN/100 mL)</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3BD1FE" w14:textId="77777777" w:rsidR="00E5313D" w:rsidRPr="00E733AE" w:rsidRDefault="00E5313D" w:rsidP="00CA3B62">
            <w:pPr>
              <w:spacing w:line="240" w:lineRule="auto"/>
              <w:jc w:val="center"/>
              <w:rPr>
                <w:rFonts w:ascii="Arial" w:hAnsi="Arial" w:cs="Arial"/>
                <w:b/>
                <w:bCs/>
                <w:sz w:val="18"/>
                <w:szCs w:val="18"/>
              </w:rPr>
            </w:pPr>
            <w:r w:rsidRPr="00E733AE">
              <w:rPr>
                <w:rFonts w:ascii="Arial" w:hAnsi="Arial" w:cs="Arial"/>
                <w:b/>
                <w:bCs/>
                <w:sz w:val="18"/>
                <w:szCs w:val="18"/>
              </w:rPr>
              <w:t>P-Value</w:t>
            </w:r>
          </w:p>
        </w:tc>
      </w:tr>
      <w:tr w:rsidR="00E5313D" w:rsidRPr="00E733AE" w14:paraId="764820CC" w14:textId="77777777" w:rsidTr="002714B2">
        <w:trPr>
          <w:trHeight w:val="504"/>
        </w:trPr>
        <w:tc>
          <w:tcPr>
            <w:tcW w:w="3240" w:type="dxa"/>
            <w:tcBorders>
              <w:top w:val="single" w:sz="4" w:space="0" w:color="auto"/>
              <w:left w:val="single" w:sz="4" w:space="0" w:color="000000" w:themeColor="text1"/>
              <w:bottom w:val="single" w:sz="4" w:space="0" w:color="000000" w:themeColor="text1"/>
              <w:right w:val="single" w:sz="4" w:space="0" w:color="000000" w:themeColor="text1"/>
            </w:tcBorders>
            <w:vAlign w:val="center"/>
            <w:hideMark/>
          </w:tcPr>
          <w:p w14:paraId="016DF246" w14:textId="77777777" w:rsidR="00E5313D" w:rsidRPr="00E733AE" w:rsidRDefault="00E5313D" w:rsidP="00CA3B62">
            <w:pPr>
              <w:spacing w:line="240" w:lineRule="auto"/>
              <w:jc w:val="center"/>
              <w:rPr>
                <w:rFonts w:ascii="Arial" w:hAnsi="Arial" w:cs="Arial"/>
                <w:b/>
                <w:bCs/>
                <w:sz w:val="18"/>
                <w:szCs w:val="18"/>
              </w:rPr>
            </w:pPr>
            <w:r w:rsidRPr="00E733AE">
              <w:rPr>
                <w:rFonts w:ascii="Arial" w:hAnsi="Arial" w:cs="Arial"/>
                <w:sz w:val="18"/>
                <w:szCs w:val="18"/>
              </w:rPr>
              <w:t>Human Marker HF183 Detected</w:t>
            </w:r>
          </w:p>
        </w:tc>
        <w:tc>
          <w:tcPr>
            <w:tcW w:w="1440" w:type="dxa"/>
            <w:tcBorders>
              <w:top w:val="single" w:sz="4" w:space="0" w:color="auto"/>
              <w:left w:val="single" w:sz="4" w:space="0" w:color="000000" w:themeColor="text1"/>
              <w:bottom w:val="single" w:sz="4" w:space="0" w:color="000000" w:themeColor="text1"/>
              <w:right w:val="single" w:sz="4" w:space="0" w:color="000000" w:themeColor="text1"/>
            </w:tcBorders>
            <w:noWrap/>
            <w:vAlign w:val="center"/>
            <w:hideMark/>
          </w:tcPr>
          <w:p w14:paraId="71F414B0" w14:textId="77777777" w:rsidR="00E5313D" w:rsidRPr="00E733AE" w:rsidRDefault="00E5313D" w:rsidP="00CA3B62">
            <w:pPr>
              <w:spacing w:line="240" w:lineRule="auto"/>
              <w:jc w:val="center"/>
              <w:rPr>
                <w:rFonts w:ascii="Arial" w:hAnsi="Arial" w:cs="Arial"/>
                <w:sz w:val="18"/>
                <w:szCs w:val="18"/>
              </w:rPr>
            </w:pPr>
            <w:r>
              <w:rPr>
                <w:rFonts w:ascii="Arial" w:hAnsi="Arial" w:cs="Arial"/>
                <w:sz w:val="18"/>
                <w:szCs w:val="18"/>
              </w:rPr>
              <w:t>1</w:t>
            </w:r>
            <w:r w:rsidRPr="00E733AE">
              <w:rPr>
                <w:rFonts w:ascii="Arial" w:hAnsi="Arial" w:cs="Arial"/>
                <w:sz w:val="18"/>
                <w:szCs w:val="18"/>
              </w:rPr>
              <w:t>2</w:t>
            </w:r>
          </w:p>
        </w:tc>
        <w:tc>
          <w:tcPr>
            <w:tcW w:w="1800" w:type="dxa"/>
            <w:tcBorders>
              <w:top w:val="single" w:sz="4" w:space="0" w:color="auto"/>
              <w:left w:val="single" w:sz="4" w:space="0" w:color="000000" w:themeColor="text1"/>
              <w:bottom w:val="single" w:sz="4" w:space="0" w:color="000000" w:themeColor="text1"/>
              <w:right w:val="single" w:sz="4" w:space="0" w:color="000000" w:themeColor="text1"/>
            </w:tcBorders>
            <w:noWrap/>
            <w:vAlign w:val="center"/>
            <w:hideMark/>
          </w:tcPr>
          <w:p w14:paraId="3BCA89AF" w14:textId="77777777" w:rsidR="00E5313D" w:rsidRPr="00E733AE" w:rsidRDefault="00E5313D" w:rsidP="00CA3B62">
            <w:pPr>
              <w:spacing w:line="240" w:lineRule="auto"/>
              <w:jc w:val="center"/>
              <w:rPr>
                <w:rFonts w:ascii="Arial" w:hAnsi="Arial" w:cs="Arial"/>
                <w:sz w:val="18"/>
                <w:szCs w:val="18"/>
              </w:rPr>
            </w:pPr>
            <w:r>
              <w:rPr>
                <w:rFonts w:ascii="Arial" w:hAnsi="Arial" w:cs="Arial"/>
                <w:sz w:val="18"/>
                <w:szCs w:val="18"/>
              </w:rPr>
              <w:t>288</w:t>
            </w:r>
          </w:p>
        </w:tc>
        <w:tc>
          <w:tcPr>
            <w:tcW w:w="1620" w:type="dxa"/>
            <w:vMerge w:val="restart"/>
            <w:tcBorders>
              <w:top w:val="single" w:sz="4" w:space="0" w:color="auto"/>
              <w:left w:val="single" w:sz="4" w:space="0" w:color="000000" w:themeColor="text1"/>
              <w:bottom w:val="single" w:sz="4" w:space="0" w:color="000000" w:themeColor="text1"/>
              <w:right w:val="single" w:sz="4" w:space="0" w:color="000000" w:themeColor="text1"/>
            </w:tcBorders>
            <w:noWrap/>
            <w:vAlign w:val="center"/>
            <w:hideMark/>
          </w:tcPr>
          <w:p w14:paraId="6410DF01"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0.</w:t>
            </w:r>
            <w:r>
              <w:rPr>
                <w:rFonts w:ascii="Arial" w:hAnsi="Arial" w:cs="Arial"/>
                <w:sz w:val="18"/>
                <w:szCs w:val="18"/>
              </w:rPr>
              <w:t>029</w:t>
            </w:r>
          </w:p>
        </w:tc>
      </w:tr>
      <w:tr w:rsidR="00E5313D" w:rsidRPr="00E733AE" w14:paraId="5ACEA864" w14:textId="77777777" w:rsidTr="00CA3B62">
        <w:trPr>
          <w:trHeight w:val="504"/>
        </w:trPr>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1F207B" w14:textId="77777777" w:rsidR="00E5313D" w:rsidRPr="00E733AE" w:rsidRDefault="00E5313D" w:rsidP="00CA3B62">
            <w:pPr>
              <w:spacing w:line="240" w:lineRule="auto"/>
              <w:jc w:val="center"/>
              <w:rPr>
                <w:rFonts w:ascii="Arial" w:hAnsi="Arial" w:cs="Arial"/>
                <w:b/>
                <w:bCs/>
                <w:sz w:val="18"/>
                <w:szCs w:val="18"/>
              </w:rPr>
            </w:pPr>
            <w:r w:rsidRPr="00E733AE">
              <w:rPr>
                <w:rFonts w:ascii="Arial" w:hAnsi="Arial" w:cs="Arial"/>
                <w:sz w:val="18"/>
                <w:szCs w:val="18"/>
              </w:rPr>
              <w:t>Human Marker HF183 Not Detected</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6D2DD796"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1</w:t>
            </w:r>
            <w:r>
              <w:rPr>
                <w:rFonts w:ascii="Arial" w:hAnsi="Arial" w:cs="Arial"/>
                <w:sz w:val="18"/>
                <w:szCs w:val="18"/>
              </w:rPr>
              <w:t>8</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center"/>
            <w:hideMark/>
          </w:tcPr>
          <w:p w14:paraId="12B48B95" w14:textId="77777777" w:rsidR="00E5313D" w:rsidRPr="00E733AE" w:rsidRDefault="00E5313D" w:rsidP="00CA3B62">
            <w:pPr>
              <w:spacing w:line="240" w:lineRule="auto"/>
              <w:jc w:val="center"/>
              <w:rPr>
                <w:rFonts w:ascii="Arial" w:hAnsi="Arial" w:cs="Arial"/>
                <w:sz w:val="18"/>
                <w:szCs w:val="18"/>
              </w:rPr>
            </w:pPr>
            <w:r w:rsidRPr="00E733AE">
              <w:rPr>
                <w:rFonts w:ascii="Arial" w:hAnsi="Arial" w:cs="Arial"/>
                <w:sz w:val="18"/>
                <w:szCs w:val="18"/>
              </w:rPr>
              <w:t>1</w:t>
            </w:r>
            <w:r>
              <w:rPr>
                <w:rFonts w:ascii="Arial" w:hAnsi="Arial" w:cs="Arial"/>
                <w:sz w:val="18"/>
                <w:szCs w:val="18"/>
              </w:rPr>
              <w:t>61</w:t>
            </w:r>
          </w:p>
        </w:tc>
        <w:tc>
          <w:tcPr>
            <w:tcW w:w="1620" w:type="dxa"/>
            <w:vMerge/>
            <w:tcBorders>
              <w:top w:val="single" w:sz="8" w:space="0" w:color="000000"/>
              <w:left w:val="single" w:sz="4" w:space="0" w:color="000000" w:themeColor="text1"/>
              <w:bottom w:val="single" w:sz="4" w:space="0" w:color="000000" w:themeColor="text1"/>
              <w:right w:val="single" w:sz="4" w:space="0" w:color="000000" w:themeColor="text1"/>
            </w:tcBorders>
            <w:vAlign w:val="center"/>
            <w:hideMark/>
          </w:tcPr>
          <w:p w14:paraId="335B90CC" w14:textId="77777777" w:rsidR="00E5313D" w:rsidRPr="00E733AE" w:rsidRDefault="00E5313D" w:rsidP="00CA3B62">
            <w:pPr>
              <w:spacing w:line="240" w:lineRule="auto"/>
              <w:rPr>
                <w:rFonts w:asciiTheme="majorHAnsi" w:hAnsiTheme="majorHAnsi" w:cstheme="majorHAnsi"/>
                <w:sz w:val="18"/>
                <w:szCs w:val="18"/>
              </w:rPr>
            </w:pPr>
          </w:p>
        </w:tc>
      </w:tr>
    </w:tbl>
    <w:p w14:paraId="451EECB4" w14:textId="77777777" w:rsidR="00E5313D" w:rsidRPr="003A34AF" w:rsidRDefault="00E5313D" w:rsidP="006E176B">
      <w:pPr>
        <w:pStyle w:val="BodyText"/>
        <w:rPr>
          <w:rFonts w:ascii="Arial" w:hAnsi="Arial" w:cs="Arial"/>
          <w:sz w:val="16"/>
          <w:szCs w:val="16"/>
        </w:rPr>
      </w:pPr>
      <w:r w:rsidRPr="003A34AF">
        <w:rPr>
          <w:rFonts w:ascii="Arial" w:hAnsi="Arial" w:cs="Arial"/>
          <w:sz w:val="16"/>
          <w:szCs w:val="16"/>
          <w:vertAlign w:val="superscript"/>
        </w:rPr>
        <w:t>1</w:t>
      </w:r>
      <w:r w:rsidRPr="003A34AF">
        <w:rPr>
          <w:rFonts w:ascii="Arial" w:hAnsi="Arial" w:cs="Arial"/>
          <w:sz w:val="16"/>
          <w:szCs w:val="16"/>
        </w:rPr>
        <w:t xml:space="preserve"> Statistically significant, p-value &lt; 0.05</w:t>
      </w:r>
    </w:p>
    <w:p w14:paraId="0F87FA6D" w14:textId="688484FC" w:rsidR="00E5313D" w:rsidRDefault="00E5313D" w:rsidP="00E5313D">
      <w:pPr>
        <w:pStyle w:val="BodyText"/>
      </w:pPr>
      <w:r>
        <w:t>T</w:t>
      </w:r>
      <w:r w:rsidRPr="005227B5">
        <w:t xml:space="preserve">he geomean of </w:t>
      </w:r>
      <w:r w:rsidRPr="005227B5">
        <w:rPr>
          <w:i/>
        </w:rPr>
        <w:t>E. coli</w:t>
      </w:r>
      <w:r w:rsidRPr="005227B5">
        <w:t xml:space="preserve"> concentration was approximately </w:t>
      </w:r>
      <w:r>
        <w:t xml:space="preserve">3 times </w:t>
      </w:r>
      <w:r w:rsidRPr="005227B5">
        <w:t>greater in</w:t>
      </w:r>
      <w:r w:rsidR="003129FC">
        <w:t xml:space="preserve"> </w:t>
      </w:r>
      <w:r>
        <w:t xml:space="preserve">MS4 </w:t>
      </w:r>
      <w:r w:rsidRPr="005227B5">
        <w:t xml:space="preserve">samples </w:t>
      </w:r>
      <w:r>
        <w:t xml:space="preserve">where </w:t>
      </w:r>
      <w:r w:rsidRPr="005227B5">
        <w:t>human source was detected</w:t>
      </w:r>
      <w:r>
        <w:t xml:space="preserve"> (</w:t>
      </w:r>
      <w:r w:rsidRPr="00CA3B62">
        <w:rPr>
          <w:b/>
        </w:rPr>
        <w:t>Table 3-10</w:t>
      </w:r>
      <w:r>
        <w:t>)</w:t>
      </w:r>
      <w:r w:rsidRPr="005227B5">
        <w:t>.</w:t>
      </w:r>
      <w:r>
        <w:t xml:space="preserve"> Additionally, t</w:t>
      </w:r>
      <w:r w:rsidRPr="00066565">
        <w:t xml:space="preserve">he geomean of </w:t>
      </w:r>
      <w:r w:rsidRPr="00CA3B62">
        <w:rPr>
          <w:i/>
        </w:rPr>
        <w:t>E. coli</w:t>
      </w:r>
      <w:r w:rsidRPr="00066565">
        <w:t xml:space="preserve"> concentration was approximately </w:t>
      </w:r>
      <w:r>
        <w:t xml:space="preserve">1.8 times greater in the Santa Ana River (Mainstem) samples </w:t>
      </w:r>
      <w:r w:rsidRPr="00066565">
        <w:t xml:space="preserve">where </w:t>
      </w:r>
      <w:r>
        <w:t>a</w:t>
      </w:r>
      <w:r w:rsidRPr="00066565">
        <w:t xml:space="preserve"> human source was detected </w:t>
      </w:r>
      <w:r w:rsidRPr="00CA3B62">
        <w:rPr>
          <w:b/>
        </w:rPr>
        <w:t>(Table 3-11</w:t>
      </w:r>
      <w:r>
        <w:t xml:space="preserve">). </w:t>
      </w:r>
      <w:r w:rsidRPr="00066565">
        <w:t>The findings from th</w:t>
      </w:r>
      <w:r>
        <w:t>ese</w:t>
      </w:r>
      <w:r w:rsidRPr="00066565">
        <w:t xml:space="preserve"> analys</w:t>
      </w:r>
      <w:r w:rsidR="003129FC">
        <w:t>e</w:t>
      </w:r>
      <w:r w:rsidRPr="00066565">
        <w:t xml:space="preserve">s suggest that the presence of human sources can impact the concentration and loading of FIB </w:t>
      </w:r>
      <w:r>
        <w:t xml:space="preserve">and significantly increase the </w:t>
      </w:r>
      <w:r w:rsidRPr="00CA3B62">
        <w:rPr>
          <w:i/>
        </w:rPr>
        <w:t>E. coli</w:t>
      </w:r>
      <w:r>
        <w:t xml:space="preserve"> concentrations at the Santa Ana River. </w:t>
      </w:r>
    </w:p>
    <w:p w14:paraId="6E9EF1C6" w14:textId="7A54C1F9" w:rsidR="00E5313D" w:rsidRDefault="00E5313D" w:rsidP="00E5313D">
      <w:pPr>
        <w:pStyle w:val="BodyText"/>
      </w:pPr>
      <w:r>
        <w:t xml:space="preserve">During the five (5) week sampling period a positive correlation between HF183 </w:t>
      </w:r>
      <w:r w:rsidR="003129FC">
        <w:t xml:space="preserve">and </w:t>
      </w:r>
      <w:r w:rsidR="003129FC" w:rsidRPr="009B59A3">
        <w:rPr>
          <w:i/>
          <w:iCs/>
        </w:rPr>
        <w:t>E.</w:t>
      </w:r>
      <w:r>
        <w:rPr>
          <w:i/>
        </w:rPr>
        <w:t xml:space="preserve"> </w:t>
      </w:r>
      <w:r w:rsidRPr="00C35D2F">
        <w:rPr>
          <w:i/>
        </w:rPr>
        <w:t xml:space="preserve">coli </w:t>
      </w:r>
      <w:r w:rsidRPr="00721C24">
        <w:t xml:space="preserve">concentrations </w:t>
      </w:r>
      <w:r>
        <w:t xml:space="preserve">at </w:t>
      </w:r>
      <w:r w:rsidRPr="00281687">
        <w:t>Magnolia Center Storm Drain</w:t>
      </w:r>
      <w:r>
        <w:t xml:space="preserve"> (T1-MCSD) was observed</w:t>
      </w:r>
      <w:r>
        <w:rPr>
          <w:i/>
        </w:rPr>
        <w:t>.</w:t>
      </w:r>
      <w:r w:rsidR="003129FC">
        <w:rPr>
          <w:i/>
        </w:rPr>
        <w:t xml:space="preserve"> </w:t>
      </w:r>
      <w:r w:rsidR="003129FC" w:rsidRPr="009B59A3">
        <w:rPr>
          <w:iCs/>
        </w:rPr>
        <w:t>High</w:t>
      </w:r>
      <w:r w:rsidR="003129FC">
        <w:rPr>
          <w:i/>
        </w:rPr>
        <w:t xml:space="preserve"> </w:t>
      </w:r>
      <w:r w:rsidRPr="00F8205F">
        <w:t xml:space="preserve">concentrations of the human marker were persistently </w:t>
      </w:r>
      <w:r>
        <w:t xml:space="preserve">identified </w:t>
      </w:r>
      <w:r w:rsidRPr="00F8205F">
        <w:t xml:space="preserve">at the Magnolia Center Storm Drain site (T1-MCSD) where the </w:t>
      </w:r>
      <w:r w:rsidR="003129FC">
        <w:t xml:space="preserve">geometric </w:t>
      </w:r>
      <w:r w:rsidRPr="00F8205F">
        <w:t xml:space="preserve">mean concentration was </w:t>
      </w:r>
      <w:r w:rsidR="003129FC">
        <w:t xml:space="preserve">26,614 </w:t>
      </w:r>
      <w:proofErr w:type="spellStart"/>
      <w:r w:rsidRPr="00CD1A0C">
        <w:t>gc</w:t>
      </w:r>
      <w:proofErr w:type="spellEnd"/>
      <w:r w:rsidRPr="00CD1A0C">
        <w:t>/100ML</w:t>
      </w:r>
      <w:r>
        <w:t>with an estimated highest concentration at</w:t>
      </w:r>
      <w:r w:rsidR="003129FC">
        <w:t xml:space="preserve"> </w:t>
      </w:r>
      <w:r w:rsidRPr="00CD1A0C">
        <w:t>123,768</w:t>
      </w:r>
      <w:r>
        <w:t xml:space="preserve"> </w:t>
      </w:r>
      <w:proofErr w:type="spellStart"/>
      <w:r>
        <w:t>gc</w:t>
      </w:r>
      <w:proofErr w:type="spellEnd"/>
      <w:r>
        <w:t>/100mL</w:t>
      </w:r>
      <w:r w:rsidRPr="00F8205F">
        <w:t xml:space="preserve">. High </w:t>
      </w:r>
      <w:r w:rsidRPr="00F8205F">
        <w:rPr>
          <w:i/>
        </w:rPr>
        <w:t>E. coli</w:t>
      </w:r>
      <w:r w:rsidRPr="00F8205F">
        <w:t xml:space="preserve"> concentrations corresponded with the high gene copy numbers at T1-MCSD, especially during</w:t>
      </w:r>
      <w:r w:rsidR="003129FC">
        <w:t xml:space="preserve"> weeks 4 and 5</w:t>
      </w:r>
      <w:r>
        <w:t>,</w:t>
      </w:r>
      <w:r w:rsidRPr="00F8205F">
        <w:t xml:space="preserve"> when </w:t>
      </w:r>
      <w:r w:rsidRPr="00F8205F">
        <w:rPr>
          <w:i/>
        </w:rPr>
        <w:t>E. coli</w:t>
      </w:r>
      <w:r w:rsidRPr="00F8205F">
        <w:t xml:space="preserve"> concentrations were </w:t>
      </w:r>
      <w:r w:rsidR="003129FC">
        <w:t xml:space="preserve">10,000 </w:t>
      </w:r>
      <w:r w:rsidRPr="00F8205F">
        <w:t xml:space="preserve">and </w:t>
      </w:r>
      <w:r w:rsidR="003129FC">
        <w:t>18,5</w:t>
      </w:r>
      <w:r>
        <w:t>00</w:t>
      </w:r>
      <w:r w:rsidRPr="00F8205F">
        <w:t xml:space="preserve"> MPN/100 mL, respectively.</w:t>
      </w:r>
      <w:r>
        <w:t xml:space="preserve"> Notably, </w:t>
      </w:r>
      <w:r w:rsidRPr="009D203F">
        <w:t xml:space="preserve">a positive correlation between HF183 and the </w:t>
      </w:r>
      <w:r w:rsidRPr="00CA3B62">
        <w:rPr>
          <w:i/>
        </w:rPr>
        <w:t>E. coli</w:t>
      </w:r>
      <w:r w:rsidRPr="009D203F">
        <w:t xml:space="preserve"> concentrations at </w:t>
      </w:r>
      <w:r>
        <w:t xml:space="preserve">Box Springs </w:t>
      </w:r>
      <w:r w:rsidRPr="009D203F">
        <w:t>(T1-</w:t>
      </w:r>
      <w:r>
        <w:t>BXSP</w:t>
      </w:r>
      <w:r w:rsidRPr="009D203F">
        <w:t xml:space="preserve">) was observed. Relatively high concentrations of the human marker were persistently identified at </w:t>
      </w:r>
      <w:r>
        <w:t>Box Springs</w:t>
      </w:r>
      <w:r w:rsidRPr="009D203F">
        <w:t xml:space="preserve"> (T1-</w:t>
      </w:r>
      <w:r>
        <w:t>BXSP</w:t>
      </w:r>
      <w:r w:rsidRPr="009D203F">
        <w:t xml:space="preserve">) where the </w:t>
      </w:r>
      <w:r w:rsidR="00A8663C">
        <w:t xml:space="preserve">geometric </w:t>
      </w:r>
      <w:r w:rsidRPr="009D203F">
        <w:t xml:space="preserve">mean concentration was </w:t>
      </w:r>
      <w:r w:rsidR="00A8663C">
        <w:t>3,477</w:t>
      </w:r>
      <w:r w:rsidRPr="009D203F">
        <w:t xml:space="preserve"> </w:t>
      </w:r>
      <w:proofErr w:type="spellStart"/>
      <w:r w:rsidRPr="009D203F">
        <w:t>gc</w:t>
      </w:r>
      <w:proofErr w:type="spellEnd"/>
      <w:r w:rsidRPr="009D203F">
        <w:t xml:space="preserve">/100mL HF183, with an estimated highest concentration at </w:t>
      </w:r>
      <w:r w:rsidRPr="001D6EE7">
        <w:t>33</w:t>
      </w:r>
      <w:r w:rsidR="00A8663C">
        <w:t>,</w:t>
      </w:r>
      <w:r w:rsidRPr="001D6EE7">
        <w:t>41</w:t>
      </w:r>
      <w:r>
        <w:t xml:space="preserve">3 </w:t>
      </w:r>
      <w:proofErr w:type="spellStart"/>
      <w:r>
        <w:t>gc</w:t>
      </w:r>
      <w:proofErr w:type="spellEnd"/>
      <w:r>
        <w:t xml:space="preserve">/100mL. </w:t>
      </w:r>
      <w:r w:rsidRPr="009D203F">
        <w:t xml:space="preserve">High </w:t>
      </w:r>
      <w:r w:rsidRPr="00CA3B62">
        <w:rPr>
          <w:i/>
        </w:rPr>
        <w:t xml:space="preserve">E. coli </w:t>
      </w:r>
      <w:r w:rsidRPr="009D203F">
        <w:t>concentrations corresponded with the high gene copy numbers at T1-</w:t>
      </w:r>
      <w:r>
        <w:t>BXSP</w:t>
      </w:r>
      <w:r w:rsidRPr="009D203F">
        <w:t xml:space="preserve">, </w:t>
      </w:r>
      <w:r w:rsidR="00A8663C">
        <w:t xml:space="preserve">with an </w:t>
      </w:r>
      <w:r w:rsidR="00A8663C" w:rsidRPr="004045B7">
        <w:rPr>
          <w:i/>
          <w:iCs/>
        </w:rPr>
        <w:t>E. coli</w:t>
      </w:r>
      <w:r w:rsidR="00A8663C">
        <w:t xml:space="preserve"> geometric mean of 4,801 MPN/100mL</w:t>
      </w:r>
      <w:r w:rsidRPr="009D203F">
        <w:t>.</w:t>
      </w:r>
    </w:p>
    <w:p w14:paraId="543AC6E8" w14:textId="2505A8EE" w:rsidR="00E5313D" w:rsidRPr="00E5313D" w:rsidRDefault="00085E0A" w:rsidP="004045B7">
      <w:pPr>
        <w:pStyle w:val="BodyText"/>
      </w:pPr>
      <w:r>
        <w:t>Few exceptions</w:t>
      </w:r>
      <w:r w:rsidR="00E5313D">
        <w:t xml:space="preserve"> to the correlation of HF</w:t>
      </w:r>
      <w:r w:rsidR="00CC310E">
        <w:t>183 and</w:t>
      </w:r>
      <w:r w:rsidR="00E5313D">
        <w:t xml:space="preserve"> </w:t>
      </w:r>
      <w:r w:rsidR="00E5313D" w:rsidRPr="00D541A1">
        <w:rPr>
          <w:i/>
        </w:rPr>
        <w:t>E. coli</w:t>
      </w:r>
      <w:r w:rsidR="00E5313D">
        <w:t xml:space="preserve"> concentration do exist. For example, </w:t>
      </w:r>
      <w:r w:rsidR="00E5313D" w:rsidRPr="00D541A1">
        <w:t>a</w:t>
      </w:r>
      <w:r w:rsidR="00E5313D" w:rsidRPr="00651E2A">
        <w:t>t</w:t>
      </w:r>
      <w:r w:rsidR="00E5313D" w:rsidRPr="00F8205F">
        <w:t xml:space="preserve"> </w:t>
      </w:r>
      <w:r w:rsidR="00E5313D">
        <w:t xml:space="preserve">Cucamonga Creek </w:t>
      </w:r>
      <w:r w:rsidR="00E5313D" w:rsidRPr="00F8205F">
        <w:t>(T1-</w:t>
      </w:r>
      <w:r w:rsidR="00E5313D">
        <w:t>C</w:t>
      </w:r>
      <w:r>
        <w:t>UCAMONGA</w:t>
      </w:r>
      <w:r w:rsidR="00E5313D" w:rsidRPr="00F8205F">
        <w:t>), high concentrations of</w:t>
      </w:r>
      <w:r w:rsidR="00E5313D">
        <w:t xml:space="preserve"> </w:t>
      </w:r>
      <w:r w:rsidR="00E5313D" w:rsidRPr="00F8205F">
        <w:rPr>
          <w:i/>
        </w:rPr>
        <w:t>E. coli</w:t>
      </w:r>
      <w:r w:rsidR="00E5313D" w:rsidRPr="00F8205F">
        <w:t xml:space="preserve"> were observed, but the human marker</w:t>
      </w:r>
      <w:r w:rsidR="00E5313D">
        <w:t xml:space="preserve"> HF183</w:t>
      </w:r>
      <w:r w:rsidR="00E5313D" w:rsidRPr="00F8205F">
        <w:t xml:space="preserve"> was consistently </w:t>
      </w:r>
      <w:r w:rsidR="00E5313D">
        <w:t>absent</w:t>
      </w:r>
      <w:r w:rsidR="00E5313D" w:rsidRPr="00F8205F">
        <w:t xml:space="preserve">. </w:t>
      </w:r>
      <w:r w:rsidR="00E5313D">
        <w:t xml:space="preserve">The </w:t>
      </w:r>
      <w:r>
        <w:t xml:space="preserve">same </w:t>
      </w:r>
      <w:r w:rsidRPr="00F8205F">
        <w:t>pattern</w:t>
      </w:r>
      <w:r w:rsidR="00E5313D" w:rsidRPr="00F8205F">
        <w:t xml:space="preserve"> was observed at </w:t>
      </w:r>
      <w:r w:rsidR="00E5313D">
        <w:t xml:space="preserve">Day </w:t>
      </w:r>
      <w:r w:rsidR="00E5313D">
        <w:lastRenderedPageBreak/>
        <w:t xml:space="preserve">Creek </w:t>
      </w:r>
      <w:r w:rsidR="00E5313D" w:rsidRPr="00F8205F">
        <w:t>(T1-</w:t>
      </w:r>
      <w:r>
        <w:t>DAY) and San Sevaine Channel (T1-SSCH)</w:t>
      </w:r>
      <w:r w:rsidR="00E5313D">
        <w:t xml:space="preserve">, where </w:t>
      </w:r>
      <w:r>
        <w:t xml:space="preserve">the </w:t>
      </w:r>
      <w:r w:rsidR="00E5313D">
        <w:t>h</w:t>
      </w:r>
      <w:r w:rsidR="00E5313D" w:rsidRPr="00F8205F">
        <w:t>igh</w:t>
      </w:r>
      <w:r w:rsidR="00E5313D">
        <w:t>est</w:t>
      </w:r>
      <w:r w:rsidR="00E5313D" w:rsidRPr="00F8205F">
        <w:t xml:space="preserve"> concentration of </w:t>
      </w:r>
      <w:r w:rsidR="00E5313D" w:rsidRPr="00F8205F">
        <w:rPr>
          <w:i/>
        </w:rPr>
        <w:t>E. coli</w:t>
      </w:r>
      <w:r w:rsidR="00E5313D" w:rsidRPr="00F8205F">
        <w:t xml:space="preserve"> (</w:t>
      </w:r>
      <w:r w:rsidR="00E5313D">
        <w:t>24,000</w:t>
      </w:r>
      <w:r w:rsidR="00E5313D" w:rsidRPr="00F8205F">
        <w:t xml:space="preserve"> MPN/100 mL) w</w:t>
      </w:r>
      <w:r w:rsidR="00E5313D">
        <w:t>as</w:t>
      </w:r>
      <w:r w:rsidR="00E5313D" w:rsidRPr="00F8205F">
        <w:t xml:space="preserve"> observed </w:t>
      </w:r>
      <w:r w:rsidR="00E5313D">
        <w:t xml:space="preserve">but HF183 was </w:t>
      </w:r>
      <w:r>
        <w:t xml:space="preserve">low to </w:t>
      </w:r>
      <w:r w:rsidR="00E5313D">
        <w:t>no</w:t>
      </w:r>
      <w:r>
        <w:t>t</w:t>
      </w:r>
      <w:r w:rsidR="00E5313D">
        <w:t xml:space="preserve"> detected. </w:t>
      </w:r>
      <w:bookmarkEnd w:id="122"/>
    </w:p>
    <w:p w14:paraId="3ACB208C" w14:textId="77777777" w:rsidR="00524F10" w:rsidRDefault="00524F10" w:rsidP="00524F10">
      <w:pPr>
        <w:pStyle w:val="Heading2"/>
        <w:tabs>
          <w:tab w:val="num" w:pos="792"/>
        </w:tabs>
        <w:ind w:left="720" w:hanging="720"/>
      </w:pPr>
      <w:bookmarkStart w:id="133" w:name="_Toc217410168"/>
      <w:r>
        <w:t>Tier 1 Site Prioritization</w:t>
      </w:r>
      <w:bookmarkEnd w:id="133"/>
    </w:p>
    <w:p w14:paraId="1DAC7AEB" w14:textId="77777777" w:rsidR="00524F10" w:rsidRDefault="00524F10" w:rsidP="00524F10">
      <w:pPr>
        <w:pStyle w:val="Heading3"/>
      </w:pPr>
      <w:bookmarkStart w:id="134" w:name="_Toc217410169"/>
      <w:r>
        <w:t>Prioritization Analysis</w:t>
      </w:r>
      <w:bookmarkEnd w:id="134"/>
    </w:p>
    <w:p w14:paraId="7CF45DF6" w14:textId="00D343F8" w:rsidR="00524F10" w:rsidRDefault="00524F10" w:rsidP="00524F10">
      <w:pPr>
        <w:pStyle w:val="BodyText"/>
        <w:rPr>
          <w:rFonts w:eastAsiaTheme="minorHAnsi"/>
          <w:lang w:bidi="en-US"/>
        </w:rPr>
      </w:pPr>
      <w:r>
        <w:t xml:space="preserve">Based on the findings from the Synoptic Study, Tier 1 sites were prioritized for further source evaluation activities. This is the </w:t>
      </w:r>
      <w:r w:rsidR="00085E0A">
        <w:t>fourth</w:t>
      </w:r>
      <w:r>
        <w:t xml:space="preserve"> prioritization of Tier 1 sites since implementation of the TMDL began in 2007. </w:t>
      </w:r>
      <w:r>
        <w:rPr>
          <w:rFonts w:eastAsiaTheme="minorHAnsi"/>
          <w:lang w:bidi="en-US"/>
        </w:rPr>
        <w:t>Previous prioritizations were completed in 2009 (SAWPA 2009), following implementation of the first MSAR watershed TMDL-related studies in 2007-2008, 2013, as an outcome of the 2012 Tier 1 source evaluation study (SAWPA 2013)</w:t>
      </w:r>
      <w:r w:rsidR="008E070A">
        <w:rPr>
          <w:rFonts w:eastAsiaTheme="minorHAnsi"/>
          <w:lang w:bidi="en-US"/>
        </w:rPr>
        <w:t>, and 2020, as an outcome of the 2019 synoptic study</w:t>
      </w:r>
      <w:r>
        <w:rPr>
          <w:rFonts w:eastAsiaTheme="minorHAnsi"/>
          <w:lang w:bidi="en-US"/>
        </w:rPr>
        <w:t xml:space="preserve">. </w:t>
      </w:r>
    </w:p>
    <w:p w14:paraId="45C5A958" w14:textId="660A1CC9" w:rsidR="00524F10" w:rsidRDefault="00524F10" w:rsidP="00524F10">
      <w:pPr>
        <w:pStyle w:val="BodyText"/>
        <w:rPr>
          <w:rFonts w:eastAsiaTheme="minorHAnsi"/>
          <w:lang w:bidi="en-US"/>
        </w:rPr>
      </w:pPr>
      <w:r w:rsidRPr="00151B09">
        <w:rPr>
          <w:rFonts w:eastAsiaTheme="minorHAnsi"/>
          <w:lang w:bidi="en-US"/>
        </w:rPr>
        <w:t>Th</w:t>
      </w:r>
      <w:r>
        <w:rPr>
          <w:rFonts w:eastAsiaTheme="minorHAnsi"/>
          <w:lang w:bidi="en-US"/>
        </w:rPr>
        <w:t>e 20</w:t>
      </w:r>
      <w:r w:rsidR="008E070A">
        <w:rPr>
          <w:rFonts w:eastAsiaTheme="minorHAnsi"/>
          <w:lang w:bidi="en-US"/>
        </w:rPr>
        <w:t>25</w:t>
      </w:r>
      <w:r>
        <w:rPr>
          <w:rFonts w:eastAsiaTheme="minorHAnsi"/>
          <w:lang w:bidi="en-US"/>
        </w:rPr>
        <w:t xml:space="preserve"> </w:t>
      </w:r>
      <w:r w:rsidRPr="00151B09">
        <w:rPr>
          <w:rFonts w:eastAsiaTheme="minorHAnsi"/>
          <w:lang w:bidi="en-US"/>
        </w:rPr>
        <w:t xml:space="preserve">prioritization </w:t>
      </w:r>
      <w:r>
        <w:rPr>
          <w:rFonts w:eastAsiaTheme="minorHAnsi"/>
          <w:lang w:bidi="en-US"/>
        </w:rPr>
        <w:t xml:space="preserve">update </w:t>
      </w:r>
      <w:r w:rsidRPr="00151B09">
        <w:rPr>
          <w:rFonts w:eastAsiaTheme="minorHAnsi"/>
          <w:lang w:bidi="en-US"/>
        </w:rPr>
        <w:t xml:space="preserve">was performed on the complete set of Tier 1 </w:t>
      </w:r>
      <w:r>
        <w:rPr>
          <w:rFonts w:eastAsiaTheme="minorHAnsi"/>
          <w:lang w:bidi="en-US"/>
        </w:rPr>
        <w:t>sites (</w:t>
      </w:r>
      <w:r w:rsidR="008E070A">
        <w:rPr>
          <w:rFonts w:eastAsiaTheme="minorHAnsi"/>
          <w:lang w:bidi="en-US"/>
        </w:rPr>
        <w:t xml:space="preserve">six </w:t>
      </w:r>
      <w:r>
        <w:rPr>
          <w:rFonts w:eastAsiaTheme="minorHAnsi"/>
          <w:lang w:bidi="en-US"/>
        </w:rPr>
        <w:t xml:space="preserve">sites in </w:t>
      </w:r>
      <w:r w:rsidRPr="00151B09">
        <w:rPr>
          <w:rFonts w:eastAsiaTheme="minorHAnsi"/>
          <w:lang w:bidi="en-US"/>
        </w:rPr>
        <w:t>Bernardino County</w:t>
      </w:r>
      <w:r>
        <w:rPr>
          <w:rFonts w:eastAsiaTheme="minorHAnsi"/>
          <w:lang w:bidi="en-US"/>
        </w:rPr>
        <w:t xml:space="preserve"> and </w:t>
      </w:r>
      <w:r w:rsidR="008E070A">
        <w:rPr>
          <w:rFonts w:eastAsiaTheme="minorHAnsi"/>
          <w:lang w:bidi="en-US"/>
        </w:rPr>
        <w:t xml:space="preserve">eight </w:t>
      </w:r>
      <w:r>
        <w:rPr>
          <w:rFonts w:eastAsiaTheme="minorHAnsi"/>
          <w:lang w:bidi="en-US"/>
        </w:rPr>
        <w:t xml:space="preserve">sites in </w:t>
      </w:r>
      <w:r w:rsidRPr="00151B09">
        <w:rPr>
          <w:rFonts w:eastAsiaTheme="minorHAnsi"/>
          <w:lang w:bidi="en-US"/>
        </w:rPr>
        <w:t>Riverside County</w:t>
      </w:r>
      <w:r>
        <w:rPr>
          <w:rFonts w:eastAsiaTheme="minorHAnsi"/>
          <w:lang w:bidi="en-US"/>
        </w:rPr>
        <w:t>)</w:t>
      </w:r>
      <w:r w:rsidRPr="00151B09">
        <w:rPr>
          <w:rFonts w:eastAsiaTheme="minorHAnsi"/>
          <w:lang w:bidi="en-US"/>
        </w:rPr>
        <w:t xml:space="preserve">. </w:t>
      </w:r>
      <w:r w:rsidR="008E070A">
        <w:rPr>
          <w:rFonts w:eastAsiaTheme="minorHAnsi"/>
          <w:lang w:bidi="en-US"/>
        </w:rPr>
        <w:t xml:space="preserve">An additional four Tier 2 sites within the Cucamonga Creek watershed were also included in the 2025 prioritization analysis. These Tier 2 sites are all nested within the drainage area to T1-CUCAMONGA. A description of the 18 sites included in the 2025 synoptic study is provided in </w:t>
      </w:r>
      <w:r w:rsidR="008E070A" w:rsidRPr="00CC310E">
        <w:rPr>
          <w:rFonts w:eastAsiaTheme="minorHAnsi"/>
          <w:b/>
          <w:bCs/>
          <w:lang w:bidi="en-US"/>
        </w:rPr>
        <w:t>Table 3-1</w:t>
      </w:r>
      <w:r w:rsidR="00826629">
        <w:rPr>
          <w:rFonts w:eastAsiaTheme="minorHAnsi"/>
          <w:b/>
          <w:bCs/>
          <w:lang w:bidi="en-US"/>
        </w:rPr>
        <w:t>2</w:t>
      </w:r>
      <w:r w:rsidR="008E070A">
        <w:rPr>
          <w:rFonts w:eastAsiaTheme="minorHAnsi"/>
          <w:lang w:bidi="en-US"/>
        </w:rPr>
        <w:t>.</w:t>
      </w:r>
    </w:p>
    <w:p w14:paraId="70EEE754" w14:textId="48C5E760" w:rsidR="00826629" w:rsidRPr="00CC310E" w:rsidRDefault="003A34AF" w:rsidP="003A34AF">
      <w:pPr>
        <w:pStyle w:val="Caption"/>
        <w:keepNext/>
      </w:pPr>
      <w:bookmarkStart w:id="135" w:name="_Toc217391769"/>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12</w:t>
      </w:r>
      <w:r w:rsidR="00FE614C">
        <w:fldChar w:fldCharType="end"/>
      </w:r>
      <w:r>
        <w:t xml:space="preserve">. </w:t>
      </w:r>
      <w:r w:rsidR="00826629" w:rsidRPr="00CC310E">
        <w:t>Tier 1 and Tier 2 Sites for Prioritization</w:t>
      </w:r>
      <w:bookmarkEnd w:id="135"/>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27"/>
        <w:gridCol w:w="1802"/>
        <w:gridCol w:w="3238"/>
        <w:gridCol w:w="1214"/>
        <w:gridCol w:w="1214"/>
      </w:tblGrid>
      <w:tr w:rsidR="00826629" w:rsidRPr="00A150E6" w14:paraId="21944121" w14:textId="77777777" w:rsidTr="00D43F15">
        <w:trPr>
          <w:trHeight w:val="385"/>
        </w:trPr>
        <w:tc>
          <w:tcPr>
            <w:tcW w:w="848" w:type="pct"/>
            <w:shd w:val="clear" w:color="auto" w:fill="F2F2F2" w:themeFill="background1" w:themeFillShade="F2"/>
            <w:vAlign w:val="center"/>
          </w:tcPr>
          <w:p w14:paraId="6AA2882F" w14:textId="3C47B5E8" w:rsidR="00826629" w:rsidRPr="002714B2" w:rsidRDefault="00826629" w:rsidP="00CA3B62">
            <w:pPr>
              <w:jc w:val="center"/>
              <w:rPr>
                <w:rFonts w:ascii="Arial" w:hAnsi="Arial" w:cs="Arial"/>
                <w:b/>
                <w:bCs/>
                <w:sz w:val="18"/>
                <w:szCs w:val="18"/>
              </w:rPr>
            </w:pPr>
            <w:r w:rsidRPr="002714B2">
              <w:rPr>
                <w:rFonts w:ascii="Arial" w:hAnsi="Arial" w:cs="Arial"/>
                <w:b/>
                <w:bCs/>
                <w:sz w:val="18"/>
                <w:szCs w:val="18"/>
              </w:rPr>
              <w:t>Waterbody</w:t>
            </w:r>
          </w:p>
        </w:tc>
        <w:tc>
          <w:tcPr>
            <w:tcW w:w="1001" w:type="pct"/>
            <w:shd w:val="clear" w:color="auto" w:fill="F2F2F2" w:themeFill="background1" w:themeFillShade="F2"/>
            <w:tcMar>
              <w:top w:w="0" w:type="dxa"/>
              <w:left w:w="108" w:type="dxa"/>
              <w:bottom w:w="0" w:type="dxa"/>
              <w:right w:w="108" w:type="dxa"/>
            </w:tcMar>
            <w:vAlign w:val="center"/>
            <w:hideMark/>
          </w:tcPr>
          <w:p w14:paraId="784F5E4B" w14:textId="77777777" w:rsidR="00826629" w:rsidRPr="002714B2" w:rsidRDefault="00826629" w:rsidP="00CA3B62">
            <w:pPr>
              <w:jc w:val="center"/>
              <w:rPr>
                <w:rFonts w:ascii="Arial" w:hAnsi="Arial" w:cs="Arial"/>
                <w:b/>
                <w:bCs/>
                <w:sz w:val="18"/>
                <w:szCs w:val="18"/>
              </w:rPr>
            </w:pPr>
            <w:bookmarkStart w:id="136" w:name="_Hlk202882415"/>
            <w:r w:rsidRPr="002714B2">
              <w:rPr>
                <w:rFonts w:ascii="Arial" w:hAnsi="Arial" w:cs="Arial"/>
                <w:b/>
                <w:bCs/>
                <w:sz w:val="18"/>
                <w:szCs w:val="18"/>
              </w:rPr>
              <w:t>Site ID</w:t>
            </w:r>
          </w:p>
        </w:tc>
        <w:tc>
          <w:tcPr>
            <w:tcW w:w="1800" w:type="pct"/>
            <w:shd w:val="clear" w:color="auto" w:fill="F2F2F2" w:themeFill="background1" w:themeFillShade="F2"/>
            <w:tcMar>
              <w:top w:w="0" w:type="dxa"/>
              <w:left w:w="108" w:type="dxa"/>
              <w:bottom w:w="0" w:type="dxa"/>
              <w:right w:w="108" w:type="dxa"/>
            </w:tcMar>
            <w:vAlign w:val="center"/>
            <w:hideMark/>
          </w:tcPr>
          <w:p w14:paraId="17E160AE" w14:textId="77777777" w:rsidR="00826629" w:rsidRPr="002714B2" w:rsidRDefault="00826629" w:rsidP="00CA3B62">
            <w:pPr>
              <w:jc w:val="center"/>
              <w:rPr>
                <w:rFonts w:ascii="Arial" w:hAnsi="Arial" w:cs="Arial"/>
                <w:b/>
                <w:bCs/>
                <w:sz w:val="18"/>
                <w:szCs w:val="18"/>
              </w:rPr>
            </w:pPr>
            <w:r w:rsidRPr="002714B2">
              <w:rPr>
                <w:rFonts w:ascii="Arial" w:hAnsi="Arial" w:cs="Arial"/>
                <w:b/>
                <w:bCs/>
                <w:sz w:val="18"/>
                <w:szCs w:val="18"/>
              </w:rPr>
              <w:t>Description</w:t>
            </w:r>
          </w:p>
        </w:tc>
        <w:tc>
          <w:tcPr>
            <w:tcW w:w="675" w:type="pct"/>
            <w:shd w:val="clear" w:color="auto" w:fill="F2F2F2" w:themeFill="background1" w:themeFillShade="F2"/>
            <w:tcMar>
              <w:top w:w="0" w:type="dxa"/>
              <w:left w:w="108" w:type="dxa"/>
              <w:bottom w:w="0" w:type="dxa"/>
              <w:right w:w="108" w:type="dxa"/>
            </w:tcMar>
            <w:vAlign w:val="center"/>
            <w:hideMark/>
          </w:tcPr>
          <w:p w14:paraId="3C46A962" w14:textId="77777777" w:rsidR="00826629" w:rsidRPr="002714B2" w:rsidRDefault="00826629" w:rsidP="00CA3B62">
            <w:pPr>
              <w:jc w:val="center"/>
              <w:rPr>
                <w:rFonts w:ascii="Arial" w:hAnsi="Arial" w:cs="Arial"/>
                <w:b/>
                <w:bCs/>
                <w:sz w:val="18"/>
                <w:szCs w:val="18"/>
              </w:rPr>
            </w:pPr>
            <w:r w:rsidRPr="002714B2">
              <w:rPr>
                <w:rFonts w:ascii="Arial" w:hAnsi="Arial" w:cs="Arial"/>
                <w:b/>
                <w:bCs/>
                <w:sz w:val="18"/>
                <w:szCs w:val="18"/>
              </w:rPr>
              <w:t>Lat</w:t>
            </w:r>
          </w:p>
        </w:tc>
        <w:tc>
          <w:tcPr>
            <w:tcW w:w="675" w:type="pct"/>
            <w:shd w:val="clear" w:color="auto" w:fill="F2F2F2" w:themeFill="background1" w:themeFillShade="F2"/>
            <w:tcMar>
              <w:top w:w="0" w:type="dxa"/>
              <w:left w:w="108" w:type="dxa"/>
              <w:bottom w:w="0" w:type="dxa"/>
              <w:right w:w="108" w:type="dxa"/>
            </w:tcMar>
            <w:vAlign w:val="center"/>
            <w:hideMark/>
          </w:tcPr>
          <w:p w14:paraId="7DDCFAF3" w14:textId="77777777" w:rsidR="00826629" w:rsidRPr="002714B2" w:rsidRDefault="00826629" w:rsidP="00CA3B62">
            <w:pPr>
              <w:jc w:val="center"/>
              <w:rPr>
                <w:rFonts w:ascii="Arial" w:hAnsi="Arial" w:cs="Arial"/>
                <w:b/>
                <w:bCs/>
                <w:sz w:val="18"/>
                <w:szCs w:val="18"/>
              </w:rPr>
            </w:pPr>
            <w:r w:rsidRPr="002714B2">
              <w:rPr>
                <w:rFonts w:ascii="Arial" w:hAnsi="Arial" w:cs="Arial"/>
                <w:b/>
                <w:bCs/>
                <w:sz w:val="18"/>
                <w:szCs w:val="18"/>
              </w:rPr>
              <w:t>Long</w:t>
            </w:r>
          </w:p>
        </w:tc>
      </w:tr>
      <w:tr w:rsidR="00826629" w:rsidRPr="00A150E6" w14:paraId="51CF99D5" w14:textId="77777777" w:rsidTr="00D43F15">
        <w:trPr>
          <w:trHeight w:val="317"/>
        </w:trPr>
        <w:tc>
          <w:tcPr>
            <w:tcW w:w="848" w:type="pct"/>
            <w:vMerge w:val="restart"/>
            <w:vAlign w:val="center"/>
          </w:tcPr>
          <w:p w14:paraId="665EC5B3" w14:textId="3207E421" w:rsidR="00826629" w:rsidRPr="002714B2" w:rsidRDefault="00826629" w:rsidP="00CA3B62">
            <w:pPr>
              <w:jc w:val="center"/>
              <w:rPr>
                <w:rFonts w:ascii="Arial" w:hAnsi="Arial" w:cs="Arial"/>
                <w:sz w:val="18"/>
                <w:szCs w:val="18"/>
              </w:rPr>
            </w:pPr>
            <w:r w:rsidRPr="002714B2">
              <w:rPr>
                <w:rFonts w:ascii="Arial" w:hAnsi="Arial" w:cs="Arial"/>
                <w:sz w:val="18"/>
                <w:szCs w:val="18"/>
              </w:rPr>
              <w:t>Santa Ana River</w:t>
            </w:r>
          </w:p>
        </w:tc>
        <w:tc>
          <w:tcPr>
            <w:tcW w:w="1001" w:type="pct"/>
            <w:tcMar>
              <w:top w:w="0" w:type="dxa"/>
              <w:left w:w="108" w:type="dxa"/>
              <w:bottom w:w="0" w:type="dxa"/>
              <w:right w:w="108" w:type="dxa"/>
            </w:tcMar>
            <w:vAlign w:val="center"/>
          </w:tcPr>
          <w:p w14:paraId="5CD351F2"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T1-ANZA</w:t>
            </w:r>
          </w:p>
        </w:tc>
        <w:tc>
          <w:tcPr>
            <w:tcW w:w="1800" w:type="pct"/>
            <w:tcMar>
              <w:top w:w="0" w:type="dxa"/>
              <w:left w:w="108" w:type="dxa"/>
              <w:bottom w:w="0" w:type="dxa"/>
              <w:right w:w="108" w:type="dxa"/>
            </w:tcMar>
            <w:vAlign w:val="center"/>
          </w:tcPr>
          <w:p w14:paraId="31FB9CAA"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Anza Drain</w:t>
            </w:r>
          </w:p>
        </w:tc>
        <w:tc>
          <w:tcPr>
            <w:tcW w:w="675" w:type="pct"/>
            <w:tcMar>
              <w:top w:w="0" w:type="dxa"/>
              <w:left w:w="108" w:type="dxa"/>
              <w:bottom w:w="0" w:type="dxa"/>
              <w:right w:w="108" w:type="dxa"/>
            </w:tcMar>
            <w:vAlign w:val="center"/>
          </w:tcPr>
          <w:p w14:paraId="1CB5E0E1"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33.9586</w:t>
            </w:r>
          </w:p>
        </w:tc>
        <w:tc>
          <w:tcPr>
            <w:tcW w:w="675" w:type="pct"/>
            <w:tcMar>
              <w:top w:w="0" w:type="dxa"/>
              <w:left w:w="108" w:type="dxa"/>
              <w:bottom w:w="0" w:type="dxa"/>
              <w:right w:w="108" w:type="dxa"/>
            </w:tcMar>
            <w:vAlign w:val="center"/>
          </w:tcPr>
          <w:p w14:paraId="0880D748"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-117.4631</w:t>
            </w:r>
          </w:p>
        </w:tc>
      </w:tr>
      <w:tr w:rsidR="00826629" w:rsidRPr="00A150E6" w14:paraId="6A9292AF" w14:textId="77777777" w:rsidTr="00D43F15">
        <w:trPr>
          <w:trHeight w:val="317"/>
        </w:trPr>
        <w:tc>
          <w:tcPr>
            <w:tcW w:w="848" w:type="pct"/>
            <w:vMerge/>
            <w:vAlign w:val="center"/>
          </w:tcPr>
          <w:p w14:paraId="244D4E75" w14:textId="77777777" w:rsidR="00826629" w:rsidRPr="002714B2" w:rsidRDefault="00826629" w:rsidP="00CA3B62">
            <w:pPr>
              <w:jc w:val="center"/>
              <w:rPr>
                <w:rFonts w:ascii="Arial" w:hAnsi="Arial" w:cs="Arial"/>
                <w:sz w:val="18"/>
                <w:szCs w:val="18"/>
              </w:rPr>
            </w:pPr>
          </w:p>
        </w:tc>
        <w:tc>
          <w:tcPr>
            <w:tcW w:w="1001" w:type="pct"/>
            <w:tcMar>
              <w:top w:w="0" w:type="dxa"/>
              <w:left w:w="108" w:type="dxa"/>
              <w:bottom w:w="0" w:type="dxa"/>
              <w:right w:w="108" w:type="dxa"/>
            </w:tcMar>
            <w:vAlign w:val="center"/>
          </w:tcPr>
          <w:p w14:paraId="44C79C52"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T1-BXSP</w:t>
            </w:r>
          </w:p>
        </w:tc>
        <w:tc>
          <w:tcPr>
            <w:tcW w:w="1800" w:type="pct"/>
            <w:tcMar>
              <w:top w:w="0" w:type="dxa"/>
              <w:left w:w="108" w:type="dxa"/>
              <w:bottom w:w="0" w:type="dxa"/>
              <w:right w:w="108" w:type="dxa"/>
            </w:tcMar>
            <w:vAlign w:val="center"/>
          </w:tcPr>
          <w:p w14:paraId="38C4CA02"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Box Springs Channel</w:t>
            </w:r>
          </w:p>
        </w:tc>
        <w:tc>
          <w:tcPr>
            <w:tcW w:w="675" w:type="pct"/>
            <w:tcMar>
              <w:top w:w="0" w:type="dxa"/>
              <w:left w:w="108" w:type="dxa"/>
              <w:bottom w:w="0" w:type="dxa"/>
              <w:right w:w="108" w:type="dxa"/>
            </w:tcMar>
            <w:vAlign w:val="center"/>
          </w:tcPr>
          <w:p w14:paraId="70868EDB"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33.9758</w:t>
            </w:r>
          </w:p>
        </w:tc>
        <w:tc>
          <w:tcPr>
            <w:tcW w:w="675" w:type="pct"/>
            <w:tcMar>
              <w:top w:w="0" w:type="dxa"/>
              <w:left w:w="108" w:type="dxa"/>
              <w:bottom w:w="0" w:type="dxa"/>
              <w:right w:w="108" w:type="dxa"/>
            </w:tcMar>
            <w:vAlign w:val="center"/>
          </w:tcPr>
          <w:p w14:paraId="7523697B"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-117.4035</w:t>
            </w:r>
          </w:p>
        </w:tc>
      </w:tr>
      <w:tr w:rsidR="00826629" w:rsidRPr="00A150E6" w14:paraId="7C5529D8" w14:textId="77777777" w:rsidTr="00D43F15">
        <w:trPr>
          <w:trHeight w:val="317"/>
        </w:trPr>
        <w:tc>
          <w:tcPr>
            <w:tcW w:w="848" w:type="pct"/>
            <w:vMerge/>
            <w:vAlign w:val="center"/>
          </w:tcPr>
          <w:p w14:paraId="14123F49" w14:textId="77777777" w:rsidR="00826629" w:rsidRPr="002714B2" w:rsidRDefault="00826629" w:rsidP="00CA3B62">
            <w:pPr>
              <w:jc w:val="center"/>
              <w:rPr>
                <w:rFonts w:ascii="Arial" w:hAnsi="Arial" w:cs="Arial"/>
                <w:sz w:val="18"/>
                <w:szCs w:val="18"/>
              </w:rPr>
            </w:pPr>
          </w:p>
        </w:tc>
        <w:tc>
          <w:tcPr>
            <w:tcW w:w="1001" w:type="pct"/>
            <w:tcMar>
              <w:top w:w="0" w:type="dxa"/>
              <w:left w:w="108" w:type="dxa"/>
              <w:bottom w:w="0" w:type="dxa"/>
              <w:right w:w="108" w:type="dxa"/>
            </w:tcMar>
            <w:vAlign w:val="center"/>
          </w:tcPr>
          <w:p w14:paraId="1B1282BA"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T1-SNCH</w:t>
            </w:r>
          </w:p>
        </w:tc>
        <w:tc>
          <w:tcPr>
            <w:tcW w:w="1800" w:type="pct"/>
            <w:tcMar>
              <w:top w:w="0" w:type="dxa"/>
              <w:left w:w="108" w:type="dxa"/>
              <w:bottom w:w="0" w:type="dxa"/>
              <w:right w:w="108" w:type="dxa"/>
            </w:tcMar>
            <w:vAlign w:val="center"/>
          </w:tcPr>
          <w:p w14:paraId="302DDDAE"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Sunnyslope Channel</w:t>
            </w:r>
          </w:p>
        </w:tc>
        <w:tc>
          <w:tcPr>
            <w:tcW w:w="675" w:type="pct"/>
            <w:tcMar>
              <w:top w:w="0" w:type="dxa"/>
              <w:left w:w="108" w:type="dxa"/>
              <w:bottom w:w="0" w:type="dxa"/>
              <w:right w:w="108" w:type="dxa"/>
            </w:tcMar>
            <w:vAlign w:val="center"/>
          </w:tcPr>
          <w:p w14:paraId="6A9E3A52"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33.9762</w:t>
            </w:r>
          </w:p>
        </w:tc>
        <w:tc>
          <w:tcPr>
            <w:tcW w:w="675" w:type="pct"/>
            <w:tcMar>
              <w:top w:w="0" w:type="dxa"/>
              <w:left w:w="108" w:type="dxa"/>
              <w:bottom w:w="0" w:type="dxa"/>
              <w:right w:w="108" w:type="dxa"/>
            </w:tcMar>
            <w:vAlign w:val="center"/>
          </w:tcPr>
          <w:p w14:paraId="53303B06"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-117.4271</w:t>
            </w:r>
          </w:p>
        </w:tc>
      </w:tr>
      <w:tr w:rsidR="00826629" w:rsidRPr="00A150E6" w14:paraId="49FABC72" w14:textId="77777777" w:rsidTr="00D43F15">
        <w:trPr>
          <w:trHeight w:val="317"/>
        </w:trPr>
        <w:tc>
          <w:tcPr>
            <w:tcW w:w="848" w:type="pct"/>
            <w:vMerge/>
            <w:vAlign w:val="center"/>
          </w:tcPr>
          <w:p w14:paraId="6A334D69" w14:textId="77777777" w:rsidR="00826629" w:rsidRPr="002714B2" w:rsidRDefault="00826629" w:rsidP="00CA3B62">
            <w:pPr>
              <w:jc w:val="center"/>
              <w:rPr>
                <w:rFonts w:ascii="Arial" w:hAnsi="Arial" w:cs="Arial"/>
                <w:sz w:val="18"/>
                <w:szCs w:val="18"/>
              </w:rPr>
            </w:pPr>
          </w:p>
        </w:tc>
        <w:tc>
          <w:tcPr>
            <w:tcW w:w="1001" w:type="pct"/>
            <w:tcMar>
              <w:top w:w="0" w:type="dxa"/>
              <w:left w:w="108" w:type="dxa"/>
              <w:bottom w:w="0" w:type="dxa"/>
              <w:right w:w="108" w:type="dxa"/>
            </w:tcMar>
            <w:vAlign w:val="center"/>
          </w:tcPr>
          <w:p w14:paraId="4D2D9E6B"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T1-SSCH</w:t>
            </w:r>
          </w:p>
        </w:tc>
        <w:tc>
          <w:tcPr>
            <w:tcW w:w="1800" w:type="pct"/>
            <w:tcMar>
              <w:top w:w="0" w:type="dxa"/>
              <w:left w:w="108" w:type="dxa"/>
              <w:bottom w:w="0" w:type="dxa"/>
              <w:right w:w="108" w:type="dxa"/>
            </w:tcMar>
            <w:vAlign w:val="center"/>
          </w:tcPr>
          <w:p w14:paraId="6A235093"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San Sevaine Channel</w:t>
            </w:r>
          </w:p>
        </w:tc>
        <w:tc>
          <w:tcPr>
            <w:tcW w:w="675" w:type="pct"/>
            <w:tcMar>
              <w:top w:w="0" w:type="dxa"/>
              <w:left w:w="108" w:type="dxa"/>
              <w:bottom w:w="0" w:type="dxa"/>
              <w:right w:w="108" w:type="dxa"/>
            </w:tcMar>
            <w:vAlign w:val="center"/>
          </w:tcPr>
          <w:p w14:paraId="67D71235"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33.9743</w:t>
            </w:r>
          </w:p>
        </w:tc>
        <w:tc>
          <w:tcPr>
            <w:tcW w:w="675" w:type="pct"/>
            <w:tcMar>
              <w:top w:w="0" w:type="dxa"/>
              <w:left w:w="108" w:type="dxa"/>
              <w:bottom w:w="0" w:type="dxa"/>
              <w:right w:w="108" w:type="dxa"/>
            </w:tcMar>
            <w:vAlign w:val="center"/>
          </w:tcPr>
          <w:p w14:paraId="40E2704B"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-117.5064</w:t>
            </w:r>
          </w:p>
        </w:tc>
      </w:tr>
      <w:tr w:rsidR="00826629" w:rsidRPr="00A150E6" w14:paraId="5800A355" w14:textId="77777777" w:rsidTr="00D43F15">
        <w:trPr>
          <w:trHeight w:val="317"/>
        </w:trPr>
        <w:tc>
          <w:tcPr>
            <w:tcW w:w="848" w:type="pct"/>
            <w:vMerge/>
            <w:vAlign w:val="center"/>
          </w:tcPr>
          <w:p w14:paraId="331C3B08" w14:textId="77777777" w:rsidR="00826629" w:rsidRPr="002714B2" w:rsidRDefault="00826629" w:rsidP="00CA3B62">
            <w:pPr>
              <w:jc w:val="center"/>
              <w:rPr>
                <w:rFonts w:ascii="Arial" w:hAnsi="Arial" w:cs="Arial"/>
                <w:sz w:val="18"/>
                <w:szCs w:val="18"/>
              </w:rPr>
            </w:pPr>
          </w:p>
        </w:tc>
        <w:tc>
          <w:tcPr>
            <w:tcW w:w="1001" w:type="pct"/>
            <w:tcMar>
              <w:top w:w="0" w:type="dxa"/>
              <w:left w:w="108" w:type="dxa"/>
              <w:bottom w:w="0" w:type="dxa"/>
              <w:right w:w="108" w:type="dxa"/>
            </w:tcMar>
            <w:vAlign w:val="center"/>
          </w:tcPr>
          <w:p w14:paraId="5D115EAC"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T1-DAY</w:t>
            </w:r>
          </w:p>
        </w:tc>
        <w:tc>
          <w:tcPr>
            <w:tcW w:w="1800" w:type="pct"/>
            <w:tcMar>
              <w:top w:w="0" w:type="dxa"/>
              <w:left w:w="108" w:type="dxa"/>
              <w:bottom w:w="0" w:type="dxa"/>
              <w:right w:w="108" w:type="dxa"/>
            </w:tcMar>
            <w:vAlign w:val="center"/>
          </w:tcPr>
          <w:p w14:paraId="7E69D23C"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Day Creek</w:t>
            </w:r>
          </w:p>
        </w:tc>
        <w:tc>
          <w:tcPr>
            <w:tcW w:w="675" w:type="pct"/>
            <w:tcMar>
              <w:top w:w="0" w:type="dxa"/>
              <w:left w:w="108" w:type="dxa"/>
              <w:bottom w:w="0" w:type="dxa"/>
              <w:right w:w="108" w:type="dxa"/>
            </w:tcMar>
            <w:vAlign w:val="center"/>
          </w:tcPr>
          <w:p w14:paraId="3CB33B43"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33.9750</w:t>
            </w:r>
          </w:p>
        </w:tc>
        <w:tc>
          <w:tcPr>
            <w:tcW w:w="675" w:type="pct"/>
            <w:tcMar>
              <w:top w:w="0" w:type="dxa"/>
              <w:left w:w="108" w:type="dxa"/>
              <w:bottom w:w="0" w:type="dxa"/>
              <w:right w:w="108" w:type="dxa"/>
            </w:tcMar>
            <w:vAlign w:val="center"/>
          </w:tcPr>
          <w:p w14:paraId="42F54FBB"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-117.5329</w:t>
            </w:r>
          </w:p>
        </w:tc>
      </w:tr>
      <w:tr w:rsidR="00826629" w:rsidRPr="00A150E6" w14:paraId="7330899B" w14:textId="77777777" w:rsidTr="00D43F15">
        <w:trPr>
          <w:trHeight w:val="317"/>
        </w:trPr>
        <w:tc>
          <w:tcPr>
            <w:tcW w:w="848" w:type="pct"/>
            <w:vMerge/>
            <w:vAlign w:val="center"/>
          </w:tcPr>
          <w:p w14:paraId="2B86CB06" w14:textId="77777777" w:rsidR="00826629" w:rsidRPr="002714B2" w:rsidRDefault="00826629" w:rsidP="00CA3B62">
            <w:pPr>
              <w:jc w:val="center"/>
              <w:rPr>
                <w:rFonts w:ascii="Arial" w:hAnsi="Arial" w:cs="Arial"/>
                <w:sz w:val="18"/>
                <w:szCs w:val="18"/>
              </w:rPr>
            </w:pPr>
          </w:p>
        </w:tc>
        <w:tc>
          <w:tcPr>
            <w:tcW w:w="1001" w:type="pct"/>
            <w:tcMar>
              <w:top w:w="0" w:type="dxa"/>
              <w:left w:w="108" w:type="dxa"/>
              <w:bottom w:w="0" w:type="dxa"/>
              <w:right w:w="108" w:type="dxa"/>
            </w:tcMar>
            <w:vAlign w:val="center"/>
          </w:tcPr>
          <w:p w14:paraId="6D27622B"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T1-MCSD</w:t>
            </w:r>
          </w:p>
        </w:tc>
        <w:tc>
          <w:tcPr>
            <w:tcW w:w="1800" w:type="pct"/>
            <w:tcMar>
              <w:top w:w="0" w:type="dxa"/>
              <w:left w:w="108" w:type="dxa"/>
              <w:bottom w:w="0" w:type="dxa"/>
              <w:right w:w="108" w:type="dxa"/>
            </w:tcMar>
            <w:vAlign w:val="center"/>
          </w:tcPr>
          <w:p w14:paraId="1AEE0648"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Magnolia Center Storm Drain</w:t>
            </w:r>
          </w:p>
        </w:tc>
        <w:tc>
          <w:tcPr>
            <w:tcW w:w="675" w:type="pct"/>
            <w:tcMar>
              <w:top w:w="0" w:type="dxa"/>
              <w:left w:w="108" w:type="dxa"/>
              <w:bottom w:w="0" w:type="dxa"/>
              <w:right w:w="108" w:type="dxa"/>
            </w:tcMar>
            <w:vAlign w:val="center"/>
          </w:tcPr>
          <w:p w14:paraId="3873B8F8"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33.9655</w:t>
            </w:r>
          </w:p>
        </w:tc>
        <w:tc>
          <w:tcPr>
            <w:tcW w:w="675" w:type="pct"/>
            <w:tcMar>
              <w:top w:w="0" w:type="dxa"/>
              <w:left w:w="108" w:type="dxa"/>
              <w:bottom w:w="0" w:type="dxa"/>
              <w:right w:w="108" w:type="dxa"/>
            </w:tcMar>
            <w:vAlign w:val="center"/>
          </w:tcPr>
          <w:p w14:paraId="4A8BE081"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-117.4154</w:t>
            </w:r>
          </w:p>
        </w:tc>
      </w:tr>
      <w:tr w:rsidR="00826629" w:rsidRPr="00A150E6" w14:paraId="4EC5DC0F" w14:textId="77777777" w:rsidTr="00D43F15">
        <w:trPr>
          <w:trHeight w:val="317"/>
        </w:trPr>
        <w:tc>
          <w:tcPr>
            <w:tcW w:w="848" w:type="pct"/>
            <w:vMerge/>
            <w:vAlign w:val="center"/>
          </w:tcPr>
          <w:p w14:paraId="281BE9DC" w14:textId="77777777" w:rsidR="00826629" w:rsidRPr="002714B2" w:rsidRDefault="00826629" w:rsidP="00CA3B62">
            <w:pPr>
              <w:jc w:val="center"/>
              <w:rPr>
                <w:rFonts w:ascii="Arial" w:hAnsi="Arial" w:cs="Arial"/>
                <w:sz w:val="18"/>
                <w:szCs w:val="18"/>
              </w:rPr>
            </w:pPr>
          </w:p>
        </w:tc>
        <w:tc>
          <w:tcPr>
            <w:tcW w:w="1001" w:type="pct"/>
            <w:tcMar>
              <w:top w:w="0" w:type="dxa"/>
              <w:left w:w="108" w:type="dxa"/>
              <w:bottom w:w="0" w:type="dxa"/>
              <w:right w:w="108" w:type="dxa"/>
            </w:tcMar>
            <w:vAlign w:val="center"/>
          </w:tcPr>
          <w:p w14:paraId="51E75BC9"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T1-EVLD</w:t>
            </w:r>
          </w:p>
        </w:tc>
        <w:tc>
          <w:tcPr>
            <w:tcW w:w="1800" w:type="pct"/>
            <w:tcMar>
              <w:top w:w="0" w:type="dxa"/>
              <w:left w:w="108" w:type="dxa"/>
              <w:bottom w:w="0" w:type="dxa"/>
              <w:right w:w="108" w:type="dxa"/>
            </w:tcMar>
            <w:vAlign w:val="center"/>
          </w:tcPr>
          <w:p w14:paraId="33B91712"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Eastvale Line D</w:t>
            </w:r>
          </w:p>
        </w:tc>
        <w:tc>
          <w:tcPr>
            <w:tcW w:w="675" w:type="pct"/>
            <w:tcMar>
              <w:top w:w="0" w:type="dxa"/>
              <w:left w:w="108" w:type="dxa"/>
              <w:bottom w:w="0" w:type="dxa"/>
              <w:right w:w="108" w:type="dxa"/>
            </w:tcMar>
            <w:vAlign w:val="center"/>
          </w:tcPr>
          <w:p w14:paraId="5EB6DA57"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33.9467</w:t>
            </w:r>
          </w:p>
        </w:tc>
        <w:tc>
          <w:tcPr>
            <w:tcW w:w="675" w:type="pct"/>
            <w:tcMar>
              <w:top w:w="0" w:type="dxa"/>
              <w:left w:w="108" w:type="dxa"/>
              <w:bottom w:w="0" w:type="dxa"/>
              <w:right w:w="108" w:type="dxa"/>
            </w:tcMar>
            <w:vAlign w:val="center"/>
          </w:tcPr>
          <w:p w14:paraId="27E31C6A"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-117.5797</w:t>
            </w:r>
          </w:p>
        </w:tc>
      </w:tr>
      <w:tr w:rsidR="00826629" w:rsidRPr="00A150E6" w14:paraId="72E0EF9A" w14:textId="77777777" w:rsidTr="00D43F15">
        <w:trPr>
          <w:trHeight w:val="317"/>
        </w:trPr>
        <w:tc>
          <w:tcPr>
            <w:tcW w:w="848" w:type="pct"/>
            <w:vMerge/>
            <w:vAlign w:val="center"/>
          </w:tcPr>
          <w:p w14:paraId="17980537" w14:textId="77777777" w:rsidR="00826629" w:rsidRPr="002714B2" w:rsidRDefault="00826629" w:rsidP="00CA3B62">
            <w:pPr>
              <w:jc w:val="center"/>
              <w:rPr>
                <w:rFonts w:ascii="Arial" w:hAnsi="Arial" w:cs="Arial"/>
                <w:sz w:val="18"/>
                <w:szCs w:val="18"/>
              </w:rPr>
            </w:pPr>
          </w:p>
        </w:tc>
        <w:tc>
          <w:tcPr>
            <w:tcW w:w="1001" w:type="pct"/>
            <w:tcMar>
              <w:top w:w="0" w:type="dxa"/>
              <w:left w:w="108" w:type="dxa"/>
              <w:bottom w:w="0" w:type="dxa"/>
              <w:right w:w="108" w:type="dxa"/>
            </w:tcMar>
            <w:vAlign w:val="center"/>
          </w:tcPr>
          <w:p w14:paraId="3E0CD9AF"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T1-EVLE</w:t>
            </w:r>
          </w:p>
        </w:tc>
        <w:tc>
          <w:tcPr>
            <w:tcW w:w="1800" w:type="pct"/>
            <w:tcMar>
              <w:top w:w="0" w:type="dxa"/>
              <w:left w:w="108" w:type="dxa"/>
              <w:bottom w:w="0" w:type="dxa"/>
              <w:right w:w="108" w:type="dxa"/>
            </w:tcMar>
            <w:vAlign w:val="center"/>
          </w:tcPr>
          <w:p w14:paraId="0E07EC17"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Eastvale Line E</w:t>
            </w:r>
          </w:p>
        </w:tc>
        <w:tc>
          <w:tcPr>
            <w:tcW w:w="675" w:type="pct"/>
            <w:tcMar>
              <w:top w:w="0" w:type="dxa"/>
              <w:left w:w="108" w:type="dxa"/>
              <w:bottom w:w="0" w:type="dxa"/>
              <w:right w:w="108" w:type="dxa"/>
            </w:tcMar>
            <w:vAlign w:val="center"/>
          </w:tcPr>
          <w:p w14:paraId="60F8D5D7"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33.9502</w:t>
            </w:r>
          </w:p>
        </w:tc>
        <w:tc>
          <w:tcPr>
            <w:tcW w:w="675" w:type="pct"/>
            <w:tcMar>
              <w:top w:w="0" w:type="dxa"/>
              <w:left w:w="108" w:type="dxa"/>
              <w:bottom w:w="0" w:type="dxa"/>
              <w:right w:w="108" w:type="dxa"/>
            </w:tcMar>
            <w:vAlign w:val="center"/>
          </w:tcPr>
          <w:p w14:paraId="45308EBE" w14:textId="77777777" w:rsidR="00826629" w:rsidRPr="002714B2" w:rsidRDefault="00826629" w:rsidP="00CA3B62">
            <w:pPr>
              <w:jc w:val="center"/>
              <w:rPr>
                <w:rFonts w:ascii="Arial" w:hAnsi="Arial" w:cs="Arial"/>
                <w:sz w:val="18"/>
                <w:szCs w:val="18"/>
              </w:rPr>
            </w:pPr>
            <w:r w:rsidRPr="002714B2">
              <w:rPr>
                <w:rFonts w:ascii="Arial" w:hAnsi="Arial" w:cs="Arial"/>
                <w:sz w:val="18"/>
                <w:szCs w:val="18"/>
              </w:rPr>
              <w:t>-117.5534</w:t>
            </w:r>
          </w:p>
        </w:tc>
      </w:tr>
      <w:tr w:rsidR="00826629" w:rsidRPr="00A150E6" w14:paraId="7D19E3BA" w14:textId="77777777" w:rsidTr="00D43F15">
        <w:trPr>
          <w:trHeight w:val="317"/>
        </w:trPr>
        <w:tc>
          <w:tcPr>
            <w:tcW w:w="848" w:type="pct"/>
            <w:vMerge w:val="restart"/>
            <w:vAlign w:val="center"/>
          </w:tcPr>
          <w:p w14:paraId="3A54EC51" w14:textId="77777777" w:rsidR="00826629" w:rsidRPr="002714B2" w:rsidRDefault="00826629" w:rsidP="00826629">
            <w:pPr>
              <w:jc w:val="center"/>
              <w:rPr>
                <w:rFonts w:ascii="Arial" w:hAnsi="Arial" w:cs="Arial"/>
                <w:sz w:val="18"/>
                <w:szCs w:val="18"/>
              </w:rPr>
            </w:pPr>
            <w:r w:rsidRPr="002714B2">
              <w:rPr>
                <w:rFonts w:ascii="Arial" w:hAnsi="Arial" w:cs="Arial"/>
                <w:sz w:val="18"/>
                <w:szCs w:val="18"/>
              </w:rPr>
              <w:t>Chino Creek</w:t>
            </w:r>
          </w:p>
        </w:tc>
        <w:tc>
          <w:tcPr>
            <w:tcW w:w="1001" w:type="pct"/>
            <w:tcMar>
              <w:top w:w="0" w:type="dxa"/>
              <w:left w:w="108" w:type="dxa"/>
              <w:bottom w:w="0" w:type="dxa"/>
              <w:right w:w="108" w:type="dxa"/>
            </w:tcMar>
            <w:vAlign w:val="center"/>
          </w:tcPr>
          <w:p w14:paraId="66FAC58D" w14:textId="02B84704" w:rsidR="00826629" w:rsidRPr="002714B2" w:rsidRDefault="00826629" w:rsidP="00826629">
            <w:pPr>
              <w:jc w:val="center"/>
              <w:rPr>
                <w:rFonts w:ascii="Arial" w:hAnsi="Arial" w:cs="Arial"/>
                <w:sz w:val="18"/>
                <w:szCs w:val="18"/>
              </w:rPr>
            </w:pPr>
            <w:r w:rsidRPr="002714B2">
              <w:rPr>
                <w:rFonts w:ascii="Arial" w:hAnsi="Arial" w:cs="Arial"/>
                <w:sz w:val="18"/>
                <w:szCs w:val="18"/>
              </w:rPr>
              <w:t>T1-BRSC</w:t>
            </w:r>
          </w:p>
        </w:tc>
        <w:tc>
          <w:tcPr>
            <w:tcW w:w="1800" w:type="pct"/>
            <w:tcMar>
              <w:top w:w="0" w:type="dxa"/>
              <w:left w:w="108" w:type="dxa"/>
              <w:bottom w:w="0" w:type="dxa"/>
              <w:right w:w="108" w:type="dxa"/>
            </w:tcMar>
            <w:vAlign w:val="center"/>
          </w:tcPr>
          <w:p w14:paraId="3D79A22A" w14:textId="728906D8" w:rsidR="00826629" w:rsidRPr="002714B2" w:rsidRDefault="00826629" w:rsidP="00826629">
            <w:pPr>
              <w:jc w:val="center"/>
              <w:rPr>
                <w:rFonts w:ascii="Arial" w:hAnsi="Arial" w:cs="Arial"/>
                <w:sz w:val="18"/>
                <w:szCs w:val="18"/>
              </w:rPr>
            </w:pPr>
            <w:r w:rsidRPr="002714B2">
              <w:rPr>
                <w:rFonts w:ascii="Arial" w:hAnsi="Arial" w:cs="Arial"/>
                <w:sz w:val="18"/>
                <w:szCs w:val="18"/>
              </w:rPr>
              <w:t>Boys Republic South Channel</w:t>
            </w:r>
          </w:p>
        </w:tc>
        <w:tc>
          <w:tcPr>
            <w:tcW w:w="675" w:type="pct"/>
            <w:tcMar>
              <w:top w:w="0" w:type="dxa"/>
              <w:left w:w="108" w:type="dxa"/>
              <w:bottom w:w="0" w:type="dxa"/>
              <w:right w:w="108" w:type="dxa"/>
            </w:tcMar>
            <w:vAlign w:val="center"/>
          </w:tcPr>
          <w:p w14:paraId="7E4F0D54" w14:textId="0DD874A0" w:rsidR="00826629" w:rsidRPr="002714B2" w:rsidRDefault="00826629" w:rsidP="00826629">
            <w:pPr>
              <w:jc w:val="center"/>
              <w:rPr>
                <w:rFonts w:ascii="Arial" w:hAnsi="Arial" w:cs="Arial"/>
                <w:sz w:val="18"/>
                <w:szCs w:val="18"/>
              </w:rPr>
            </w:pPr>
            <w:r w:rsidRPr="002714B2">
              <w:rPr>
                <w:rFonts w:ascii="Arial" w:hAnsi="Arial" w:cs="Arial"/>
                <w:sz w:val="18"/>
                <w:szCs w:val="18"/>
              </w:rPr>
              <w:t>34.0020</w:t>
            </w:r>
          </w:p>
        </w:tc>
        <w:tc>
          <w:tcPr>
            <w:tcW w:w="675" w:type="pct"/>
            <w:tcMar>
              <w:top w:w="0" w:type="dxa"/>
              <w:left w:w="108" w:type="dxa"/>
              <w:bottom w:w="0" w:type="dxa"/>
              <w:right w:w="108" w:type="dxa"/>
            </w:tcMar>
            <w:vAlign w:val="center"/>
          </w:tcPr>
          <w:p w14:paraId="39BF5B2F" w14:textId="43FED4BF" w:rsidR="00826629" w:rsidRPr="002714B2" w:rsidRDefault="00826629" w:rsidP="00826629">
            <w:pPr>
              <w:jc w:val="center"/>
              <w:rPr>
                <w:rFonts w:ascii="Arial" w:hAnsi="Arial" w:cs="Arial"/>
                <w:sz w:val="18"/>
                <w:szCs w:val="18"/>
              </w:rPr>
            </w:pPr>
            <w:r w:rsidRPr="002714B2">
              <w:rPr>
                <w:rFonts w:ascii="Arial" w:hAnsi="Arial" w:cs="Arial"/>
                <w:sz w:val="18"/>
                <w:szCs w:val="18"/>
              </w:rPr>
              <w:t>-117.7261</w:t>
            </w:r>
          </w:p>
        </w:tc>
      </w:tr>
      <w:tr w:rsidR="00826629" w:rsidRPr="00A150E6" w14:paraId="5DDB8779" w14:textId="77777777" w:rsidTr="00D43F15">
        <w:trPr>
          <w:trHeight w:val="317"/>
        </w:trPr>
        <w:tc>
          <w:tcPr>
            <w:tcW w:w="848" w:type="pct"/>
            <w:vMerge/>
            <w:vAlign w:val="center"/>
          </w:tcPr>
          <w:p w14:paraId="6542459D"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tcPr>
          <w:p w14:paraId="3A75795E" w14:textId="22348D30" w:rsidR="00826629" w:rsidRPr="002714B2" w:rsidRDefault="00826629" w:rsidP="00826629">
            <w:pPr>
              <w:jc w:val="center"/>
              <w:rPr>
                <w:rFonts w:ascii="Arial" w:hAnsi="Arial" w:cs="Arial"/>
                <w:sz w:val="18"/>
                <w:szCs w:val="18"/>
              </w:rPr>
            </w:pPr>
            <w:r w:rsidRPr="002714B2">
              <w:rPr>
                <w:rFonts w:ascii="Arial" w:hAnsi="Arial" w:cs="Arial"/>
                <w:sz w:val="18"/>
                <w:szCs w:val="18"/>
              </w:rPr>
              <w:t>T1-CCCH</w:t>
            </w:r>
          </w:p>
        </w:tc>
        <w:tc>
          <w:tcPr>
            <w:tcW w:w="1800" w:type="pct"/>
            <w:tcMar>
              <w:top w:w="0" w:type="dxa"/>
              <w:left w:w="108" w:type="dxa"/>
              <w:bottom w:w="0" w:type="dxa"/>
              <w:right w:w="108" w:type="dxa"/>
            </w:tcMar>
            <w:vAlign w:val="center"/>
          </w:tcPr>
          <w:p w14:paraId="47BDE31D" w14:textId="55193032" w:rsidR="00826629" w:rsidRPr="002714B2" w:rsidRDefault="00826629" w:rsidP="00826629">
            <w:pPr>
              <w:jc w:val="center"/>
              <w:rPr>
                <w:rFonts w:ascii="Arial" w:hAnsi="Arial" w:cs="Arial"/>
                <w:sz w:val="18"/>
                <w:szCs w:val="18"/>
              </w:rPr>
            </w:pPr>
            <w:r w:rsidRPr="002714B2">
              <w:rPr>
                <w:rFonts w:ascii="Arial" w:hAnsi="Arial" w:cs="Arial"/>
                <w:sz w:val="18"/>
                <w:szCs w:val="18"/>
              </w:rPr>
              <w:t>Carbon Canyon Creek Channel</w:t>
            </w:r>
          </w:p>
        </w:tc>
        <w:tc>
          <w:tcPr>
            <w:tcW w:w="675" w:type="pct"/>
            <w:tcMar>
              <w:top w:w="0" w:type="dxa"/>
              <w:left w:w="108" w:type="dxa"/>
              <w:bottom w:w="0" w:type="dxa"/>
              <w:right w:w="108" w:type="dxa"/>
            </w:tcMar>
            <w:vAlign w:val="center"/>
          </w:tcPr>
          <w:p w14:paraId="5ABEB2D0" w14:textId="425ACC20" w:rsidR="00826629" w:rsidRPr="002714B2" w:rsidRDefault="00826629" w:rsidP="00826629">
            <w:pPr>
              <w:jc w:val="center"/>
              <w:rPr>
                <w:rFonts w:ascii="Arial" w:hAnsi="Arial" w:cs="Arial"/>
                <w:sz w:val="18"/>
                <w:szCs w:val="18"/>
              </w:rPr>
            </w:pPr>
            <w:r w:rsidRPr="002714B2">
              <w:rPr>
                <w:rFonts w:ascii="Arial" w:hAnsi="Arial" w:cs="Arial"/>
                <w:sz w:val="18"/>
                <w:szCs w:val="18"/>
              </w:rPr>
              <w:t>33.9862</w:t>
            </w:r>
          </w:p>
        </w:tc>
        <w:tc>
          <w:tcPr>
            <w:tcW w:w="675" w:type="pct"/>
            <w:tcMar>
              <w:top w:w="0" w:type="dxa"/>
              <w:left w:w="108" w:type="dxa"/>
              <w:bottom w:w="0" w:type="dxa"/>
              <w:right w:w="108" w:type="dxa"/>
            </w:tcMar>
            <w:vAlign w:val="center"/>
          </w:tcPr>
          <w:p w14:paraId="60DEC940" w14:textId="3055B8EC" w:rsidR="00826629" w:rsidRPr="002714B2" w:rsidRDefault="00826629" w:rsidP="00826629">
            <w:pPr>
              <w:jc w:val="center"/>
              <w:rPr>
                <w:rFonts w:ascii="Arial" w:hAnsi="Arial" w:cs="Arial"/>
                <w:sz w:val="18"/>
                <w:szCs w:val="18"/>
              </w:rPr>
            </w:pPr>
            <w:r w:rsidRPr="002714B2">
              <w:rPr>
                <w:rFonts w:ascii="Arial" w:hAnsi="Arial" w:cs="Arial"/>
                <w:sz w:val="18"/>
                <w:szCs w:val="18"/>
              </w:rPr>
              <w:t>-117.7154</w:t>
            </w:r>
          </w:p>
        </w:tc>
      </w:tr>
      <w:tr w:rsidR="00826629" w:rsidRPr="00A150E6" w14:paraId="5EF56453" w14:textId="77777777" w:rsidTr="00D43F15">
        <w:trPr>
          <w:trHeight w:val="317"/>
        </w:trPr>
        <w:tc>
          <w:tcPr>
            <w:tcW w:w="848" w:type="pct"/>
            <w:vMerge/>
            <w:vAlign w:val="center"/>
          </w:tcPr>
          <w:p w14:paraId="49E90406"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tcPr>
          <w:p w14:paraId="0B4C3692" w14:textId="286C26C6" w:rsidR="00826629" w:rsidRPr="002714B2" w:rsidRDefault="00826629" w:rsidP="00826629">
            <w:pPr>
              <w:jc w:val="center"/>
              <w:rPr>
                <w:rFonts w:ascii="Arial" w:hAnsi="Arial" w:cs="Arial"/>
                <w:sz w:val="18"/>
                <w:szCs w:val="18"/>
              </w:rPr>
            </w:pPr>
            <w:r w:rsidRPr="002714B2">
              <w:rPr>
                <w:rFonts w:ascii="Arial" w:hAnsi="Arial" w:cs="Arial"/>
                <w:sz w:val="18"/>
                <w:szCs w:val="18"/>
              </w:rPr>
              <w:t>T1-SACH</w:t>
            </w:r>
          </w:p>
        </w:tc>
        <w:tc>
          <w:tcPr>
            <w:tcW w:w="1800" w:type="pct"/>
            <w:tcMar>
              <w:top w:w="0" w:type="dxa"/>
              <w:left w:w="108" w:type="dxa"/>
              <w:bottom w:w="0" w:type="dxa"/>
              <w:right w:w="108" w:type="dxa"/>
            </w:tcMar>
            <w:vAlign w:val="center"/>
          </w:tcPr>
          <w:p w14:paraId="05D63118" w14:textId="35EE39C9" w:rsidR="00826629" w:rsidRPr="002714B2" w:rsidRDefault="00826629" w:rsidP="00826629">
            <w:pPr>
              <w:jc w:val="center"/>
              <w:rPr>
                <w:rFonts w:ascii="Arial" w:hAnsi="Arial" w:cs="Arial"/>
                <w:sz w:val="18"/>
                <w:szCs w:val="18"/>
              </w:rPr>
            </w:pPr>
            <w:r w:rsidRPr="002714B2">
              <w:rPr>
                <w:rFonts w:ascii="Arial" w:hAnsi="Arial" w:cs="Arial"/>
                <w:sz w:val="18"/>
                <w:szCs w:val="18"/>
              </w:rPr>
              <w:t>San Antonio Channel</w:t>
            </w:r>
          </w:p>
        </w:tc>
        <w:tc>
          <w:tcPr>
            <w:tcW w:w="675" w:type="pct"/>
            <w:tcMar>
              <w:top w:w="0" w:type="dxa"/>
              <w:left w:w="108" w:type="dxa"/>
              <w:bottom w:w="0" w:type="dxa"/>
              <w:right w:w="108" w:type="dxa"/>
            </w:tcMar>
            <w:vAlign w:val="center"/>
          </w:tcPr>
          <w:p w14:paraId="05262616" w14:textId="18F90B43" w:rsidR="00826629" w:rsidRPr="002714B2" w:rsidRDefault="00826629" w:rsidP="00826629">
            <w:pPr>
              <w:jc w:val="center"/>
              <w:rPr>
                <w:rFonts w:ascii="Arial" w:hAnsi="Arial" w:cs="Arial"/>
                <w:sz w:val="18"/>
                <w:szCs w:val="18"/>
              </w:rPr>
            </w:pPr>
            <w:r w:rsidRPr="002714B2">
              <w:rPr>
                <w:rFonts w:ascii="Arial" w:hAnsi="Arial" w:cs="Arial"/>
                <w:sz w:val="18"/>
                <w:szCs w:val="18"/>
              </w:rPr>
              <w:t>34.0247</w:t>
            </w:r>
          </w:p>
        </w:tc>
        <w:tc>
          <w:tcPr>
            <w:tcW w:w="675" w:type="pct"/>
            <w:tcMar>
              <w:top w:w="0" w:type="dxa"/>
              <w:left w:w="108" w:type="dxa"/>
              <w:bottom w:w="0" w:type="dxa"/>
              <w:right w:w="108" w:type="dxa"/>
            </w:tcMar>
            <w:vAlign w:val="center"/>
          </w:tcPr>
          <w:p w14:paraId="238FCE98" w14:textId="01368351" w:rsidR="00826629" w:rsidRPr="002714B2" w:rsidRDefault="00826629" w:rsidP="00826629">
            <w:pPr>
              <w:jc w:val="center"/>
              <w:rPr>
                <w:rFonts w:ascii="Arial" w:hAnsi="Arial" w:cs="Arial"/>
                <w:sz w:val="18"/>
                <w:szCs w:val="18"/>
              </w:rPr>
            </w:pPr>
            <w:r w:rsidRPr="002714B2">
              <w:rPr>
                <w:rFonts w:ascii="Arial" w:hAnsi="Arial" w:cs="Arial"/>
                <w:sz w:val="18"/>
                <w:szCs w:val="18"/>
              </w:rPr>
              <w:t>-117.7281</w:t>
            </w:r>
          </w:p>
        </w:tc>
      </w:tr>
      <w:tr w:rsidR="00826629" w:rsidRPr="00A150E6" w14:paraId="7F0F3218" w14:textId="77777777" w:rsidTr="00D43F15">
        <w:trPr>
          <w:trHeight w:val="317"/>
        </w:trPr>
        <w:tc>
          <w:tcPr>
            <w:tcW w:w="848" w:type="pct"/>
            <w:vMerge/>
            <w:vAlign w:val="center"/>
          </w:tcPr>
          <w:p w14:paraId="0716AC75"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tcPr>
          <w:p w14:paraId="0BE2B1FD" w14:textId="113DF6F3" w:rsidR="00826629" w:rsidRPr="002714B2" w:rsidRDefault="00826629" w:rsidP="00826629">
            <w:pPr>
              <w:jc w:val="center"/>
              <w:rPr>
                <w:rFonts w:ascii="Arial" w:hAnsi="Arial" w:cs="Arial"/>
                <w:sz w:val="18"/>
                <w:szCs w:val="18"/>
              </w:rPr>
            </w:pPr>
            <w:r w:rsidRPr="002714B2">
              <w:rPr>
                <w:rFonts w:ascii="Arial" w:hAnsi="Arial" w:cs="Arial"/>
                <w:sz w:val="18"/>
                <w:szCs w:val="18"/>
              </w:rPr>
              <w:t>T1-CHINOCRK</w:t>
            </w:r>
          </w:p>
        </w:tc>
        <w:tc>
          <w:tcPr>
            <w:tcW w:w="1800" w:type="pct"/>
            <w:tcMar>
              <w:top w:w="0" w:type="dxa"/>
              <w:left w:w="108" w:type="dxa"/>
              <w:bottom w:w="0" w:type="dxa"/>
              <w:right w:w="108" w:type="dxa"/>
            </w:tcMar>
            <w:vAlign w:val="center"/>
          </w:tcPr>
          <w:p w14:paraId="12D2F434" w14:textId="19CB4EC2" w:rsidR="00826629" w:rsidRPr="002714B2" w:rsidRDefault="00826629" w:rsidP="00826629">
            <w:pPr>
              <w:jc w:val="center"/>
              <w:rPr>
                <w:rFonts w:ascii="Arial" w:hAnsi="Arial" w:cs="Arial"/>
                <w:sz w:val="18"/>
                <w:szCs w:val="18"/>
              </w:rPr>
            </w:pPr>
            <w:r w:rsidRPr="002714B2">
              <w:rPr>
                <w:rFonts w:ascii="Arial" w:hAnsi="Arial" w:cs="Arial"/>
                <w:sz w:val="18"/>
                <w:szCs w:val="18"/>
              </w:rPr>
              <w:t>Chino Creek upstream of San Antonio Channel</w:t>
            </w:r>
          </w:p>
        </w:tc>
        <w:tc>
          <w:tcPr>
            <w:tcW w:w="675" w:type="pct"/>
            <w:tcMar>
              <w:top w:w="0" w:type="dxa"/>
              <w:left w:w="108" w:type="dxa"/>
              <w:bottom w:w="0" w:type="dxa"/>
              <w:right w:w="108" w:type="dxa"/>
            </w:tcMar>
            <w:vAlign w:val="center"/>
          </w:tcPr>
          <w:p w14:paraId="41EF38B2" w14:textId="36DC6C5F" w:rsidR="00826629" w:rsidRPr="002714B2" w:rsidRDefault="00826629" w:rsidP="00826629">
            <w:pPr>
              <w:jc w:val="center"/>
              <w:rPr>
                <w:rFonts w:ascii="Arial" w:hAnsi="Arial" w:cs="Arial"/>
                <w:sz w:val="18"/>
                <w:szCs w:val="18"/>
              </w:rPr>
            </w:pPr>
            <w:r w:rsidRPr="002714B2">
              <w:rPr>
                <w:rFonts w:ascii="Arial" w:hAnsi="Arial" w:cs="Arial"/>
                <w:sz w:val="18"/>
                <w:szCs w:val="18"/>
              </w:rPr>
              <w:t>34.0134</w:t>
            </w:r>
          </w:p>
        </w:tc>
        <w:tc>
          <w:tcPr>
            <w:tcW w:w="675" w:type="pct"/>
            <w:tcMar>
              <w:top w:w="0" w:type="dxa"/>
              <w:left w:w="108" w:type="dxa"/>
              <w:bottom w:w="0" w:type="dxa"/>
              <w:right w:w="108" w:type="dxa"/>
            </w:tcMar>
            <w:vAlign w:val="center"/>
          </w:tcPr>
          <w:p w14:paraId="115EDB49" w14:textId="5A209DFE" w:rsidR="00826629" w:rsidRPr="002714B2" w:rsidRDefault="00826629" w:rsidP="00826629">
            <w:pPr>
              <w:jc w:val="center"/>
              <w:rPr>
                <w:rFonts w:ascii="Arial" w:hAnsi="Arial" w:cs="Arial"/>
                <w:sz w:val="18"/>
                <w:szCs w:val="18"/>
              </w:rPr>
            </w:pPr>
            <w:r w:rsidRPr="002714B2">
              <w:rPr>
                <w:rFonts w:ascii="Arial" w:hAnsi="Arial" w:cs="Arial"/>
                <w:sz w:val="18"/>
                <w:szCs w:val="18"/>
              </w:rPr>
              <w:t>-117.7305</w:t>
            </w:r>
          </w:p>
        </w:tc>
      </w:tr>
      <w:tr w:rsidR="00826629" w:rsidRPr="00A150E6" w14:paraId="6881E008" w14:textId="77777777" w:rsidTr="00D43F15">
        <w:trPr>
          <w:trHeight w:val="317"/>
        </w:trPr>
        <w:tc>
          <w:tcPr>
            <w:tcW w:w="848" w:type="pct"/>
            <w:vMerge/>
            <w:vAlign w:val="center"/>
          </w:tcPr>
          <w:p w14:paraId="0501B3DD"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tcPr>
          <w:p w14:paraId="2D5DE38D" w14:textId="052F7874" w:rsidR="00826629" w:rsidRPr="002714B2" w:rsidRDefault="00826629" w:rsidP="00826629">
            <w:pPr>
              <w:jc w:val="center"/>
              <w:rPr>
                <w:rFonts w:ascii="Arial" w:hAnsi="Arial" w:cs="Arial"/>
                <w:sz w:val="18"/>
                <w:szCs w:val="18"/>
              </w:rPr>
            </w:pPr>
            <w:r w:rsidRPr="002714B2">
              <w:rPr>
                <w:rFonts w:ascii="Arial" w:hAnsi="Arial" w:cs="Arial"/>
                <w:sz w:val="18"/>
                <w:szCs w:val="18"/>
              </w:rPr>
              <w:t>T1-LLSC</w:t>
            </w:r>
          </w:p>
        </w:tc>
        <w:tc>
          <w:tcPr>
            <w:tcW w:w="1800" w:type="pct"/>
            <w:tcMar>
              <w:top w:w="0" w:type="dxa"/>
              <w:left w:w="108" w:type="dxa"/>
              <w:bottom w:w="0" w:type="dxa"/>
              <w:right w:w="108" w:type="dxa"/>
            </w:tcMar>
            <w:vAlign w:val="center"/>
          </w:tcPr>
          <w:p w14:paraId="05EF6FE5" w14:textId="121317D1" w:rsidR="00826629" w:rsidRPr="002714B2" w:rsidRDefault="00826629" w:rsidP="00826629">
            <w:pPr>
              <w:jc w:val="center"/>
              <w:rPr>
                <w:rFonts w:ascii="Arial" w:hAnsi="Arial" w:cs="Arial"/>
                <w:sz w:val="18"/>
                <w:szCs w:val="18"/>
              </w:rPr>
            </w:pPr>
            <w:r w:rsidRPr="002714B2">
              <w:rPr>
                <w:rFonts w:ascii="Arial" w:hAnsi="Arial" w:cs="Arial"/>
                <w:sz w:val="18"/>
                <w:szCs w:val="18"/>
              </w:rPr>
              <w:t>Lake Los Serranos Channel</w:t>
            </w:r>
          </w:p>
        </w:tc>
        <w:tc>
          <w:tcPr>
            <w:tcW w:w="675" w:type="pct"/>
            <w:tcMar>
              <w:top w:w="0" w:type="dxa"/>
              <w:left w:w="108" w:type="dxa"/>
              <w:bottom w:w="0" w:type="dxa"/>
              <w:right w:w="108" w:type="dxa"/>
            </w:tcMar>
            <w:vAlign w:val="center"/>
          </w:tcPr>
          <w:p w14:paraId="4DA4453C" w14:textId="7382B017" w:rsidR="00826629" w:rsidRPr="002714B2" w:rsidRDefault="00826629" w:rsidP="00826629">
            <w:pPr>
              <w:jc w:val="center"/>
              <w:rPr>
                <w:rFonts w:ascii="Arial" w:hAnsi="Arial" w:cs="Arial"/>
                <w:sz w:val="18"/>
                <w:szCs w:val="18"/>
              </w:rPr>
            </w:pPr>
            <w:r w:rsidRPr="002714B2">
              <w:rPr>
                <w:rFonts w:ascii="Arial" w:hAnsi="Arial" w:cs="Arial"/>
                <w:sz w:val="18"/>
                <w:szCs w:val="18"/>
              </w:rPr>
              <w:t>33.9754</w:t>
            </w:r>
          </w:p>
        </w:tc>
        <w:tc>
          <w:tcPr>
            <w:tcW w:w="675" w:type="pct"/>
            <w:tcMar>
              <w:top w:w="0" w:type="dxa"/>
              <w:left w:w="108" w:type="dxa"/>
              <w:bottom w:w="0" w:type="dxa"/>
              <w:right w:w="108" w:type="dxa"/>
            </w:tcMar>
            <w:vAlign w:val="center"/>
          </w:tcPr>
          <w:p w14:paraId="3200EC9C" w14:textId="5B6949B4" w:rsidR="00826629" w:rsidRPr="002714B2" w:rsidRDefault="00826629" w:rsidP="00826629">
            <w:pPr>
              <w:jc w:val="center"/>
              <w:rPr>
                <w:rFonts w:ascii="Arial" w:hAnsi="Arial" w:cs="Arial"/>
                <w:sz w:val="18"/>
                <w:szCs w:val="18"/>
              </w:rPr>
            </w:pPr>
            <w:r w:rsidRPr="002714B2">
              <w:rPr>
                <w:rFonts w:ascii="Arial" w:hAnsi="Arial" w:cs="Arial"/>
                <w:sz w:val="18"/>
                <w:szCs w:val="18"/>
              </w:rPr>
              <w:t>-117.6910</w:t>
            </w:r>
          </w:p>
        </w:tc>
      </w:tr>
      <w:tr w:rsidR="00826629" w:rsidRPr="00A150E6" w14:paraId="08CCC70D" w14:textId="77777777" w:rsidTr="00D43F15">
        <w:trPr>
          <w:trHeight w:val="317"/>
        </w:trPr>
        <w:tc>
          <w:tcPr>
            <w:tcW w:w="848" w:type="pct"/>
            <w:vMerge w:val="restart"/>
            <w:vAlign w:val="center"/>
          </w:tcPr>
          <w:p w14:paraId="30C52BD6" w14:textId="77777777" w:rsidR="00826629" w:rsidRPr="002714B2" w:rsidRDefault="00826629" w:rsidP="00826629">
            <w:pPr>
              <w:jc w:val="center"/>
              <w:rPr>
                <w:rFonts w:ascii="Arial" w:hAnsi="Arial" w:cs="Arial"/>
                <w:sz w:val="18"/>
                <w:szCs w:val="18"/>
              </w:rPr>
            </w:pPr>
          </w:p>
          <w:p w14:paraId="172F8CE8" w14:textId="77777777" w:rsidR="00826629" w:rsidRPr="002714B2" w:rsidRDefault="00826629" w:rsidP="00826629">
            <w:pPr>
              <w:jc w:val="center"/>
              <w:rPr>
                <w:rFonts w:ascii="Arial" w:hAnsi="Arial" w:cs="Arial"/>
                <w:sz w:val="18"/>
                <w:szCs w:val="18"/>
              </w:rPr>
            </w:pPr>
            <w:r w:rsidRPr="002714B2">
              <w:rPr>
                <w:rFonts w:ascii="Arial" w:hAnsi="Arial" w:cs="Arial"/>
                <w:sz w:val="18"/>
                <w:szCs w:val="18"/>
              </w:rPr>
              <w:t>Mill-Cucamonga Creek</w:t>
            </w:r>
          </w:p>
        </w:tc>
        <w:tc>
          <w:tcPr>
            <w:tcW w:w="1001" w:type="pct"/>
            <w:tcMar>
              <w:top w:w="0" w:type="dxa"/>
              <w:left w:w="108" w:type="dxa"/>
              <w:bottom w:w="0" w:type="dxa"/>
              <w:right w:w="108" w:type="dxa"/>
            </w:tcMar>
            <w:vAlign w:val="center"/>
          </w:tcPr>
          <w:p w14:paraId="163D63CB" w14:textId="0555A6C1" w:rsidR="00826629" w:rsidRPr="002714B2" w:rsidRDefault="00826629" w:rsidP="00826629">
            <w:pPr>
              <w:jc w:val="center"/>
              <w:rPr>
                <w:rFonts w:ascii="Arial" w:hAnsi="Arial" w:cs="Arial"/>
                <w:sz w:val="18"/>
                <w:szCs w:val="18"/>
              </w:rPr>
            </w:pPr>
            <w:r w:rsidRPr="002714B2">
              <w:rPr>
                <w:rFonts w:ascii="Arial" w:hAnsi="Arial" w:cs="Arial"/>
                <w:sz w:val="18"/>
                <w:szCs w:val="18"/>
              </w:rPr>
              <w:t>T1-CUCAMONGA</w:t>
            </w:r>
          </w:p>
        </w:tc>
        <w:tc>
          <w:tcPr>
            <w:tcW w:w="1800" w:type="pct"/>
            <w:tcMar>
              <w:top w:w="0" w:type="dxa"/>
              <w:left w:w="108" w:type="dxa"/>
              <w:bottom w:w="0" w:type="dxa"/>
              <w:right w:w="108" w:type="dxa"/>
            </w:tcMar>
            <w:vAlign w:val="center"/>
          </w:tcPr>
          <w:p w14:paraId="4C2A2F79" w14:textId="41EAFA67" w:rsidR="00826629" w:rsidRPr="002714B2" w:rsidRDefault="00826629" w:rsidP="00826629">
            <w:pPr>
              <w:jc w:val="center"/>
              <w:rPr>
                <w:rFonts w:ascii="Arial" w:hAnsi="Arial" w:cs="Arial"/>
                <w:sz w:val="18"/>
                <w:szCs w:val="18"/>
              </w:rPr>
            </w:pPr>
            <w:r w:rsidRPr="002714B2">
              <w:rPr>
                <w:rFonts w:ascii="Arial" w:hAnsi="Arial" w:cs="Arial"/>
                <w:sz w:val="18"/>
                <w:szCs w:val="18"/>
              </w:rPr>
              <w:t>Cucamonga Creek at Hellman</w:t>
            </w:r>
          </w:p>
        </w:tc>
        <w:tc>
          <w:tcPr>
            <w:tcW w:w="675" w:type="pct"/>
            <w:tcMar>
              <w:top w:w="0" w:type="dxa"/>
              <w:left w:w="108" w:type="dxa"/>
              <w:bottom w:w="0" w:type="dxa"/>
              <w:right w:w="108" w:type="dxa"/>
            </w:tcMar>
            <w:vAlign w:val="center"/>
          </w:tcPr>
          <w:p w14:paraId="096C0ECD" w14:textId="6E951569" w:rsidR="00826629" w:rsidRPr="002714B2" w:rsidRDefault="00826629" w:rsidP="00826629">
            <w:pPr>
              <w:jc w:val="center"/>
              <w:rPr>
                <w:rFonts w:ascii="Arial" w:hAnsi="Arial" w:cs="Arial"/>
                <w:sz w:val="18"/>
                <w:szCs w:val="18"/>
              </w:rPr>
            </w:pPr>
            <w:r w:rsidRPr="002714B2">
              <w:rPr>
                <w:rFonts w:ascii="Arial" w:hAnsi="Arial" w:cs="Arial"/>
                <w:sz w:val="18"/>
                <w:szCs w:val="18"/>
              </w:rPr>
              <w:t>33.94936</w:t>
            </w:r>
          </w:p>
        </w:tc>
        <w:tc>
          <w:tcPr>
            <w:tcW w:w="675" w:type="pct"/>
            <w:tcMar>
              <w:top w:w="0" w:type="dxa"/>
              <w:left w:w="108" w:type="dxa"/>
              <w:bottom w:w="0" w:type="dxa"/>
              <w:right w:w="108" w:type="dxa"/>
            </w:tcMar>
            <w:vAlign w:val="center"/>
          </w:tcPr>
          <w:p w14:paraId="118079C9" w14:textId="68634EBC" w:rsidR="00826629" w:rsidRPr="002714B2" w:rsidRDefault="00826629" w:rsidP="00826629">
            <w:pPr>
              <w:jc w:val="center"/>
              <w:rPr>
                <w:rFonts w:ascii="Arial" w:hAnsi="Arial" w:cs="Arial"/>
                <w:sz w:val="18"/>
                <w:szCs w:val="18"/>
              </w:rPr>
            </w:pPr>
            <w:r w:rsidRPr="002714B2">
              <w:rPr>
                <w:rFonts w:ascii="Arial" w:hAnsi="Arial" w:cs="Arial"/>
                <w:sz w:val="18"/>
                <w:szCs w:val="18"/>
              </w:rPr>
              <w:t>-117.61034</w:t>
            </w:r>
          </w:p>
        </w:tc>
      </w:tr>
      <w:tr w:rsidR="00826629" w:rsidRPr="00A150E6" w14:paraId="606832B8" w14:textId="77777777" w:rsidTr="00D43F15">
        <w:trPr>
          <w:trHeight w:val="317"/>
        </w:trPr>
        <w:tc>
          <w:tcPr>
            <w:tcW w:w="848" w:type="pct"/>
            <w:vMerge/>
            <w:vAlign w:val="center"/>
          </w:tcPr>
          <w:p w14:paraId="32FCE596"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tcPr>
          <w:p w14:paraId="2B00773F" w14:textId="0A87E414" w:rsidR="00826629" w:rsidRPr="002714B2" w:rsidRDefault="00826629" w:rsidP="00826629">
            <w:pPr>
              <w:jc w:val="center"/>
              <w:rPr>
                <w:rFonts w:ascii="Arial" w:hAnsi="Arial" w:cs="Arial"/>
                <w:sz w:val="18"/>
                <w:szCs w:val="18"/>
              </w:rPr>
            </w:pPr>
            <w:r w:rsidRPr="002714B2">
              <w:rPr>
                <w:rFonts w:ascii="Arial" w:hAnsi="Arial" w:cs="Arial"/>
                <w:sz w:val="18"/>
                <w:szCs w:val="18"/>
              </w:rPr>
              <w:t>T2-CLCH</w:t>
            </w:r>
          </w:p>
        </w:tc>
        <w:tc>
          <w:tcPr>
            <w:tcW w:w="1800" w:type="pct"/>
            <w:tcMar>
              <w:top w:w="0" w:type="dxa"/>
              <w:left w:w="108" w:type="dxa"/>
              <w:bottom w:w="0" w:type="dxa"/>
              <w:right w:w="108" w:type="dxa"/>
            </w:tcMar>
            <w:vAlign w:val="center"/>
          </w:tcPr>
          <w:p w14:paraId="4BEB77DD" w14:textId="771E4667" w:rsidR="00826629" w:rsidRPr="002714B2" w:rsidRDefault="00826629" w:rsidP="00826629">
            <w:pPr>
              <w:jc w:val="center"/>
              <w:rPr>
                <w:rFonts w:ascii="Arial" w:hAnsi="Arial" w:cs="Arial"/>
                <w:sz w:val="18"/>
                <w:szCs w:val="18"/>
              </w:rPr>
            </w:pPr>
            <w:r w:rsidRPr="002714B2">
              <w:rPr>
                <w:rFonts w:ascii="Arial" w:hAnsi="Arial" w:cs="Arial"/>
                <w:sz w:val="18"/>
                <w:szCs w:val="18"/>
              </w:rPr>
              <w:t>County Line Channel</w:t>
            </w:r>
          </w:p>
        </w:tc>
        <w:tc>
          <w:tcPr>
            <w:tcW w:w="675" w:type="pct"/>
            <w:tcMar>
              <w:top w:w="0" w:type="dxa"/>
              <w:left w:w="108" w:type="dxa"/>
              <w:bottom w:w="0" w:type="dxa"/>
              <w:right w:w="108" w:type="dxa"/>
            </w:tcMar>
            <w:vAlign w:val="center"/>
          </w:tcPr>
          <w:p w14:paraId="23623A2B" w14:textId="43CE17E5" w:rsidR="00826629" w:rsidRPr="002714B2" w:rsidRDefault="00826629" w:rsidP="00826629">
            <w:pPr>
              <w:jc w:val="center"/>
              <w:rPr>
                <w:rFonts w:ascii="Arial" w:hAnsi="Arial" w:cs="Arial"/>
                <w:sz w:val="18"/>
                <w:szCs w:val="18"/>
              </w:rPr>
            </w:pPr>
            <w:r w:rsidRPr="002714B2">
              <w:rPr>
                <w:rFonts w:ascii="Arial" w:hAnsi="Arial" w:cs="Arial"/>
                <w:sz w:val="18"/>
                <w:szCs w:val="18"/>
              </w:rPr>
              <w:t>33.97501</w:t>
            </w:r>
          </w:p>
        </w:tc>
        <w:tc>
          <w:tcPr>
            <w:tcW w:w="675" w:type="pct"/>
            <w:tcMar>
              <w:top w:w="0" w:type="dxa"/>
              <w:left w:w="108" w:type="dxa"/>
              <w:bottom w:w="0" w:type="dxa"/>
              <w:right w:w="108" w:type="dxa"/>
            </w:tcMar>
            <w:vAlign w:val="center"/>
          </w:tcPr>
          <w:p w14:paraId="0A5E5825" w14:textId="05BFF0B7" w:rsidR="00826629" w:rsidRPr="002714B2" w:rsidRDefault="00826629" w:rsidP="00826629">
            <w:pPr>
              <w:jc w:val="center"/>
              <w:rPr>
                <w:rFonts w:ascii="Arial" w:hAnsi="Arial" w:cs="Arial"/>
                <w:sz w:val="18"/>
                <w:szCs w:val="18"/>
              </w:rPr>
            </w:pPr>
            <w:r w:rsidRPr="002714B2">
              <w:rPr>
                <w:rFonts w:ascii="Arial" w:hAnsi="Arial" w:cs="Arial"/>
                <w:sz w:val="18"/>
                <w:szCs w:val="18"/>
              </w:rPr>
              <w:t>-117.60044</w:t>
            </w:r>
          </w:p>
        </w:tc>
      </w:tr>
      <w:tr w:rsidR="00826629" w:rsidRPr="00A150E6" w14:paraId="178A7696" w14:textId="77777777" w:rsidTr="00D43F15">
        <w:trPr>
          <w:trHeight w:val="317"/>
        </w:trPr>
        <w:tc>
          <w:tcPr>
            <w:tcW w:w="848" w:type="pct"/>
            <w:vMerge/>
            <w:vAlign w:val="center"/>
          </w:tcPr>
          <w:p w14:paraId="18815FFE"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hideMark/>
          </w:tcPr>
          <w:p w14:paraId="364C518A" w14:textId="12CE0537" w:rsidR="00826629" w:rsidRPr="002714B2" w:rsidRDefault="00826629" w:rsidP="00826629">
            <w:pPr>
              <w:jc w:val="center"/>
              <w:rPr>
                <w:rFonts w:ascii="Arial" w:hAnsi="Arial" w:cs="Arial"/>
                <w:sz w:val="18"/>
                <w:szCs w:val="18"/>
              </w:rPr>
            </w:pPr>
            <w:r w:rsidRPr="002714B2">
              <w:rPr>
                <w:rFonts w:ascii="Arial" w:hAnsi="Arial" w:cs="Arial"/>
                <w:sz w:val="18"/>
                <w:szCs w:val="18"/>
              </w:rPr>
              <w:t>T2-HWY60</w:t>
            </w:r>
          </w:p>
        </w:tc>
        <w:tc>
          <w:tcPr>
            <w:tcW w:w="1800" w:type="pct"/>
            <w:tcMar>
              <w:top w:w="0" w:type="dxa"/>
              <w:left w:w="108" w:type="dxa"/>
              <w:bottom w:w="0" w:type="dxa"/>
              <w:right w:w="108" w:type="dxa"/>
            </w:tcMar>
            <w:vAlign w:val="center"/>
            <w:hideMark/>
          </w:tcPr>
          <w:p w14:paraId="28E0F2CD" w14:textId="24D640FB" w:rsidR="00826629" w:rsidRPr="002714B2" w:rsidRDefault="00826629" w:rsidP="00826629">
            <w:pPr>
              <w:jc w:val="center"/>
              <w:rPr>
                <w:rFonts w:ascii="Arial" w:hAnsi="Arial" w:cs="Arial"/>
                <w:sz w:val="18"/>
                <w:szCs w:val="18"/>
              </w:rPr>
            </w:pPr>
            <w:r w:rsidRPr="002714B2">
              <w:rPr>
                <w:rFonts w:ascii="Arial" w:hAnsi="Arial" w:cs="Arial"/>
                <w:sz w:val="18"/>
                <w:szCs w:val="18"/>
              </w:rPr>
              <w:t>Cucamonga Creek at Hwy 60</w:t>
            </w:r>
          </w:p>
        </w:tc>
        <w:tc>
          <w:tcPr>
            <w:tcW w:w="675" w:type="pct"/>
            <w:tcMar>
              <w:top w:w="0" w:type="dxa"/>
              <w:left w:w="108" w:type="dxa"/>
              <w:bottom w:w="0" w:type="dxa"/>
              <w:right w:w="108" w:type="dxa"/>
            </w:tcMar>
            <w:vAlign w:val="center"/>
            <w:hideMark/>
          </w:tcPr>
          <w:p w14:paraId="58CF69E1" w14:textId="515A6BD0" w:rsidR="00826629" w:rsidRPr="002714B2" w:rsidRDefault="00826629" w:rsidP="00826629">
            <w:pPr>
              <w:jc w:val="center"/>
              <w:rPr>
                <w:rFonts w:ascii="Arial" w:hAnsi="Arial" w:cs="Arial"/>
                <w:sz w:val="18"/>
                <w:szCs w:val="18"/>
              </w:rPr>
            </w:pPr>
            <w:r w:rsidRPr="002714B2">
              <w:rPr>
                <w:rFonts w:ascii="Arial" w:hAnsi="Arial" w:cs="Arial"/>
                <w:sz w:val="18"/>
                <w:szCs w:val="18"/>
              </w:rPr>
              <w:t>34.03098</w:t>
            </w:r>
          </w:p>
        </w:tc>
        <w:tc>
          <w:tcPr>
            <w:tcW w:w="675" w:type="pct"/>
            <w:tcMar>
              <w:top w:w="0" w:type="dxa"/>
              <w:left w:w="108" w:type="dxa"/>
              <w:bottom w:w="0" w:type="dxa"/>
              <w:right w:w="108" w:type="dxa"/>
            </w:tcMar>
            <w:vAlign w:val="center"/>
            <w:hideMark/>
          </w:tcPr>
          <w:p w14:paraId="281DBA8D" w14:textId="773A0795" w:rsidR="00826629" w:rsidRPr="002714B2" w:rsidRDefault="00826629" w:rsidP="00826629">
            <w:pPr>
              <w:jc w:val="center"/>
              <w:rPr>
                <w:rFonts w:ascii="Arial" w:hAnsi="Arial" w:cs="Arial"/>
                <w:sz w:val="18"/>
                <w:szCs w:val="18"/>
              </w:rPr>
            </w:pPr>
            <w:r w:rsidRPr="002714B2">
              <w:rPr>
                <w:rFonts w:ascii="Arial" w:hAnsi="Arial" w:cs="Arial"/>
                <w:sz w:val="18"/>
                <w:szCs w:val="18"/>
              </w:rPr>
              <w:t>-117.59887</w:t>
            </w:r>
          </w:p>
        </w:tc>
      </w:tr>
      <w:tr w:rsidR="00826629" w:rsidRPr="00A150E6" w14:paraId="57F6A09F" w14:textId="77777777" w:rsidTr="00D43F15">
        <w:trPr>
          <w:trHeight w:val="317"/>
        </w:trPr>
        <w:tc>
          <w:tcPr>
            <w:tcW w:w="848" w:type="pct"/>
            <w:vMerge/>
            <w:vAlign w:val="center"/>
          </w:tcPr>
          <w:p w14:paraId="35F41748"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hideMark/>
          </w:tcPr>
          <w:p w14:paraId="702E073C" w14:textId="5E645CC4" w:rsidR="00826629" w:rsidRPr="002714B2" w:rsidRDefault="00826629" w:rsidP="00826629">
            <w:pPr>
              <w:jc w:val="center"/>
              <w:rPr>
                <w:rFonts w:ascii="Arial" w:hAnsi="Arial" w:cs="Arial"/>
                <w:sz w:val="18"/>
                <w:szCs w:val="18"/>
              </w:rPr>
            </w:pPr>
            <w:r w:rsidRPr="002714B2">
              <w:rPr>
                <w:rFonts w:ascii="Arial" w:hAnsi="Arial" w:cs="Arial"/>
                <w:sz w:val="18"/>
                <w:szCs w:val="18"/>
              </w:rPr>
              <w:t>T2-CHRIS</w:t>
            </w:r>
          </w:p>
        </w:tc>
        <w:tc>
          <w:tcPr>
            <w:tcW w:w="1800" w:type="pct"/>
            <w:tcMar>
              <w:top w:w="0" w:type="dxa"/>
              <w:left w:w="108" w:type="dxa"/>
              <w:bottom w:w="0" w:type="dxa"/>
              <w:right w:w="108" w:type="dxa"/>
            </w:tcMar>
            <w:vAlign w:val="center"/>
            <w:hideMark/>
          </w:tcPr>
          <w:p w14:paraId="30D88015" w14:textId="17488086" w:rsidR="00826629" w:rsidRPr="002714B2" w:rsidRDefault="00826629" w:rsidP="00826629">
            <w:pPr>
              <w:jc w:val="center"/>
              <w:rPr>
                <w:rFonts w:ascii="Arial" w:hAnsi="Arial" w:cs="Arial"/>
                <w:sz w:val="18"/>
                <w:szCs w:val="18"/>
              </w:rPr>
            </w:pPr>
            <w:r w:rsidRPr="002714B2">
              <w:rPr>
                <w:rFonts w:ascii="Arial" w:hAnsi="Arial" w:cs="Arial"/>
                <w:sz w:val="18"/>
                <w:szCs w:val="18"/>
              </w:rPr>
              <w:t>Chris Basin outflow to Cucamonga Creek</w:t>
            </w:r>
          </w:p>
        </w:tc>
        <w:tc>
          <w:tcPr>
            <w:tcW w:w="675" w:type="pct"/>
            <w:tcMar>
              <w:top w:w="0" w:type="dxa"/>
              <w:left w:w="108" w:type="dxa"/>
              <w:bottom w:w="0" w:type="dxa"/>
              <w:right w:w="108" w:type="dxa"/>
            </w:tcMar>
            <w:vAlign w:val="center"/>
          </w:tcPr>
          <w:p w14:paraId="7CB6860F" w14:textId="235CC997" w:rsidR="00826629" w:rsidRPr="002714B2" w:rsidRDefault="00826629" w:rsidP="00826629">
            <w:pPr>
              <w:jc w:val="center"/>
              <w:rPr>
                <w:rFonts w:ascii="Arial" w:hAnsi="Arial" w:cs="Arial"/>
                <w:sz w:val="18"/>
                <w:szCs w:val="18"/>
              </w:rPr>
            </w:pPr>
            <w:r w:rsidRPr="002714B2">
              <w:rPr>
                <w:rFonts w:ascii="Arial" w:hAnsi="Arial" w:cs="Arial"/>
                <w:sz w:val="18"/>
                <w:szCs w:val="18"/>
              </w:rPr>
              <w:t>34.00277</w:t>
            </w:r>
          </w:p>
        </w:tc>
        <w:tc>
          <w:tcPr>
            <w:tcW w:w="675" w:type="pct"/>
            <w:tcMar>
              <w:top w:w="0" w:type="dxa"/>
              <w:left w:w="108" w:type="dxa"/>
              <w:bottom w:w="0" w:type="dxa"/>
              <w:right w:w="108" w:type="dxa"/>
            </w:tcMar>
            <w:vAlign w:val="center"/>
          </w:tcPr>
          <w:p w14:paraId="0141E4E4" w14:textId="75884B4B" w:rsidR="00826629" w:rsidRPr="002714B2" w:rsidRDefault="00826629" w:rsidP="00826629">
            <w:pPr>
              <w:jc w:val="center"/>
              <w:rPr>
                <w:rFonts w:ascii="Arial" w:hAnsi="Arial" w:cs="Arial"/>
                <w:sz w:val="18"/>
                <w:szCs w:val="18"/>
              </w:rPr>
            </w:pPr>
            <w:r w:rsidRPr="002714B2">
              <w:rPr>
                <w:rFonts w:ascii="Arial" w:hAnsi="Arial" w:cs="Arial"/>
                <w:sz w:val="18"/>
                <w:szCs w:val="18"/>
              </w:rPr>
              <w:t>-117.59906</w:t>
            </w:r>
          </w:p>
        </w:tc>
      </w:tr>
      <w:tr w:rsidR="00826629" w:rsidRPr="00A150E6" w14:paraId="6B95CEC1" w14:textId="77777777" w:rsidTr="00D43F15">
        <w:trPr>
          <w:trHeight w:val="317"/>
        </w:trPr>
        <w:tc>
          <w:tcPr>
            <w:tcW w:w="848" w:type="pct"/>
            <w:vMerge/>
            <w:vAlign w:val="center"/>
          </w:tcPr>
          <w:p w14:paraId="2B7CCA88" w14:textId="77777777" w:rsidR="00826629" w:rsidRPr="002714B2" w:rsidRDefault="00826629" w:rsidP="00826629">
            <w:pPr>
              <w:jc w:val="center"/>
              <w:rPr>
                <w:rFonts w:ascii="Arial" w:hAnsi="Arial" w:cs="Arial"/>
                <w:sz w:val="18"/>
                <w:szCs w:val="18"/>
              </w:rPr>
            </w:pPr>
          </w:p>
        </w:tc>
        <w:tc>
          <w:tcPr>
            <w:tcW w:w="1001" w:type="pct"/>
            <w:tcMar>
              <w:top w:w="0" w:type="dxa"/>
              <w:left w:w="108" w:type="dxa"/>
              <w:bottom w:w="0" w:type="dxa"/>
              <w:right w:w="108" w:type="dxa"/>
            </w:tcMar>
            <w:vAlign w:val="center"/>
            <w:hideMark/>
          </w:tcPr>
          <w:p w14:paraId="6D728F62" w14:textId="1FE8C500" w:rsidR="00826629" w:rsidRPr="002714B2" w:rsidRDefault="00826629" w:rsidP="00826629">
            <w:pPr>
              <w:jc w:val="center"/>
              <w:rPr>
                <w:rFonts w:ascii="Arial" w:hAnsi="Arial" w:cs="Arial"/>
                <w:sz w:val="18"/>
                <w:szCs w:val="18"/>
              </w:rPr>
            </w:pPr>
            <w:r w:rsidRPr="002714B2">
              <w:rPr>
                <w:rFonts w:ascii="Arial" w:hAnsi="Arial" w:cs="Arial"/>
                <w:sz w:val="18"/>
                <w:szCs w:val="18"/>
              </w:rPr>
              <w:t>Chino RP1</w:t>
            </w:r>
          </w:p>
        </w:tc>
        <w:tc>
          <w:tcPr>
            <w:tcW w:w="1800" w:type="pct"/>
            <w:tcMar>
              <w:top w:w="0" w:type="dxa"/>
              <w:left w:w="108" w:type="dxa"/>
              <w:bottom w:w="0" w:type="dxa"/>
              <w:right w:w="108" w:type="dxa"/>
            </w:tcMar>
            <w:vAlign w:val="center"/>
            <w:hideMark/>
          </w:tcPr>
          <w:p w14:paraId="5EF3837B" w14:textId="35F471CD" w:rsidR="00826629" w:rsidRPr="002714B2" w:rsidRDefault="00826629" w:rsidP="00826629">
            <w:pPr>
              <w:jc w:val="center"/>
              <w:rPr>
                <w:rFonts w:ascii="Arial" w:hAnsi="Arial" w:cs="Arial"/>
                <w:sz w:val="18"/>
                <w:szCs w:val="18"/>
              </w:rPr>
            </w:pPr>
            <w:r w:rsidRPr="002714B2">
              <w:rPr>
                <w:rFonts w:ascii="Arial" w:hAnsi="Arial" w:cs="Arial"/>
                <w:sz w:val="18"/>
                <w:szCs w:val="18"/>
              </w:rPr>
              <w:t>East bank of Cucamonga Creek upstream of Chino Avenue</w:t>
            </w:r>
          </w:p>
        </w:tc>
        <w:tc>
          <w:tcPr>
            <w:tcW w:w="675" w:type="pct"/>
            <w:tcMar>
              <w:top w:w="0" w:type="dxa"/>
              <w:left w:w="108" w:type="dxa"/>
              <w:bottom w:w="0" w:type="dxa"/>
              <w:right w:w="108" w:type="dxa"/>
            </w:tcMar>
            <w:vAlign w:val="center"/>
            <w:hideMark/>
          </w:tcPr>
          <w:p w14:paraId="3F0800A4" w14:textId="127A2E30" w:rsidR="00826629" w:rsidRPr="002714B2" w:rsidRDefault="00826629" w:rsidP="00826629">
            <w:pPr>
              <w:jc w:val="center"/>
              <w:rPr>
                <w:rFonts w:ascii="Arial" w:hAnsi="Arial" w:cs="Arial"/>
                <w:sz w:val="18"/>
                <w:szCs w:val="18"/>
              </w:rPr>
            </w:pPr>
            <w:r w:rsidRPr="002714B2">
              <w:rPr>
                <w:rFonts w:ascii="Arial" w:hAnsi="Arial" w:cs="Arial"/>
                <w:sz w:val="18"/>
                <w:szCs w:val="18"/>
              </w:rPr>
              <w:t>34.01218</w:t>
            </w:r>
          </w:p>
        </w:tc>
        <w:tc>
          <w:tcPr>
            <w:tcW w:w="675" w:type="pct"/>
            <w:tcMar>
              <w:top w:w="0" w:type="dxa"/>
              <w:left w:w="108" w:type="dxa"/>
              <w:bottom w:w="0" w:type="dxa"/>
              <w:right w:w="108" w:type="dxa"/>
            </w:tcMar>
            <w:vAlign w:val="center"/>
            <w:hideMark/>
          </w:tcPr>
          <w:p w14:paraId="310D7031" w14:textId="70BDAB4B" w:rsidR="00826629" w:rsidRPr="002714B2" w:rsidRDefault="00826629" w:rsidP="00826629">
            <w:pPr>
              <w:jc w:val="center"/>
              <w:rPr>
                <w:rFonts w:ascii="Arial" w:hAnsi="Arial" w:cs="Arial"/>
                <w:sz w:val="18"/>
                <w:szCs w:val="18"/>
              </w:rPr>
            </w:pPr>
            <w:r w:rsidRPr="002714B2">
              <w:rPr>
                <w:rFonts w:ascii="Arial" w:hAnsi="Arial" w:cs="Arial"/>
                <w:sz w:val="18"/>
                <w:szCs w:val="18"/>
              </w:rPr>
              <w:t>-117.59990</w:t>
            </w:r>
          </w:p>
        </w:tc>
      </w:tr>
    </w:tbl>
    <w:bookmarkEnd w:id="136"/>
    <w:p w14:paraId="4AFE5BED" w14:textId="3F2A5230" w:rsidR="00524F10" w:rsidRPr="00151B09" w:rsidRDefault="00524F10" w:rsidP="003A34AF">
      <w:pPr>
        <w:pStyle w:val="BodyText"/>
        <w:spacing w:before="240" w:after="120"/>
        <w:rPr>
          <w:rFonts w:eastAsiaTheme="minorHAnsi"/>
          <w:lang w:bidi="en-US"/>
        </w:rPr>
      </w:pPr>
      <w:r w:rsidRPr="00F272AC">
        <w:rPr>
          <w:rFonts w:eastAsiaTheme="minorHAnsi"/>
          <w:lang w:bidi="en-US"/>
        </w:rPr>
        <w:lastRenderedPageBreak/>
        <w:t>For thi</w:t>
      </w:r>
      <w:r>
        <w:rPr>
          <w:rFonts w:eastAsiaTheme="minorHAnsi"/>
          <w:lang w:bidi="en-US"/>
        </w:rPr>
        <w:t>s prioritization, t</w:t>
      </w:r>
      <w:r w:rsidRPr="00151B09">
        <w:rPr>
          <w:rFonts w:eastAsiaTheme="minorHAnsi"/>
          <w:lang w:bidi="en-US"/>
        </w:rPr>
        <w:t xml:space="preserve">he relative rankings </w:t>
      </w:r>
      <w:r>
        <w:rPr>
          <w:rFonts w:eastAsiaTheme="minorHAnsi"/>
          <w:lang w:bidi="en-US"/>
        </w:rPr>
        <w:t>of each site based on application of</w:t>
      </w:r>
      <w:r w:rsidRPr="00151B09">
        <w:rPr>
          <w:rFonts w:eastAsiaTheme="minorHAnsi"/>
          <w:lang w:bidi="en-US"/>
        </w:rPr>
        <w:t xml:space="preserve"> four criteria </w:t>
      </w:r>
      <w:r>
        <w:rPr>
          <w:rFonts w:eastAsiaTheme="minorHAnsi"/>
          <w:lang w:bidi="en-US"/>
        </w:rPr>
        <w:t xml:space="preserve">were used to </w:t>
      </w:r>
      <w:r w:rsidRPr="00151B09">
        <w:rPr>
          <w:rFonts w:eastAsiaTheme="minorHAnsi"/>
          <w:lang w:bidi="en-US"/>
        </w:rPr>
        <w:t xml:space="preserve">create a composite </w:t>
      </w:r>
      <w:r w:rsidR="008E070A">
        <w:rPr>
          <w:rFonts w:eastAsiaTheme="minorHAnsi"/>
          <w:lang w:bidi="en-US"/>
        </w:rPr>
        <w:t xml:space="preserve">bacteria prioritization score (BPS) </w:t>
      </w:r>
      <w:r w:rsidRPr="00151B09">
        <w:rPr>
          <w:rFonts w:eastAsiaTheme="minorHAnsi"/>
          <w:lang w:bidi="en-US"/>
        </w:rPr>
        <w:t>for</w:t>
      </w:r>
      <w:r>
        <w:rPr>
          <w:rFonts w:eastAsiaTheme="minorHAnsi"/>
          <w:lang w:bidi="en-US"/>
        </w:rPr>
        <w:t xml:space="preserve"> </w:t>
      </w:r>
      <w:r w:rsidRPr="00151B09">
        <w:rPr>
          <w:rFonts w:eastAsiaTheme="minorHAnsi"/>
          <w:lang w:bidi="en-US"/>
        </w:rPr>
        <w:t xml:space="preserve">Tier 1 </w:t>
      </w:r>
      <w:r w:rsidR="008E070A">
        <w:rPr>
          <w:rFonts w:eastAsiaTheme="minorHAnsi"/>
          <w:lang w:bidi="en-US"/>
        </w:rPr>
        <w:t>or 2 sites</w:t>
      </w:r>
      <w:r>
        <w:rPr>
          <w:rFonts w:eastAsiaTheme="minorHAnsi"/>
          <w:lang w:bidi="en-US"/>
        </w:rPr>
        <w:t>. These criteria included</w:t>
      </w:r>
      <w:r w:rsidRPr="00151B09">
        <w:rPr>
          <w:rFonts w:eastAsiaTheme="minorHAnsi"/>
          <w:lang w:bidi="en-US"/>
        </w:rPr>
        <w:t xml:space="preserve">: </w:t>
      </w:r>
    </w:p>
    <w:p w14:paraId="1B196D77" w14:textId="55DE7E5C" w:rsidR="00524F10" w:rsidRPr="00E665B8" w:rsidRDefault="00524F10" w:rsidP="00AC69A1">
      <w:pPr>
        <w:pStyle w:val="00Bullet1"/>
        <w:numPr>
          <w:ilvl w:val="0"/>
          <w:numId w:val="49"/>
        </w:numPr>
        <w:spacing w:after="120"/>
        <w:rPr>
          <w:i/>
        </w:rPr>
      </w:pPr>
      <w:r w:rsidRPr="00F272AC">
        <w:rPr>
          <w:i/>
        </w:rPr>
        <w:t xml:space="preserve">Criterion 1 </w:t>
      </w:r>
      <w:r w:rsidR="008E070A">
        <w:rPr>
          <w:i/>
        </w:rPr>
        <w:t>–</w:t>
      </w:r>
      <w:r w:rsidRPr="00F272AC">
        <w:t xml:space="preserve"> </w:t>
      </w:r>
      <w:r w:rsidR="008E070A">
        <w:t xml:space="preserve">Median </w:t>
      </w:r>
      <w:r w:rsidR="00C52234">
        <w:t xml:space="preserve">urban </w:t>
      </w:r>
      <w:r w:rsidRPr="00F272AC">
        <w:t>DWF generation rate (gal/ac/day)</w:t>
      </w:r>
      <w:r>
        <w:t xml:space="preserve"> from the subwatershed that drains to the </w:t>
      </w:r>
      <w:proofErr w:type="gramStart"/>
      <w:r>
        <w:t>Tier</w:t>
      </w:r>
      <w:proofErr w:type="gramEnd"/>
      <w:r>
        <w:t xml:space="preserve"> 1 </w:t>
      </w:r>
      <w:r w:rsidR="00C52234">
        <w:t xml:space="preserve">or 2 </w:t>
      </w:r>
      <w:r>
        <w:t xml:space="preserve">site. </w:t>
      </w:r>
      <w:r w:rsidRPr="00E665B8">
        <w:rPr>
          <w:b/>
        </w:rPr>
        <w:t>Figure 3-2</w:t>
      </w:r>
      <w:r w:rsidR="007838A1">
        <w:rPr>
          <w:b/>
        </w:rPr>
        <w:t>3</w:t>
      </w:r>
      <w:r w:rsidRPr="00E665B8">
        <w:t xml:space="preserve"> illustrates DWF generation rates at each </w:t>
      </w:r>
      <w:proofErr w:type="gramStart"/>
      <w:r w:rsidRPr="00E665B8">
        <w:t>Tier</w:t>
      </w:r>
      <w:proofErr w:type="gramEnd"/>
      <w:r w:rsidRPr="00E665B8">
        <w:t xml:space="preserve"> 1</w:t>
      </w:r>
      <w:r w:rsidR="008E070A">
        <w:t xml:space="preserve"> or 2</w:t>
      </w:r>
      <w:r w:rsidRPr="00E665B8">
        <w:t xml:space="preserve"> site over the study period. Days with no flow were included in the</w:t>
      </w:r>
      <w:r>
        <w:t xml:space="preserve"> analysis as</w:t>
      </w:r>
      <w:r w:rsidRPr="00E665B8">
        <w:t xml:space="preserve"> zeros.</w:t>
      </w:r>
      <w:r w:rsidR="008E070A">
        <w:t xml:space="preserve"> This criterion is changed from prior BPS estimates by using the median rather than average DWF rate. This change prevented skew</w:t>
      </w:r>
      <w:r w:rsidR="00C52234">
        <w:t xml:space="preserve">ed averages </w:t>
      </w:r>
      <w:r w:rsidR="008E070A">
        <w:t xml:space="preserve">associated with measured DWF during a few site visits that was substantially higher in just 1 of 5 weeks as is apparent in Figure 3-29. In such instances, the source of DWF is presumed to be associated with a point source discharge rather than urban stormwater.  </w:t>
      </w:r>
    </w:p>
    <w:p w14:paraId="398923F4" w14:textId="54E7E6B3" w:rsidR="00524F10" w:rsidRPr="00F272AC" w:rsidRDefault="00524F10" w:rsidP="00AC69A1">
      <w:pPr>
        <w:pStyle w:val="00Bullet1"/>
        <w:numPr>
          <w:ilvl w:val="0"/>
          <w:numId w:val="49"/>
        </w:numPr>
        <w:spacing w:after="120"/>
        <w:rPr>
          <w:i/>
        </w:rPr>
      </w:pPr>
      <w:r w:rsidRPr="00E665B8">
        <w:rPr>
          <w:i/>
        </w:rPr>
        <w:t xml:space="preserve">Criterion 2 - </w:t>
      </w:r>
      <w:r w:rsidR="008E070A">
        <w:rPr>
          <w:iCs/>
        </w:rPr>
        <w:t xml:space="preserve">Median </w:t>
      </w:r>
      <w:r w:rsidRPr="00E665B8">
        <w:rPr>
          <w:i/>
        </w:rPr>
        <w:t>E. coli</w:t>
      </w:r>
      <w:r w:rsidRPr="00E665B8">
        <w:t xml:space="preserve"> loading (MPN/day). </w:t>
      </w:r>
      <w:r w:rsidRPr="00E665B8">
        <w:rPr>
          <w:b/>
        </w:rPr>
        <w:t>Figure 3-</w:t>
      </w:r>
      <w:r w:rsidR="00CC310E">
        <w:rPr>
          <w:b/>
        </w:rPr>
        <w:t>2</w:t>
      </w:r>
      <w:r w:rsidR="007838A1">
        <w:rPr>
          <w:b/>
        </w:rPr>
        <w:t>4</w:t>
      </w:r>
      <w:r>
        <w:t xml:space="preserve"> illustrates </w:t>
      </w:r>
      <w:r w:rsidRPr="00DA33C7">
        <w:rPr>
          <w:i/>
        </w:rPr>
        <w:t>E. coli</w:t>
      </w:r>
      <w:r>
        <w:t xml:space="preserve"> loads observed at each Tier </w:t>
      </w:r>
      <w:r w:rsidR="008E070A">
        <w:t xml:space="preserve">or 2 </w:t>
      </w:r>
      <w:r>
        <w:t>1 site over the study period.</w:t>
      </w:r>
      <w:r w:rsidR="008E070A">
        <w:t xml:space="preserve"> This criterion is unchanged relative to previous prioritization analyses. </w:t>
      </w:r>
    </w:p>
    <w:p w14:paraId="570773F0" w14:textId="640500AC" w:rsidR="00826629" w:rsidRPr="00CC310E" w:rsidRDefault="00524F10" w:rsidP="00826629">
      <w:pPr>
        <w:pStyle w:val="00Bullet1"/>
        <w:numPr>
          <w:ilvl w:val="0"/>
          <w:numId w:val="49"/>
        </w:numPr>
        <w:spacing w:after="120"/>
        <w:rPr>
          <w:i/>
        </w:rPr>
      </w:pPr>
      <w:r w:rsidRPr="00F272AC">
        <w:rPr>
          <w:i/>
        </w:rPr>
        <w:t xml:space="preserve">Criterion 3 </w:t>
      </w:r>
      <w:r w:rsidR="008E070A">
        <w:rPr>
          <w:i/>
        </w:rPr>
        <w:t>–</w:t>
      </w:r>
      <w:r w:rsidR="00826629">
        <w:rPr>
          <w:iCs/>
        </w:rPr>
        <w:t xml:space="preserve"> Geometric mean </w:t>
      </w:r>
      <w:r w:rsidR="008E070A" w:rsidRPr="008E070A">
        <w:rPr>
          <w:iCs/>
        </w:rPr>
        <w:t>concentration</w:t>
      </w:r>
      <w:r w:rsidR="00826629">
        <w:rPr>
          <w:iCs/>
        </w:rPr>
        <w:t>s</w:t>
      </w:r>
      <w:r w:rsidR="008E070A" w:rsidRPr="008E070A">
        <w:rPr>
          <w:iCs/>
        </w:rPr>
        <w:t xml:space="preserve"> of </w:t>
      </w:r>
      <w:r w:rsidRPr="008E070A">
        <w:rPr>
          <w:iCs/>
        </w:rPr>
        <w:t>human</w:t>
      </w:r>
      <w:r w:rsidRPr="00F272AC">
        <w:t xml:space="preserve"> </w:t>
      </w:r>
      <w:r w:rsidRPr="00F272AC">
        <w:rPr>
          <w:i/>
        </w:rPr>
        <w:t>Bacteroides</w:t>
      </w:r>
      <w:r w:rsidRPr="00F272AC">
        <w:t xml:space="preserve"> HF183</w:t>
      </w:r>
      <w:r>
        <w:t xml:space="preserve">. </w:t>
      </w:r>
      <w:r w:rsidR="00826629">
        <w:t xml:space="preserve">Criteria scores were assigned based on </w:t>
      </w:r>
      <w:r w:rsidR="00826629" w:rsidRPr="003060F6">
        <w:rPr>
          <w:b/>
        </w:rPr>
        <w:t>Table 3-13</w:t>
      </w:r>
      <w:r w:rsidR="00826629">
        <w:t xml:space="preserve"> below. </w:t>
      </w:r>
      <w:r w:rsidRPr="00E665B8">
        <w:rPr>
          <w:b/>
        </w:rPr>
        <w:t>Figure 3-</w:t>
      </w:r>
      <w:r w:rsidR="00CC310E">
        <w:rPr>
          <w:b/>
        </w:rPr>
        <w:t>2</w:t>
      </w:r>
      <w:r w:rsidR="007838A1">
        <w:rPr>
          <w:b/>
        </w:rPr>
        <w:t>5</w:t>
      </w:r>
      <w:r>
        <w:t xml:space="preserve"> illustrates the </w:t>
      </w:r>
      <w:r w:rsidR="007838A1">
        <w:t xml:space="preserve">geometric </w:t>
      </w:r>
      <w:proofErr w:type="gramStart"/>
      <w:r w:rsidR="007838A1">
        <w:t>mean</w:t>
      </w:r>
      <w:proofErr w:type="gramEnd"/>
      <w:r w:rsidR="008E070A">
        <w:t xml:space="preserve"> </w:t>
      </w:r>
      <w:r>
        <w:t xml:space="preserve">HF183 </w:t>
      </w:r>
      <w:r w:rsidRPr="00A003D6">
        <w:rPr>
          <w:i/>
        </w:rPr>
        <w:t>Bacteroides</w:t>
      </w:r>
      <w:r>
        <w:t xml:space="preserve"> marker </w:t>
      </w:r>
      <w:r w:rsidR="008E070A">
        <w:t xml:space="preserve">concentration </w:t>
      </w:r>
      <w:r>
        <w:t xml:space="preserve">at each </w:t>
      </w:r>
      <w:proofErr w:type="gramStart"/>
      <w:r>
        <w:t>Tier</w:t>
      </w:r>
      <w:proofErr w:type="gramEnd"/>
      <w:r>
        <w:t xml:space="preserve"> 1 </w:t>
      </w:r>
      <w:r w:rsidR="008E070A">
        <w:t xml:space="preserve">or 2 </w:t>
      </w:r>
      <w:r>
        <w:t>site.</w:t>
      </w:r>
      <w:r w:rsidR="008E070A">
        <w:t xml:space="preserve"> This approach for criterion 3 is changed from previous prioritization analysis that employed a frequency of detection for HF183.</w:t>
      </w:r>
    </w:p>
    <w:p w14:paraId="6A89A24F" w14:textId="19902A49" w:rsidR="00826629" w:rsidRPr="00826629" w:rsidRDefault="00D43F15" w:rsidP="00D43F15">
      <w:pPr>
        <w:pStyle w:val="Caption"/>
        <w:keepNext/>
        <w:ind w:firstLine="720"/>
        <w:rPr>
          <w:i/>
        </w:rPr>
      </w:pPr>
      <w:bookmarkStart w:id="137" w:name="_Toc217391770"/>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13</w:t>
      </w:r>
      <w:r w:rsidR="00FE614C">
        <w:fldChar w:fldCharType="end"/>
      </w:r>
      <w:r>
        <w:t xml:space="preserve">. </w:t>
      </w:r>
      <w:r w:rsidR="00826629" w:rsidRPr="00CC310E">
        <w:t>HF183 Criteria Scores</w:t>
      </w:r>
      <w:bookmarkEnd w:id="137"/>
    </w:p>
    <w:tbl>
      <w:tblPr>
        <w:tblW w:w="2650" w:type="pct"/>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96"/>
        <w:gridCol w:w="1669"/>
      </w:tblGrid>
      <w:tr w:rsidR="00826629" w:rsidRPr="00A150E6" w14:paraId="10B9AE3F" w14:textId="77777777" w:rsidTr="00D43F15">
        <w:trPr>
          <w:trHeight w:val="530"/>
        </w:trPr>
        <w:tc>
          <w:tcPr>
            <w:tcW w:w="3249" w:type="pct"/>
            <w:shd w:val="clear" w:color="auto" w:fill="F2F2F2" w:themeFill="background1" w:themeFillShade="F2"/>
            <w:tcMar>
              <w:top w:w="0" w:type="dxa"/>
              <w:left w:w="108" w:type="dxa"/>
              <w:bottom w:w="0" w:type="dxa"/>
              <w:right w:w="108" w:type="dxa"/>
            </w:tcMar>
            <w:vAlign w:val="center"/>
          </w:tcPr>
          <w:p w14:paraId="3D24AC42" w14:textId="77777777" w:rsidR="00826629" w:rsidRPr="00D43F15" w:rsidRDefault="00826629" w:rsidP="00CA3B62">
            <w:pPr>
              <w:jc w:val="center"/>
              <w:rPr>
                <w:rFonts w:ascii="Arial" w:hAnsi="Arial" w:cs="Arial"/>
                <w:b/>
                <w:bCs/>
                <w:sz w:val="18"/>
                <w:szCs w:val="18"/>
              </w:rPr>
            </w:pPr>
            <w:r w:rsidRPr="00D43F15">
              <w:rPr>
                <w:rFonts w:ascii="Arial" w:hAnsi="Arial" w:cs="Arial"/>
                <w:b/>
                <w:bCs/>
                <w:sz w:val="18"/>
                <w:szCs w:val="18"/>
              </w:rPr>
              <w:t>HF183 Geometric Mean Result (copies/100mL)</w:t>
            </w:r>
          </w:p>
        </w:tc>
        <w:tc>
          <w:tcPr>
            <w:tcW w:w="1751" w:type="pct"/>
            <w:shd w:val="clear" w:color="auto" w:fill="F2F2F2" w:themeFill="background1" w:themeFillShade="F2"/>
            <w:tcMar>
              <w:top w:w="0" w:type="dxa"/>
              <w:left w:w="108" w:type="dxa"/>
              <w:bottom w:w="0" w:type="dxa"/>
              <w:right w:w="108" w:type="dxa"/>
            </w:tcMar>
            <w:vAlign w:val="center"/>
          </w:tcPr>
          <w:p w14:paraId="42F1279C" w14:textId="77777777" w:rsidR="00826629" w:rsidRPr="00D43F15" w:rsidRDefault="00826629" w:rsidP="00CA3B62">
            <w:pPr>
              <w:jc w:val="center"/>
              <w:rPr>
                <w:rFonts w:ascii="Arial" w:hAnsi="Arial" w:cs="Arial"/>
                <w:b/>
                <w:bCs/>
                <w:sz w:val="18"/>
                <w:szCs w:val="18"/>
              </w:rPr>
            </w:pPr>
            <w:r w:rsidRPr="00D43F15">
              <w:rPr>
                <w:rFonts w:ascii="Arial" w:hAnsi="Arial" w:cs="Arial"/>
                <w:b/>
                <w:bCs/>
                <w:sz w:val="18"/>
                <w:szCs w:val="18"/>
              </w:rPr>
              <w:t>Associated Criteria Score</w:t>
            </w:r>
          </w:p>
        </w:tc>
      </w:tr>
      <w:tr w:rsidR="00826629" w:rsidRPr="00A150E6" w14:paraId="42B6BDD5" w14:textId="77777777" w:rsidTr="00D43F15">
        <w:trPr>
          <w:trHeight w:val="317"/>
        </w:trPr>
        <w:tc>
          <w:tcPr>
            <w:tcW w:w="3249" w:type="pct"/>
            <w:tcMar>
              <w:top w:w="0" w:type="dxa"/>
              <w:left w:w="108" w:type="dxa"/>
              <w:bottom w:w="0" w:type="dxa"/>
              <w:right w:w="108" w:type="dxa"/>
            </w:tcMar>
            <w:vAlign w:val="center"/>
          </w:tcPr>
          <w:p w14:paraId="0802BB8B"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ND/LOD</w:t>
            </w:r>
          </w:p>
        </w:tc>
        <w:tc>
          <w:tcPr>
            <w:tcW w:w="1751" w:type="pct"/>
            <w:tcMar>
              <w:top w:w="0" w:type="dxa"/>
              <w:left w:w="108" w:type="dxa"/>
              <w:bottom w:w="0" w:type="dxa"/>
              <w:right w:w="108" w:type="dxa"/>
            </w:tcMar>
            <w:vAlign w:val="center"/>
          </w:tcPr>
          <w:p w14:paraId="6BE18368"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0</w:t>
            </w:r>
          </w:p>
        </w:tc>
      </w:tr>
      <w:tr w:rsidR="00826629" w:rsidRPr="00A150E6" w14:paraId="58773A8E" w14:textId="77777777" w:rsidTr="00D43F15">
        <w:trPr>
          <w:trHeight w:val="317"/>
        </w:trPr>
        <w:tc>
          <w:tcPr>
            <w:tcW w:w="3249" w:type="pct"/>
            <w:tcMar>
              <w:top w:w="0" w:type="dxa"/>
              <w:left w:w="108" w:type="dxa"/>
              <w:bottom w:w="0" w:type="dxa"/>
              <w:right w:w="108" w:type="dxa"/>
            </w:tcMar>
            <w:vAlign w:val="center"/>
          </w:tcPr>
          <w:p w14:paraId="2120753B"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&lt;100</w:t>
            </w:r>
          </w:p>
        </w:tc>
        <w:tc>
          <w:tcPr>
            <w:tcW w:w="1751" w:type="pct"/>
            <w:tcMar>
              <w:top w:w="0" w:type="dxa"/>
              <w:left w:w="108" w:type="dxa"/>
              <w:bottom w:w="0" w:type="dxa"/>
              <w:right w:w="108" w:type="dxa"/>
            </w:tcMar>
            <w:vAlign w:val="center"/>
          </w:tcPr>
          <w:p w14:paraId="753E181F"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25</w:t>
            </w:r>
          </w:p>
        </w:tc>
      </w:tr>
      <w:tr w:rsidR="00826629" w:rsidRPr="00A150E6" w14:paraId="0CB0ED80" w14:textId="77777777" w:rsidTr="00D43F15">
        <w:trPr>
          <w:trHeight w:val="317"/>
        </w:trPr>
        <w:tc>
          <w:tcPr>
            <w:tcW w:w="3249" w:type="pct"/>
            <w:tcMar>
              <w:top w:w="0" w:type="dxa"/>
              <w:left w:w="108" w:type="dxa"/>
              <w:bottom w:w="0" w:type="dxa"/>
              <w:right w:w="108" w:type="dxa"/>
            </w:tcMar>
            <w:vAlign w:val="center"/>
          </w:tcPr>
          <w:p w14:paraId="59035811"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100-1,000</w:t>
            </w:r>
          </w:p>
        </w:tc>
        <w:tc>
          <w:tcPr>
            <w:tcW w:w="1751" w:type="pct"/>
            <w:tcMar>
              <w:top w:w="0" w:type="dxa"/>
              <w:left w:w="108" w:type="dxa"/>
              <w:bottom w:w="0" w:type="dxa"/>
              <w:right w:w="108" w:type="dxa"/>
            </w:tcMar>
            <w:vAlign w:val="center"/>
          </w:tcPr>
          <w:p w14:paraId="70567012"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50</w:t>
            </w:r>
          </w:p>
        </w:tc>
      </w:tr>
      <w:tr w:rsidR="00826629" w:rsidRPr="00A150E6" w14:paraId="73268237" w14:textId="77777777" w:rsidTr="00D43F15">
        <w:trPr>
          <w:trHeight w:val="317"/>
        </w:trPr>
        <w:tc>
          <w:tcPr>
            <w:tcW w:w="3249" w:type="pct"/>
            <w:tcMar>
              <w:top w:w="0" w:type="dxa"/>
              <w:left w:w="108" w:type="dxa"/>
              <w:bottom w:w="0" w:type="dxa"/>
              <w:right w:w="108" w:type="dxa"/>
            </w:tcMar>
            <w:vAlign w:val="center"/>
          </w:tcPr>
          <w:p w14:paraId="565301BD"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1,000-10,000</w:t>
            </w:r>
          </w:p>
        </w:tc>
        <w:tc>
          <w:tcPr>
            <w:tcW w:w="1751" w:type="pct"/>
            <w:tcMar>
              <w:top w:w="0" w:type="dxa"/>
              <w:left w:w="108" w:type="dxa"/>
              <w:bottom w:w="0" w:type="dxa"/>
              <w:right w:w="108" w:type="dxa"/>
            </w:tcMar>
            <w:vAlign w:val="center"/>
          </w:tcPr>
          <w:p w14:paraId="4976926A"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75</w:t>
            </w:r>
          </w:p>
        </w:tc>
      </w:tr>
      <w:tr w:rsidR="00826629" w:rsidRPr="00A150E6" w14:paraId="59296878" w14:textId="77777777" w:rsidTr="00D43F15">
        <w:trPr>
          <w:trHeight w:val="317"/>
        </w:trPr>
        <w:tc>
          <w:tcPr>
            <w:tcW w:w="3249" w:type="pct"/>
            <w:tcMar>
              <w:top w:w="0" w:type="dxa"/>
              <w:left w:w="108" w:type="dxa"/>
              <w:bottom w:w="0" w:type="dxa"/>
              <w:right w:w="108" w:type="dxa"/>
            </w:tcMar>
            <w:vAlign w:val="center"/>
          </w:tcPr>
          <w:p w14:paraId="60A53B5C"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10,000+</w:t>
            </w:r>
          </w:p>
        </w:tc>
        <w:tc>
          <w:tcPr>
            <w:tcW w:w="1751" w:type="pct"/>
            <w:tcMar>
              <w:top w:w="0" w:type="dxa"/>
              <w:left w:w="108" w:type="dxa"/>
              <w:bottom w:w="0" w:type="dxa"/>
              <w:right w:w="108" w:type="dxa"/>
            </w:tcMar>
            <w:vAlign w:val="center"/>
          </w:tcPr>
          <w:p w14:paraId="3DE3333B" w14:textId="77777777" w:rsidR="00826629" w:rsidRPr="00D43F15" w:rsidRDefault="00826629" w:rsidP="00CA3B62">
            <w:pPr>
              <w:jc w:val="center"/>
              <w:rPr>
                <w:rFonts w:ascii="Arial" w:hAnsi="Arial" w:cs="Arial"/>
                <w:sz w:val="18"/>
                <w:szCs w:val="18"/>
              </w:rPr>
            </w:pPr>
            <w:r w:rsidRPr="00D43F15">
              <w:rPr>
                <w:rFonts w:ascii="Arial" w:hAnsi="Arial" w:cs="Arial"/>
                <w:sz w:val="18"/>
                <w:szCs w:val="18"/>
              </w:rPr>
              <w:t>100</w:t>
            </w:r>
          </w:p>
        </w:tc>
      </w:tr>
    </w:tbl>
    <w:p w14:paraId="3F50B238" w14:textId="06F88B53" w:rsidR="00524F10" w:rsidRDefault="00524F10" w:rsidP="00CC310E">
      <w:pPr>
        <w:pStyle w:val="00Bullet1"/>
        <w:numPr>
          <w:ilvl w:val="0"/>
          <w:numId w:val="49"/>
        </w:numPr>
        <w:spacing w:before="240" w:after="120"/>
      </w:pPr>
      <w:r w:rsidRPr="008E070A">
        <w:rPr>
          <w:i/>
        </w:rPr>
        <w:t xml:space="preserve">Criterion 4 - </w:t>
      </w:r>
      <w:r w:rsidRPr="00F272AC">
        <w:t>Risk of exposure rating (low or high) with regards to recreation activity</w:t>
      </w:r>
      <w:r>
        <w:t>.</w:t>
      </w:r>
      <w:r w:rsidR="008E070A">
        <w:t xml:space="preserve"> </w:t>
      </w:r>
      <w:r w:rsidRPr="00151B09">
        <w:t xml:space="preserve">The first three criteria are computed from data collected </w:t>
      </w:r>
      <w:r>
        <w:t xml:space="preserve">during the </w:t>
      </w:r>
      <w:r w:rsidR="008E070A">
        <w:t xml:space="preserve">five </w:t>
      </w:r>
      <w:proofErr w:type="gramStart"/>
      <w:r w:rsidRPr="00151B09">
        <w:t>week</w:t>
      </w:r>
      <w:proofErr w:type="gramEnd"/>
      <w:r w:rsidRPr="00151B09">
        <w:t xml:space="preserve"> of consecutive monitoring at each </w:t>
      </w:r>
      <w:proofErr w:type="gramStart"/>
      <w:r w:rsidRPr="00151B09">
        <w:t>Tier</w:t>
      </w:r>
      <w:proofErr w:type="gramEnd"/>
      <w:r w:rsidRPr="00151B09">
        <w:t xml:space="preserve"> 1 </w:t>
      </w:r>
      <w:r w:rsidR="008E070A">
        <w:t xml:space="preserve">or 2 </w:t>
      </w:r>
      <w:r>
        <w:t>site</w:t>
      </w:r>
      <w:r w:rsidRPr="00151B09">
        <w:t xml:space="preserve"> </w:t>
      </w:r>
      <w:r>
        <w:t xml:space="preserve">from the week of </w:t>
      </w:r>
      <w:r w:rsidR="008E070A">
        <w:t>August 4</w:t>
      </w:r>
      <w:r>
        <w:t xml:space="preserve">, </w:t>
      </w:r>
      <w:proofErr w:type="gramStart"/>
      <w:r>
        <w:t>20</w:t>
      </w:r>
      <w:r w:rsidR="008E070A">
        <w:t>25</w:t>
      </w:r>
      <w:proofErr w:type="gramEnd"/>
      <w:r>
        <w:t xml:space="preserve"> </w:t>
      </w:r>
      <w:r w:rsidRPr="00151B09">
        <w:t xml:space="preserve">through </w:t>
      </w:r>
      <w:r>
        <w:t xml:space="preserve">the week of September </w:t>
      </w:r>
      <w:r w:rsidR="008E070A">
        <w:t>2</w:t>
      </w:r>
      <w:r>
        <w:t>, 20</w:t>
      </w:r>
      <w:r w:rsidR="008E070A">
        <w:t>25</w:t>
      </w:r>
      <w:r w:rsidRPr="00151B09">
        <w:t>. For the risk of exposure criteri</w:t>
      </w:r>
      <w:r>
        <w:t>on</w:t>
      </w:r>
      <w:r w:rsidRPr="00151B09">
        <w:t xml:space="preserve">, each site was assigned either a low </w:t>
      </w:r>
      <w:r>
        <w:t xml:space="preserve">(0) </w:t>
      </w:r>
      <w:r w:rsidRPr="00151B09">
        <w:t xml:space="preserve">or high </w:t>
      </w:r>
      <w:r>
        <w:t>score</w:t>
      </w:r>
      <w:r w:rsidRPr="00151B09">
        <w:t xml:space="preserve"> </w:t>
      </w:r>
      <w:r>
        <w:t xml:space="preserve">(100) </w:t>
      </w:r>
      <w:r w:rsidRPr="00151B09">
        <w:t>based on the following principles</w:t>
      </w:r>
      <w:r>
        <w:t>, regardless of the degree of hydrologic connectivity observed during field visits</w:t>
      </w:r>
      <w:r w:rsidRPr="00151B09">
        <w:t xml:space="preserve">: </w:t>
      </w:r>
    </w:p>
    <w:p w14:paraId="0832267A" w14:textId="466AEC5C" w:rsidR="00826629" w:rsidRPr="00F272AC" w:rsidRDefault="008E070A" w:rsidP="00CC310E">
      <w:pPr>
        <w:pStyle w:val="00Bullet1"/>
        <w:numPr>
          <w:ilvl w:val="0"/>
          <w:numId w:val="50"/>
        </w:numPr>
        <w:spacing w:after="240"/>
        <w:jc w:val="both"/>
      </w:pPr>
      <w:r w:rsidRPr="00826629">
        <w:rPr>
          <w:i/>
        </w:rPr>
        <w:t xml:space="preserve">Low </w:t>
      </w:r>
      <w:r w:rsidRPr="00F272AC">
        <w:t>– Completely concrete-lined MS4 channel that outfalls to a concrete-lined receiving waterbody segment.</w:t>
      </w:r>
    </w:p>
    <w:p w14:paraId="5C21C3F8" w14:textId="1B5005B7" w:rsidR="001A6DE2" w:rsidRPr="003060F6" w:rsidRDefault="008E070A" w:rsidP="003060F6">
      <w:pPr>
        <w:pStyle w:val="00Bullet1"/>
        <w:numPr>
          <w:ilvl w:val="0"/>
          <w:numId w:val="50"/>
        </w:numPr>
        <w:spacing w:after="240"/>
        <w:jc w:val="both"/>
      </w:pPr>
      <w:r w:rsidRPr="00826629">
        <w:rPr>
          <w:i/>
        </w:rPr>
        <w:t>High</w:t>
      </w:r>
      <w:r w:rsidR="001A6DE2">
        <w:rPr>
          <w:i/>
        </w:rPr>
        <w:t xml:space="preserve"> </w:t>
      </w:r>
      <w:r w:rsidRPr="00F272AC">
        <w:t>–</w:t>
      </w:r>
      <w:r w:rsidR="001A6DE2">
        <w:t xml:space="preserve"> </w:t>
      </w:r>
      <w:r w:rsidRPr="00F272AC">
        <w:t xml:space="preserve">Natural channel </w:t>
      </w:r>
      <w:r>
        <w:t xml:space="preserve">characteristics are </w:t>
      </w:r>
      <w:r w:rsidRPr="00F272AC">
        <w:t>present anywhere within MS4 channel and/or the Tier 1 outfall discharges to a natural channel segment of a receiving waterbody.</w:t>
      </w:r>
    </w:p>
    <w:p w14:paraId="3012ECC4" w14:textId="5C8BEAD0" w:rsidR="00524F10" w:rsidRDefault="00CC310E" w:rsidP="007838A1">
      <w:pPr>
        <w:pStyle w:val="BodyText"/>
        <w:keepNext/>
        <w:spacing w:after="0" w:line="240" w:lineRule="auto"/>
        <w:ind w:right="274"/>
        <w:rPr>
          <w:b/>
          <w:sz w:val="22"/>
          <w:szCs w:val="22"/>
        </w:rPr>
      </w:pPr>
      <w:r>
        <w:rPr>
          <w:noProof/>
        </w:rPr>
        <w:lastRenderedPageBreak/>
        <w:drawing>
          <wp:inline distT="0" distB="0" distL="0" distR="0" wp14:anchorId="6ACD8D89" wp14:editId="5C98127B">
            <wp:extent cx="5715000" cy="3197860"/>
            <wp:effectExtent l="19050" t="19050" r="19050" b="21590"/>
            <wp:docPr id="915471270" name="Picture 2"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71270" name="Picture 2" descr="A graph of different colored bars&#10;&#10;AI-generated content may be incorrect."/>
                    <pic:cNvPicPr>
                      <a:picLocks noChangeAspect="1" noChangeArrowheads="1"/>
                    </pic:cNvPicPr>
                  </pic:nvPicPr>
                  <pic:blipFill rotWithShape="1">
                    <a:blip r:embed="rId61">
                      <a:extLst>
                        <a:ext uri="{28A0092B-C50C-407E-A947-70E740481C1C}">
                          <a14:useLocalDpi xmlns:a14="http://schemas.microsoft.com/office/drawing/2010/main" val="0"/>
                        </a:ext>
                      </a:extLst>
                    </a:blip>
                    <a:srcRect t="9525" b="9812"/>
                    <a:stretch>
                      <a:fillRect/>
                    </a:stretch>
                  </pic:blipFill>
                  <pic:spPr bwMode="auto">
                    <a:xfrm>
                      <a:off x="0" y="0"/>
                      <a:ext cx="5715000" cy="31978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24F10" w:rsidRPr="00E42CE9">
        <w:rPr>
          <w:b/>
          <w:sz w:val="22"/>
          <w:szCs w:val="22"/>
        </w:rPr>
        <w:t xml:space="preserve"> </w:t>
      </w:r>
    </w:p>
    <w:p w14:paraId="2361614B" w14:textId="41DE23F4" w:rsidR="00826629" w:rsidRDefault="007838A1" w:rsidP="007838A1">
      <w:pPr>
        <w:pStyle w:val="Caption"/>
        <w:spacing w:after="240"/>
        <w:rPr>
          <w:b w:val="0"/>
          <w:sz w:val="22"/>
          <w:szCs w:val="22"/>
        </w:rPr>
      </w:pPr>
      <w:bookmarkStart w:id="138" w:name="_Toc217394581"/>
      <w:bookmarkStart w:id="139" w:name="_Toc217394776"/>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23</w:t>
      </w:r>
      <w:r w:rsidR="0023167A">
        <w:fldChar w:fldCharType="end"/>
      </w:r>
      <w:r>
        <w:t xml:space="preserve">. </w:t>
      </w:r>
      <w:r w:rsidRPr="007838A1">
        <w:t>DWF Generation Rates at Each Tier 1 Site on S</w:t>
      </w:r>
      <w:r>
        <w:t>ynoptic Study Sample Dates</w:t>
      </w:r>
      <w:bookmarkEnd w:id="138"/>
      <w:bookmarkEnd w:id="139"/>
    </w:p>
    <w:p w14:paraId="16E230FF" w14:textId="244149D6" w:rsidR="007838A1" w:rsidRDefault="00CC310E" w:rsidP="007838A1">
      <w:pPr>
        <w:pStyle w:val="BodyText"/>
        <w:keepNext/>
        <w:spacing w:after="0" w:line="240" w:lineRule="auto"/>
        <w:rPr>
          <w:b/>
          <w:sz w:val="22"/>
          <w:szCs w:val="22"/>
        </w:rPr>
      </w:pPr>
      <w:r>
        <w:rPr>
          <w:b/>
          <w:noProof/>
          <w:sz w:val="22"/>
          <w:szCs w:val="22"/>
        </w:rPr>
        <w:drawing>
          <wp:inline distT="0" distB="0" distL="0" distR="0" wp14:anchorId="0514A376" wp14:editId="3381487C">
            <wp:extent cx="5715000" cy="3108960"/>
            <wp:effectExtent l="19050" t="19050" r="19050" b="15240"/>
            <wp:docPr id="1410209975" name="Picture 3"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09975" name="Picture 3" descr="A graph of different colored bars&#10;&#10;AI-generated content may be incorrect."/>
                    <pic:cNvPicPr>
                      <a:picLocks noChangeAspect="1" noChangeArrowheads="1"/>
                    </pic:cNvPicPr>
                  </pic:nvPicPr>
                  <pic:blipFill rotWithShape="1">
                    <a:blip r:embed="rId62">
                      <a:extLst>
                        <a:ext uri="{28A0092B-C50C-407E-A947-70E740481C1C}">
                          <a14:useLocalDpi xmlns:a14="http://schemas.microsoft.com/office/drawing/2010/main" val="0"/>
                        </a:ext>
                      </a:extLst>
                    </a:blip>
                    <a:srcRect t="12426" b="11553"/>
                    <a:stretch>
                      <a:fillRect/>
                    </a:stretch>
                  </pic:blipFill>
                  <pic:spPr bwMode="auto">
                    <a:xfrm>
                      <a:off x="0" y="0"/>
                      <a:ext cx="5715000" cy="31089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24F10" w:rsidRPr="00E42CE9">
        <w:rPr>
          <w:b/>
          <w:sz w:val="22"/>
          <w:szCs w:val="22"/>
        </w:rPr>
        <w:t xml:space="preserve"> </w:t>
      </w:r>
    </w:p>
    <w:p w14:paraId="19560AF9" w14:textId="39FA774E" w:rsidR="007838A1" w:rsidRPr="007838A1" w:rsidRDefault="007838A1" w:rsidP="007838A1">
      <w:pPr>
        <w:pStyle w:val="BodyText"/>
        <w:keepNext/>
        <w:spacing w:line="240" w:lineRule="auto"/>
        <w:rPr>
          <w:rFonts w:ascii="Arial" w:hAnsi="Arial" w:cs="Arial"/>
          <w:bCs/>
          <w:sz w:val="16"/>
          <w:szCs w:val="16"/>
        </w:rPr>
      </w:pPr>
      <w:r w:rsidRPr="007838A1">
        <w:rPr>
          <w:rFonts w:ascii="Arial" w:hAnsi="Arial" w:cs="Arial"/>
          <w:bCs/>
          <w:sz w:val="16"/>
          <w:szCs w:val="16"/>
        </w:rPr>
        <w:t>Note: Week 1 at T1-CUCAMONGA truncated in plot – value is 3,488 MPN/day</w:t>
      </w:r>
    </w:p>
    <w:p w14:paraId="06ED0FF3" w14:textId="3DA43CE0" w:rsidR="00524F10" w:rsidRDefault="007838A1" w:rsidP="007838A1">
      <w:pPr>
        <w:pStyle w:val="Caption"/>
        <w:rPr>
          <w:b w:val="0"/>
          <w:sz w:val="22"/>
          <w:szCs w:val="22"/>
        </w:rPr>
      </w:pPr>
      <w:bookmarkStart w:id="140" w:name="_Toc217394582"/>
      <w:bookmarkStart w:id="141" w:name="_Toc217394777"/>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24</w:t>
      </w:r>
      <w:r w:rsidR="0023167A">
        <w:fldChar w:fldCharType="end"/>
      </w:r>
      <w:r>
        <w:t xml:space="preserve">. </w:t>
      </w:r>
      <w:r w:rsidRPr="007838A1">
        <w:t xml:space="preserve">E. </w:t>
      </w:r>
      <w:proofErr w:type="gramStart"/>
      <w:r w:rsidRPr="007838A1">
        <w:t>coli</w:t>
      </w:r>
      <w:proofErr w:type="gramEnd"/>
      <w:r w:rsidRPr="007838A1">
        <w:t xml:space="preserve"> Load</w:t>
      </w:r>
      <w:r>
        <w:t xml:space="preserve">s </w:t>
      </w:r>
      <w:r w:rsidRPr="007838A1">
        <w:t xml:space="preserve">at Each Tier 1 Site on </w:t>
      </w:r>
      <w:r>
        <w:t>Synoptic Study Sample Dates</w:t>
      </w:r>
      <w:bookmarkEnd w:id="140"/>
      <w:bookmarkEnd w:id="141"/>
    </w:p>
    <w:p w14:paraId="5AADD285" w14:textId="5DBCAEB1" w:rsidR="001A6DE2" w:rsidRDefault="001A6DE2" w:rsidP="008E070A">
      <w:pPr>
        <w:pStyle w:val="BodyText"/>
        <w:spacing w:after="0" w:line="240" w:lineRule="auto"/>
        <w:rPr>
          <w:b/>
          <w:sz w:val="22"/>
          <w:szCs w:val="22"/>
        </w:rPr>
      </w:pPr>
    </w:p>
    <w:p w14:paraId="7B395C78" w14:textId="77777777" w:rsidR="008E070A" w:rsidRDefault="008E070A" w:rsidP="008E070A">
      <w:pPr>
        <w:pStyle w:val="BodyText"/>
        <w:spacing w:after="0" w:line="240" w:lineRule="auto"/>
        <w:rPr>
          <w:b/>
          <w:sz w:val="22"/>
          <w:szCs w:val="22"/>
        </w:rPr>
      </w:pPr>
    </w:p>
    <w:p w14:paraId="4A0BA138" w14:textId="151A3AAC" w:rsidR="008E070A" w:rsidRDefault="001C09BE" w:rsidP="008E070A">
      <w:pPr>
        <w:pStyle w:val="BodyText"/>
        <w:spacing w:after="0" w:line="240" w:lineRule="auto"/>
        <w:rPr>
          <w:b/>
          <w:sz w:val="22"/>
          <w:szCs w:val="22"/>
        </w:rPr>
      </w:pPr>
      <w:r>
        <w:rPr>
          <w:noProof/>
        </w:rPr>
        <w:lastRenderedPageBreak/>
        <w:drawing>
          <wp:inline distT="0" distB="0" distL="0" distR="0" wp14:anchorId="780D9FC1" wp14:editId="5C375513">
            <wp:extent cx="5715000" cy="3796665"/>
            <wp:effectExtent l="0" t="0" r="0" b="13335"/>
            <wp:docPr id="498849622" name="Chart 1">
              <a:extLst xmlns:a="http://schemas.openxmlformats.org/drawingml/2006/main">
                <a:ext uri="{FF2B5EF4-FFF2-40B4-BE49-F238E27FC236}">
                  <a16:creationId xmlns:a16="http://schemas.microsoft.com/office/drawing/2014/main" id="{04A3AD21-716C-4C75-9A31-B42FF52F64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A40318A" w14:textId="6A2FEF6D" w:rsidR="007838A1" w:rsidRPr="007838A1" w:rsidRDefault="007838A1" w:rsidP="007838A1">
      <w:pPr>
        <w:pStyle w:val="BodyText"/>
        <w:spacing w:after="120" w:line="240" w:lineRule="auto"/>
        <w:rPr>
          <w:rFonts w:ascii="Arial" w:hAnsi="Arial" w:cs="Arial"/>
          <w:bCs/>
          <w:sz w:val="16"/>
          <w:szCs w:val="16"/>
        </w:rPr>
      </w:pPr>
      <w:r w:rsidRPr="007838A1">
        <w:rPr>
          <w:rFonts w:ascii="Arial" w:hAnsi="Arial" w:cs="Arial"/>
          <w:bCs/>
          <w:sz w:val="16"/>
          <w:szCs w:val="16"/>
        </w:rPr>
        <w:t xml:space="preserve">Note: </w:t>
      </w:r>
      <w:r>
        <w:rPr>
          <w:rFonts w:ascii="Arial" w:hAnsi="Arial" w:cs="Arial"/>
          <w:bCs/>
          <w:sz w:val="16"/>
          <w:szCs w:val="16"/>
        </w:rPr>
        <w:t>S</w:t>
      </w:r>
      <w:r w:rsidRPr="007838A1">
        <w:rPr>
          <w:rFonts w:ascii="Arial" w:hAnsi="Arial" w:cs="Arial"/>
          <w:bCs/>
          <w:sz w:val="16"/>
          <w:szCs w:val="16"/>
        </w:rPr>
        <w:t xml:space="preserve">ites with no data bars indicate results were ND/LOD for 5 of 5 samples. </w:t>
      </w:r>
    </w:p>
    <w:p w14:paraId="58DE271E" w14:textId="773890ED" w:rsidR="007838A1" w:rsidRDefault="007838A1" w:rsidP="007838A1">
      <w:pPr>
        <w:pStyle w:val="Caption"/>
        <w:spacing w:after="240"/>
      </w:pPr>
      <w:bookmarkStart w:id="142" w:name="_Toc217394583"/>
      <w:bookmarkStart w:id="143" w:name="_Toc217394778"/>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25</w:t>
      </w:r>
      <w:r w:rsidR="0023167A">
        <w:fldChar w:fldCharType="end"/>
      </w:r>
      <w:r>
        <w:t xml:space="preserve">. </w:t>
      </w:r>
      <w:r w:rsidRPr="007838A1">
        <w:t>Concentration of Detected HF183 at Tier 1 and 2 Sites</w:t>
      </w:r>
      <w:bookmarkEnd w:id="142"/>
      <w:bookmarkEnd w:id="143"/>
      <w:r w:rsidRPr="007838A1">
        <w:t xml:space="preserve"> </w:t>
      </w:r>
    </w:p>
    <w:p w14:paraId="45CFAA63" w14:textId="77777777" w:rsidR="00524F10" w:rsidRDefault="00524F10" w:rsidP="00524F10">
      <w:pPr>
        <w:pStyle w:val="BodyText"/>
        <w:spacing w:after="120"/>
      </w:pPr>
      <w:r w:rsidRPr="00151B09">
        <w:t xml:space="preserve">The composite </w:t>
      </w:r>
      <w:r>
        <w:t>Bacteria Prioritization Score (BPS)</w:t>
      </w:r>
      <w:r w:rsidRPr="00151B09">
        <w:t xml:space="preserve"> was computed </w:t>
      </w:r>
      <w:r>
        <w:t xml:space="preserve">through completion of the following calculation/categorization activities: </w:t>
      </w:r>
    </w:p>
    <w:p w14:paraId="4AC8800A" w14:textId="5113D302" w:rsidR="00524F10" w:rsidRDefault="00524F10" w:rsidP="00AC69A1">
      <w:pPr>
        <w:pStyle w:val="00Bullet1"/>
        <w:numPr>
          <w:ilvl w:val="0"/>
          <w:numId w:val="51"/>
        </w:numPr>
        <w:spacing w:after="120"/>
        <w:ind w:left="360"/>
      </w:pPr>
      <w:r w:rsidRPr="00F272AC">
        <w:t xml:space="preserve">For Criteria 1 </w:t>
      </w:r>
      <w:r w:rsidR="008E070A">
        <w:t>and 2</w:t>
      </w:r>
      <w:r w:rsidRPr="00F272AC">
        <w:t>, determine the relative rank of the site among the 1</w:t>
      </w:r>
      <w:r w:rsidR="008E070A">
        <w:t>8</w:t>
      </w:r>
      <w:r w:rsidRPr="00F272AC">
        <w:t xml:space="preserve"> Tier 1 </w:t>
      </w:r>
      <w:r w:rsidR="008E070A">
        <w:t xml:space="preserve">or 2 </w:t>
      </w:r>
      <w:r w:rsidRPr="00F272AC">
        <w:t xml:space="preserve">sites. This ranking </w:t>
      </w:r>
      <w:r>
        <w:t>wa</w:t>
      </w:r>
      <w:r w:rsidRPr="00F272AC">
        <w:t xml:space="preserve">s determined by (a) calculating the </w:t>
      </w:r>
      <w:r w:rsidR="008E070A">
        <w:t xml:space="preserve">median </w:t>
      </w:r>
      <w:r w:rsidRPr="00F272AC">
        <w:t xml:space="preserve">criterion </w:t>
      </w:r>
      <w:r w:rsidR="008E070A">
        <w:t xml:space="preserve">value </w:t>
      </w:r>
      <w:r w:rsidRPr="00F272AC">
        <w:t xml:space="preserve">at each site over the </w:t>
      </w:r>
      <w:r w:rsidR="008E070A">
        <w:t>five</w:t>
      </w:r>
      <w:r w:rsidRPr="00F272AC">
        <w:t xml:space="preserve">-week sample period; and then (b) normalizing the relative rank of the range of observed average values to a range of 0 to 100. </w:t>
      </w:r>
    </w:p>
    <w:p w14:paraId="1CD64EFA" w14:textId="4869A2FD" w:rsidR="008E070A" w:rsidRPr="00F272AC" w:rsidRDefault="008E070A" w:rsidP="00AC69A1">
      <w:pPr>
        <w:pStyle w:val="00Bullet1"/>
        <w:numPr>
          <w:ilvl w:val="0"/>
          <w:numId w:val="51"/>
        </w:numPr>
        <w:spacing w:after="120"/>
        <w:ind w:left="360"/>
      </w:pPr>
      <w:r>
        <w:t xml:space="preserve">For Criteria 3, </w:t>
      </w:r>
      <w:r w:rsidR="002426AE">
        <w:t xml:space="preserve">scores were assigned based on </w:t>
      </w:r>
      <w:r w:rsidR="002426AE" w:rsidRPr="00CC310E">
        <w:rPr>
          <w:b/>
          <w:bCs/>
        </w:rPr>
        <w:t>Table 3-13</w:t>
      </w:r>
      <w:r w:rsidR="002426AE">
        <w:t xml:space="preserve">. </w:t>
      </w:r>
    </w:p>
    <w:p w14:paraId="08E4E4F1" w14:textId="58AF4E0D" w:rsidR="00524F10" w:rsidRDefault="00524F10" w:rsidP="00AC69A1">
      <w:pPr>
        <w:pStyle w:val="00Bullet1"/>
        <w:numPr>
          <w:ilvl w:val="0"/>
          <w:numId w:val="51"/>
        </w:numPr>
        <w:spacing w:after="120"/>
        <w:ind w:left="360"/>
      </w:pPr>
      <w:r w:rsidRPr="00151B09">
        <w:t xml:space="preserve">For </w:t>
      </w:r>
      <w:r>
        <w:t>Criterion 4 (</w:t>
      </w:r>
      <w:r w:rsidRPr="00151B09">
        <w:t>risk of exposure</w:t>
      </w:r>
      <w:r>
        <w:t>)</w:t>
      </w:r>
      <w:r w:rsidRPr="00151B09">
        <w:t xml:space="preserve">, sites with high risk </w:t>
      </w:r>
      <w:r>
        <w:t>(sites with at least some natural characteristics) we</w:t>
      </w:r>
      <w:r w:rsidRPr="00151B09">
        <w:t xml:space="preserve">re given a </w:t>
      </w:r>
      <w:r w:rsidR="008E070A">
        <w:t>score o</w:t>
      </w:r>
      <w:r w:rsidRPr="00151B09">
        <w:t>f 1</w:t>
      </w:r>
      <w:r>
        <w:t>00</w:t>
      </w:r>
      <w:r w:rsidRPr="00151B09">
        <w:t xml:space="preserve"> and sites with low risk </w:t>
      </w:r>
      <w:r>
        <w:t xml:space="preserve">(concrete-lined, engineered sites) </w:t>
      </w:r>
      <w:r w:rsidRPr="00151B09">
        <w:t xml:space="preserve">are given a </w:t>
      </w:r>
      <w:r w:rsidR="008E070A">
        <w:t xml:space="preserve">score </w:t>
      </w:r>
      <w:r w:rsidRPr="00151B09">
        <w:t xml:space="preserve">of </w:t>
      </w:r>
      <w:r w:rsidR="008E070A">
        <w:t>zero</w:t>
      </w:r>
      <w:r w:rsidRPr="00151B09">
        <w:t xml:space="preserve">. </w:t>
      </w:r>
    </w:p>
    <w:p w14:paraId="502F94D7" w14:textId="77777777" w:rsidR="00524F10" w:rsidRDefault="00524F10" w:rsidP="00AC69A1">
      <w:pPr>
        <w:pStyle w:val="00Bullet1"/>
        <w:numPr>
          <w:ilvl w:val="0"/>
          <w:numId w:val="51"/>
        </w:numPr>
        <w:spacing w:after="120"/>
        <w:ind w:left="360"/>
      </w:pPr>
      <w:r>
        <w:t>To calculate the composite BPS for each site, w</w:t>
      </w:r>
      <w:r w:rsidRPr="00151B09">
        <w:t xml:space="preserve">eighting factors </w:t>
      </w:r>
      <w:r>
        <w:t>were applied as multipliers to each of the four criteria:</w:t>
      </w:r>
    </w:p>
    <w:p w14:paraId="4C6DEB26" w14:textId="1BCFE1B0" w:rsidR="00524F10" w:rsidRDefault="00524F10" w:rsidP="00AC69A1">
      <w:pPr>
        <w:pStyle w:val="ListBullet"/>
        <w:numPr>
          <w:ilvl w:val="0"/>
          <w:numId w:val="42"/>
        </w:numPr>
        <w:ind w:left="720"/>
      </w:pPr>
      <w:r>
        <w:t xml:space="preserve">Criterion 1: </w:t>
      </w:r>
      <w:r w:rsidR="008E070A">
        <w:t xml:space="preserve">Median </w:t>
      </w:r>
      <w:r>
        <w:t>DWF</w:t>
      </w:r>
      <w:r w:rsidRPr="00151B09">
        <w:t xml:space="preserve"> </w:t>
      </w:r>
      <w:r>
        <w:t xml:space="preserve">generation </w:t>
      </w:r>
      <w:r w:rsidRPr="00151B09">
        <w:t>rate</w:t>
      </w:r>
      <w:r>
        <w:t xml:space="preserve"> = 0.3 (30% weight)</w:t>
      </w:r>
    </w:p>
    <w:p w14:paraId="2FE2F1FD" w14:textId="52E09A67" w:rsidR="00524F10" w:rsidRDefault="00524F10" w:rsidP="00AC69A1">
      <w:pPr>
        <w:pStyle w:val="ListBullet"/>
        <w:numPr>
          <w:ilvl w:val="0"/>
          <w:numId w:val="42"/>
        </w:numPr>
        <w:ind w:left="720"/>
      </w:pPr>
      <w:r>
        <w:t xml:space="preserve">Criterion 2: </w:t>
      </w:r>
      <w:r w:rsidR="008E070A">
        <w:t xml:space="preserve">Median </w:t>
      </w:r>
      <w:r w:rsidRPr="0030701D">
        <w:rPr>
          <w:i/>
        </w:rPr>
        <w:t>E. coli</w:t>
      </w:r>
      <w:r w:rsidRPr="00151B09">
        <w:t xml:space="preserve"> </w:t>
      </w:r>
      <w:r>
        <w:t>load = 0.3 (30% weight)</w:t>
      </w:r>
    </w:p>
    <w:p w14:paraId="306A40F1" w14:textId="3FC9CEC6" w:rsidR="00524F10" w:rsidRDefault="00524F10" w:rsidP="00AC69A1">
      <w:pPr>
        <w:pStyle w:val="ListBullet"/>
        <w:numPr>
          <w:ilvl w:val="0"/>
          <w:numId w:val="42"/>
        </w:numPr>
        <w:ind w:left="720"/>
      </w:pPr>
      <w:r>
        <w:t xml:space="preserve">Criterion 3: </w:t>
      </w:r>
      <w:r w:rsidR="002426AE">
        <w:t xml:space="preserve">HF183 score </w:t>
      </w:r>
      <w:r>
        <w:t>= 0.3 (30% weight)</w:t>
      </w:r>
    </w:p>
    <w:p w14:paraId="774A22B5" w14:textId="77777777" w:rsidR="00524F10" w:rsidRDefault="00524F10" w:rsidP="00AC69A1">
      <w:pPr>
        <w:pStyle w:val="ListBullet"/>
        <w:numPr>
          <w:ilvl w:val="0"/>
          <w:numId w:val="42"/>
        </w:numPr>
        <w:spacing w:after="160"/>
        <w:ind w:left="720"/>
      </w:pPr>
      <w:r>
        <w:t>Criterion 4: R</w:t>
      </w:r>
      <w:r w:rsidRPr="00151B09">
        <w:t>isk of exposure</w:t>
      </w:r>
      <w:r>
        <w:t xml:space="preserve"> = 0.1 (10% weight)</w:t>
      </w:r>
    </w:p>
    <w:p w14:paraId="72226CB1" w14:textId="77777777" w:rsidR="00524F10" w:rsidRDefault="00524F10" w:rsidP="00524F10">
      <w:pPr>
        <w:pStyle w:val="BodyText"/>
        <w:spacing w:after="120"/>
      </w:pPr>
      <w:r w:rsidRPr="00151B09">
        <w:lastRenderedPageBreak/>
        <w:t>The composite BPS</w:t>
      </w:r>
      <w:r>
        <w:t xml:space="preserve"> for each Tier 1 site </w:t>
      </w:r>
      <w:r w:rsidRPr="00151B09">
        <w:t xml:space="preserve">is computed as </w:t>
      </w:r>
      <w:r>
        <w:t>the sum-product of the rank value of each criterion multiplied by the appropriate weighting factor (see above), e.g., BPS = [(Criteria 1 * weighting factor) + (Criteria 2 * weighting factor) + (Criteria 3 * weighting factor) + (Criteria 4 * weighting factor)]. The resulting score is rounded to the nearest whole number. For example, the BPS score for the T1-MCSD site is calculated as follows:</w:t>
      </w:r>
    </w:p>
    <w:p w14:paraId="2DB0B4B8" w14:textId="0E34BED1" w:rsidR="00524F10" w:rsidRDefault="00524F10" w:rsidP="00524F10">
      <w:pPr>
        <w:pStyle w:val="BodyText"/>
        <w:spacing w:after="120"/>
        <w:jc w:val="center"/>
      </w:pPr>
      <w:r>
        <w:t>BPS = [(</w:t>
      </w:r>
      <w:r w:rsidR="00C52234">
        <w:t>2</w:t>
      </w:r>
      <w:r w:rsidR="00E9218B">
        <w:t>5</w:t>
      </w:r>
      <w:r>
        <w:t xml:space="preserve"> * 0.3) + (</w:t>
      </w:r>
      <w:r w:rsidR="00C52234">
        <w:t>36</w:t>
      </w:r>
      <w:r>
        <w:t xml:space="preserve"> * 0.3) + (100 * 0.3) + (100 * 0.1)] = </w:t>
      </w:r>
      <w:r w:rsidR="00C52234">
        <w:t>5</w:t>
      </w:r>
      <w:r w:rsidR="00E9218B">
        <w:t>8</w:t>
      </w:r>
    </w:p>
    <w:p w14:paraId="6F11B867" w14:textId="394FDF13" w:rsidR="00524F10" w:rsidRDefault="00524F10" w:rsidP="00524F10">
      <w:pPr>
        <w:pStyle w:val="BodyText"/>
      </w:pPr>
      <w:r w:rsidRPr="00DD03B1">
        <w:rPr>
          <w:b/>
        </w:rPr>
        <w:t>Table 3-1</w:t>
      </w:r>
      <w:r w:rsidR="003060F6">
        <w:rPr>
          <w:b/>
        </w:rPr>
        <w:t>4</w:t>
      </w:r>
      <w:r>
        <w:t xml:space="preserve"> provides the normalized </w:t>
      </w:r>
      <w:r w:rsidR="00C52234">
        <w:t xml:space="preserve">criteria </w:t>
      </w:r>
      <w:r>
        <w:t xml:space="preserve">scores for each criterion for each site and the resulting composite BPS score (right hand column). </w:t>
      </w:r>
      <w:r w:rsidRPr="0066507E">
        <w:rPr>
          <w:b/>
        </w:rPr>
        <w:t>Figure 3-</w:t>
      </w:r>
      <w:r w:rsidR="0023167A">
        <w:rPr>
          <w:b/>
        </w:rPr>
        <w:t>26</w:t>
      </w:r>
      <w:r>
        <w:t xml:space="preserve"> categorizes the sites as </w:t>
      </w:r>
      <w:r w:rsidRPr="00151B09">
        <w:t>high</w:t>
      </w:r>
      <w:r>
        <w:t xml:space="preserve"> (BPS score = </w:t>
      </w:r>
      <w:r w:rsidR="00C52234">
        <w:t>55-</w:t>
      </w:r>
      <w:r>
        <w:t>100; red</w:t>
      </w:r>
      <w:r w:rsidRPr="0047697B">
        <w:t xml:space="preserve">), </w:t>
      </w:r>
      <w:r>
        <w:t>Medium</w:t>
      </w:r>
      <w:r w:rsidRPr="0047697B">
        <w:t xml:space="preserve"> (</w:t>
      </w:r>
      <w:r>
        <w:t xml:space="preserve">BPS score = </w:t>
      </w:r>
      <w:r w:rsidR="00C52234">
        <w:t>25</w:t>
      </w:r>
      <w:r>
        <w:t>-</w:t>
      </w:r>
      <w:r w:rsidR="00C52234">
        <w:t>55</w:t>
      </w:r>
      <w:r>
        <w:t xml:space="preserve">, </w:t>
      </w:r>
      <w:r w:rsidRPr="0047697B">
        <w:t xml:space="preserve">yellow) or </w:t>
      </w:r>
      <w:r>
        <w:t>L</w:t>
      </w:r>
      <w:r w:rsidRPr="0047697B">
        <w:t>ow (</w:t>
      </w:r>
      <w:r>
        <w:t>BPS score = 0-</w:t>
      </w:r>
      <w:r w:rsidR="00C52234">
        <w:t>25</w:t>
      </w:r>
      <w:r>
        <w:t xml:space="preserve">, </w:t>
      </w:r>
      <w:r w:rsidRPr="0047697B">
        <w:t>green) priority</w:t>
      </w:r>
      <w:r>
        <w:t>.</w:t>
      </w:r>
    </w:p>
    <w:tbl>
      <w:tblPr>
        <w:tblpPr w:leftFromText="180" w:rightFromText="180" w:vertAnchor="text" w:horzAnchor="margin" w:tblpY="20"/>
        <w:tblW w:w="9180" w:type="dxa"/>
        <w:tblLayout w:type="fixed"/>
        <w:tblLook w:val="04A0" w:firstRow="1" w:lastRow="0" w:firstColumn="1" w:lastColumn="0" w:noHBand="0" w:noVBand="1"/>
      </w:tblPr>
      <w:tblGrid>
        <w:gridCol w:w="1710"/>
        <w:gridCol w:w="1530"/>
        <w:gridCol w:w="1710"/>
        <w:gridCol w:w="1620"/>
        <w:gridCol w:w="1440"/>
        <w:gridCol w:w="1170"/>
      </w:tblGrid>
      <w:tr w:rsidR="009B59A3" w:rsidRPr="0066507E" w14:paraId="4B4AD2C1" w14:textId="77777777" w:rsidTr="009B59A3">
        <w:trPr>
          <w:trHeight w:val="540"/>
        </w:trPr>
        <w:tc>
          <w:tcPr>
            <w:tcW w:w="9180" w:type="dxa"/>
            <w:gridSpan w:val="6"/>
            <w:tcBorders>
              <w:left w:val="nil"/>
              <w:bottom w:val="single" w:sz="4" w:space="0" w:color="auto"/>
            </w:tcBorders>
            <w:vAlign w:val="center"/>
          </w:tcPr>
          <w:p w14:paraId="37FBA08B" w14:textId="43C8C6E6" w:rsidR="009B59A3" w:rsidRPr="0066507E" w:rsidRDefault="00D43F15" w:rsidP="00D43F15">
            <w:pPr>
              <w:pStyle w:val="Caption"/>
              <w:keepNext/>
            </w:pPr>
            <w:bookmarkStart w:id="144" w:name="_Toc217391771"/>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14</w:t>
            </w:r>
            <w:r w:rsidR="00FE614C">
              <w:fldChar w:fldCharType="end"/>
            </w:r>
            <w:r>
              <w:t>.</w:t>
            </w:r>
            <w:r w:rsidR="009B59A3" w:rsidRPr="0066507E">
              <w:t xml:space="preserve"> Relative </w:t>
            </w:r>
            <w:r w:rsidR="009B59A3">
              <w:t>Ra</w:t>
            </w:r>
            <w:r w:rsidR="009B59A3" w:rsidRPr="0066507E">
              <w:t>nk</w:t>
            </w:r>
            <w:r w:rsidR="009B59A3">
              <w:t xml:space="preserve"> R</w:t>
            </w:r>
            <w:r w:rsidR="009B59A3" w:rsidRPr="0066507E">
              <w:t xml:space="preserve">esults for each </w:t>
            </w:r>
            <w:r w:rsidR="009B59A3">
              <w:t>P</w:t>
            </w:r>
            <w:r w:rsidR="009B59A3" w:rsidRPr="0066507E">
              <w:t xml:space="preserve">rioritization </w:t>
            </w:r>
            <w:r w:rsidR="009B59A3">
              <w:t>Criterion</w:t>
            </w:r>
            <w:r w:rsidR="009B59A3" w:rsidRPr="0066507E">
              <w:t xml:space="preserve"> and </w:t>
            </w:r>
            <w:r w:rsidR="009B59A3">
              <w:t>the Final Composite Score for each Tier 1 Site</w:t>
            </w:r>
            <w:bookmarkEnd w:id="144"/>
            <w:r w:rsidR="009B59A3">
              <w:t xml:space="preserve"> </w:t>
            </w:r>
          </w:p>
        </w:tc>
      </w:tr>
      <w:tr w:rsidR="009B59A3" w:rsidRPr="000A0AFB" w14:paraId="3E3CFFAE" w14:textId="77777777" w:rsidTr="009B59A3">
        <w:trPr>
          <w:trHeight w:val="341"/>
        </w:trPr>
        <w:tc>
          <w:tcPr>
            <w:tcW w:w="171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842349" w14:textId="77777777" w:rsidR="009B59A3" w:rsidRPr="002714B2" w:rsidRDefault="009B59A3" w:rsidP="009B59A3">
            <w:pPr>
              <w:spacing w:line="240" w:lineRule="auto"/>
              <w:jc w:val="center"/>
              <w:rPr>
                <w:rFonts w:ascii="Arial" w:hAnsi="Arial" w:cs="Arial"/>
                <w:b/>
                <w:bCs/>
                <w:sz w:val="18"/>
                <w:szCs w:val="18"/>
              </w:rPr>
            </w:pPr>
            <w:r w:rsidRPr="002714B2">
              <w:rPr>
                <w:rFonts w:ascii="Arial" w:hAnsi="Arial" w:cs="Arial"/>
                <w:b/>
                <w:sz w:val="18"/>
                <w:szCs w:val="18"/>
              </w:rPr>
              <w:t>Tier 1 Site</w:t>
            </w:r>
          </w:p>
        </w:tc>
        <w:tc>
          <w:tcPr>
            <w:tcW w:w="630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4A73F2" w14:textId="77777777" w:rsidR="009B59A3" w:rsidRPr="002714B2" w:rsidRDefault="009B59A3" w:rsidP="009B59A3">
            <w:pPr>
              <w:spacing w:line="240" w:lineRule="auto"/>
              <w:jc w:val="center"/>
              <w:rPr>
                <w:rFonts w:ascii="Arial" w:hAnsi="Arial" w:cs="Arial"/>
                <w:b/>
                <w:bCs/>
                <w:sz w:val="18"/>
                <w:szCs w:val="18"/>
              </w:rPr>
            </w:pPr>
            <w:r w:rsidRPr="002714B2">
              <w:rPr>
                <w:rFonts w:ascii="Arial" w:hAnsi="Arial" w:cs="Arial"/>
                <w:b/>
                <w:sz w:val="18"/>
                <w:szCs w:val="18"/>
              </w:rPr>
              <w:t>Normalized Score (0 to 100) for Prioritization Criteria</w:t>
            </w:r>
          </w:p>
        </w:tc>
        <w:tc>
          <w:tcPr>
            <w:tcW w:w="1170"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1B4EEF3F" w14:textId="77777777" w:rsidR="009B59A3" w:rsidRPr="002714B2" w:rsidRDefault="009B59A3" w:rsidP="009B59A3">
            <w:pPr>
              <w:spacing w:line="240" w:lineRule="auto"/>
              <w:jc w:val="center"/>
              <w:rPr>
                <w:rFonts w:ascii="Arial" w:hAnsi="Arial" w:cs="Arial"/>
                <w:b/>
                <w:bCs/>
                <w:sz w:val="18"/>
                <w:szCs w:val="18"/>
              </w:rPr>
            </w:pPr>
            <w:r w:rsidRPr="002714B2">
              <w:rPr>
                <w:rFonts w:ascii="Arial" w:hAnsi="Arial" w:cs="Arial"/>
                <w:b/>
                <w:bCs/>
                <w:sz w:val="18"/>
                <w:szCs w:val="18"/>
              </w:rPr>
              <w:t>Composite BPS</w:t>
            </w:r>
          </w:p>
        </w:tc>
      </w:tr>
      <w:tr w:rsidR="009B59A3" w:rsidRPr="000A0AFB" w14:paraId="33570D9E" w14:textId="77777777" w:rsidTr="009B59A3">
        <w:trPr>
          <w:trHeight w:val="1169"/>
        </w:trPr>
        <w:tc>
          <w:tcPr>
            <w:tcW w:w="1710" w:type="dxa"/>
            <w:vMerge/>
            <w:tcBorders>
              <w:top w:val="single" w:sz="4" w:space="0" w:color="auto"/>
              <w:left w:val="single" w:sz="4" w:space="0" w:color="auto"/>
              <w:bottom w:val="single" w:sz="4" w:space="0" w:color="auto"/>
              <w:right w:val="single" w:sz="4" w:space="0" w:color="auto"/>
            </w:tcBorders>
            <w:vAlign w:val="center"/>
          </w:tcPr>
          <w:p w14:paraId="45298E1A" w14:textId="77777777" w:rsidR="009B59A3" w:rsidRPr="002714B2" w:rsidRDefault="009B59A3" w:rsidP="009B59A3">
            <w:pPr>
              <w:spacing w:line="240" w:lineRule="auto"/>
              <w:jc w:val="center"/>
              <w:rPr>
                <w:rFonts w:ascii="Arial" w:hAnsi="Arial" w:cs="Arial"/>
                <w:b/>
                <w:bCs/>
                <w:color w:val="FFFFFF" w:themeColor="background1"/>
                <w:sz w:val="18"/>
                <w:szCs w:val="18"/>
              </w:rPr>
            </w:pPr>
          </w:p>
        </w:tc>
        <w:tc>
          <w:tcPr>
            <w:tcW w:w="15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3D57C1" w14:textId="77777777" w:rsidR="009B59A3" w:rsidRPr="002714B2" w:rsidRDefault="009B59A3" w:rsidP="009B59A3">
            <w:pPr>
              <w:spacing w:after="60" w:line="240" w:lineRule="auto"/>
              <w:jc w:val="center"/>
              <w:rPr>
                <w:rFonts w:ascii="Arial" w:hAnsi="Arial" w:cs="Arial"/>
                <w:b/>
                <w:bCs/>
                <w:sz w:val="18"/>
                <w:szCs w:val="18"/>
              </w:rPr>
            </w:pPr>
            <w:r w:rsidRPr="002714B2">
              <w:rPr>
                <w:rFonts w:ascii="Arial" w:hAnsi="Arial" w:cs="Arial"/>
                <w:b/>
                <w:bCs/>
                <w:sz w:val="18"/>
                <w:szCs w:val="18"/>
              </w:rPr>
              <w:t>Criterion 1</w:t>
            </w:r>
          </w:p>
          <w:p w14:paraId="5A5C7EEC" w14:textId="77777777" w:rsidR="009B59A3" w:rsidRPr="002714B2" w:rsidRDefault="009B59A3" w:rsidP="009B59A3">
            <w:pPr>
              <w:spacing w:after="60" w:line="240" w:lineRule="auto"/>
              <w:jc w:val="center"/>
              <w:rPr>
                <w:rFonts w:ascii="Arial" w:hAnsi="Arial" w:cs="Arial"/>
                <w:b/>
                <w:bCs/>
                <w:sz w:val="18"/>
                <w:szCs w:val="18"/>
              </w:rPr>
            </w:pPr>
            <w:r w:rsidRPr="002714B2">
              <w:rPr>
                <w:rFonts w:ascii="Arial" w:hAnsi="Arial" w:cs="Arial"/>
                <w:b/>
                <w:bCs/>
                <w:sz w:val="18"/>
                <w:szCs w:val="18"/>
              </w:rPr>
              <w:t>Urban DWF (gal/acre/day)</w:t>
            </w:r>
          </w:p>
          <w:p w14:paraId="297E0E95" w14:textId="77777777" w:rsidR="009B59A3" w:rsidRPr="002714B2" w:rsidRDefault="009B59A3" w:rsidP="009B59A3">
            <w:pPr>
              <w:spacing w:line="240" w:lineRule="auto"/>
              <w:jc w:val="center"/>
              <w:rPr>
                <w:rFonts w:ascii="Arial" w:hAnsi="Arial" w:cs="Arial"/>
                <w:b/>
                <w:bCs/>
                <w:sz w:val="18"/>
                <w:szCs w:val="18"/>
              </w:rPr>
            </w:pPr>
            <w:r w:rsidRPr="002714B2">
              <w:rPr>
                <w:rFonts w:ascii="Arial" w:hAnsi="Arial" w:cs="Arial"/>
                <w:b/>
                <w:bCs/>
                <w:sz w:val="18"/>
                <w:szCs w:val="18"/>
              </w:rPr>
              <w:t>Weight = 0.3</w:t>
            </w:r>
          </w:p>
        </w:tc>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40244B7" w14:textId="77777777" w:rsidR="009B59A3" w:rsidRPr="002714B2" w:rsidRDefault="009B59A3" w:rsidP="009B59A3">
            <w:pPr>
              <w:spacing w:after="60" w:line="240" w:lineRule="auto"/>
              <w:jc w:val="center"/>
              <w:rPr>
                <w:rFonts w:ascii="Arial" w:hAnsi="Arial" w:cs="Arial"/>
                <w:b/>
                <w:bCs/>
                <w:sz w:val="18"/>
                <w:szCs w:val="18"/>
              </w:rPr>
            </w:pPr>
            <w:r w:rsidRPr="002714B2">
              <w:rPr>
                <w:rFonts w:ascii="Arial" w:hAnsi="Arial" w:cs="Arial"/>
                <w:b/>
                <w:bCs/>
                <w:sz w:val="18"/>
                <w:szCs w:val="18"/>
              </w:rPr>
              <w:t>Criterion 2</w:t>
            </w:r>
          </w:p>
          <w:p w14:paraId="46131179" w14:textId="77777777" w:rsidR="009B59A3" w:rsidRPr="002714B2" w:rsidRDefault="009B59A3" w:rsidP="009B59A3">
            <w:pPr>
              <w:spacing w:after="60" w:line="240" w:lineRule="auto"/>
              <w:jc w:val="center"/>
              <w:rPr>
                <w:rFonts w:ascii="Arial" w:hAnsi="Arial" w:cs="Arial"/>
                <w:b/>
                <w:bCs/>
                <w:sz w:val="18"/>
                <w:szCs w:val="18"/>
              </w:rPr>
            </w:pPr>
            <w:r w:rsidRPr="002714B2">
              <w:rPr>
                <w:rFonts w:ascii="Arial" w:hAnsi="Arial" w:cs="Arial"/>
                <w:b/>
                <w:bCs/>
                <w:i/>
                <w:sz w:val="18"/>
                <w:szCs w:val="18"/>
              </w:rPr>
              <w:t>E. coli</w:t>
            </w:r>
            <w:r w:rsidRPr="002714B2">
              <w:rPr>
                <w:rFonts w:ascii="Arial" w:hAnsi="Arial" w:cs="Arial"/>
                <w:b/>
                <w:bCs/>
                <w:sz w:val="18"/>
                <w:szCs w:val="18"/>
              </w:rPr>
              <w:t xml:space="preserve"> Loading (MPN/Day)</w:t>
            </w:r>
          </w:p>
          <w:p w14:paraId="6492257F" w14:textId="77777777" w:rsidR="009B59A3" w:rsidRPr="002714B2" w:rsidRDefault="009B59A3" w:rsidP="009B59A3">
            <w:pPr>
              <w:spacing w:line="240" w:lineRule="auto"/>
              <w:jc w:val="center"/>
              <w:rPr>
                <w:rFonts w:ascii="Arial" w:hAnsi="Arial" w:cs="Arial"/>
                <w:b/>
                <w:bCs/>
                <w:sz w:val="18"/>
                <w:szCs w:val="18"/>
              </w:rPr>
            </w:pPr>
            <w:r w:rsidRPr="002714B2">
              <w:rPr>
                <w:rFonts w:ascii="Arial" w:hAnsi="Arial" w:cs="Arial"/>
                <w:b/>
                <w:bCs/>
                <w:sz w:val="18"/>
                <w:szCs w:val="18"/>
              </w:rPr>
              <w:t>Weight = 0.3</w:t>
            </w:r>
          </w:p>
        </w:tc>
        <w:tc>
          <w:tcPr>
            <w:tcW w:w="1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5B57178" w14:textId="77777777" w:rsidR="009B59A3" w:rsidRPr="002714B2" w:rsidRDefault="009B59A3" w:rsidP="009B59A3">
            <w:pPr>
              <w:spacing w:after="60" w:line="240" w:lineRule="auto"/>
              <w:jc w:val="center"/>
              <w:rPr>
                <w:rFonts w:ascii="Arial" w:hAnsi="Arial" w:cs="Arial"/>
                <w:b/>
                <w:sz w:val="18"/>
                <w:szCs w:val="18"/>
                <w:lang w:val="fr-FR"/>
              </w:rPr>
            </w:pPr>
            <w:proofErr w:type="spellStart"/>
            <w:r w:rsidRPr="002714B2">
              <w:rPr>
                <w:rFonts w:ascii="Arial" w:hAnsi="Arial" w:cs="Arial"/>
                <w:b/>
                <w:sz w:val="18"/>
                <w:szCs w:val="18"/>
                <w:lang w:val="fr-FR"/>
              </w:rPr>
              <w:t>Criterion</w:t>
            </w:r>
            <w:proofErr w:type="spellEnd"/>
            <w:r w:rsidRPr="002714B2">
              <w:rPr>
                <w:rFonts w:ascii="Arial" w:hAnsi="Arial" w:cs="Arial"/>
                <w:b/>
                <w:sz w:val="18"/>
                <w:szCs w:val="18"/>
                <w:lang w:val="fr-FR"/>
              </w:rPr>
              <w:t xml:space="preserve"> 3</w:t>
            </w:r>
          </w:p>
          <w:p w14:paraId="2CCEFDDC" w14:textId="77777777" w:rsidR="009B59A3" w:rsidRPr="002714B2" w:rsidRDefault="009B59A3" w:rsidP="009B59A3">
            <w:pPr>
              <w:spacing w:after="60" w:line="240" w:lineRule="auto"/>
              <w:jc w:val="center"/>
              <w:rPr>
                <w:rFonts w:ascii="Arial" w:hAnsi="Arial" w:cs="Arial"/>
                <w:b/>
                <w:sz w:val="18"/>
                <w:szCs w:val="18"/>
                <w:lang w:val="fr-FR"/>
              </w:rPr>
            </w:pPr>
            <w:proofErr w:type="spellStart"/>
            <w:r w:rsidRPr="002714B2">
              <w:rPr>
                <w:rFonts w:ascii="Arial" w:hAnsi="Arial" w:cs="Arial"/>
                <w:b/>
                <w:i/>
                <w:sz w:val="18"/>
                <w:szCs w:val="18"/>
                <w:lang w:val="fr-FR"/>
              </w:rPr>
              <w:t>Bacteroides</w:t>
            </w:r>
            <w:proofErr w:type="spellEnd"/>
            <w:r w:rsidRPr="002714B2">
              <w:rPr>
                <w:rFonts w:ascii="Arial" w:hAnsi="Arial" w:cs="Arial"/>
                <w:b/>
                <w:sz w:val="18"/>
                <w:szCs w:val="18"/>
                <w:lang w:val="fr-FR"/>
              </w:rPr>
              <w:t xml:space="preserve"> Concentration (MPN/100mL) </w:t>
            </w:r>
          </w:p>
          <w:p w14:paraId="1BED9EAA" w14:textId="77777777" w:rsidR="009B59A3" w:rsidRPr="002714B2" w:rsidRDefault="009B59A3" w:rsidP="009B59A3">
            <w:pPr>
              <w:spacing w:line="240" w:lineRule="auto"/>
              <w:jc w:val="center"/>
              <w:rPr>
                <w:rFonts w:ascii="Arial" w:hAnsi="Arial" w:cs="Arial"/>
                <w:b/>
                <w:sz w:val="18"/>
                <w:szCs w:val="18"/>
              </w:rPr>
            </w:pPr>
            <w:r w:rsidRPr="002714B2">
              <w:rPr>
                <w:rFonts w:ascii="Arial" w:hAnsi="Arial" w:cs="Arial"/>
                <w:b/>
                <w:sz w:val="18"/>
                <w:szCs w:val="18"/>
              </w:rPr>
              <w:t>Weight = 0.3</w:t>
            </w:r>
          </w:p>
        </w:tc>
        <w:tc>
          <w:tcPr>
            <w:tcW w:w="14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ECAD03" w14:textId="77777777" w:rsidR="009B59A3" w:rsidRPr="002714B2" w:rsidRDefault="009B59A3" w:rsidP="009B59A3">
            <w:pPr>
              <w:spacing w:after="60" w:line="240" w:lineRule="auto"/>
              <w:jc w:val="center"/>
              <w:rPr>
                <w:rFonts w:ascii="Arial" w:hAnsi="Arial" w:cs="Arial"/>
                <w:b/>
                <w:sz w:val="18"/>
                <w:szCs w:val="18"/>
              </w:rPr>
            </w:pPr>
            <w:r w:rsidRPr="002714B2">
              <w:rPr>
                <w:rFonts w:ascii="Arial" w:hAnsi="Arial" w:cs="Arial"/>
                <w:b/>
                <w:sz w:val="18"/>
                <w:szCs w:val="18"/>
              </w:rPr>
              <w:t>Criterion 4</w:t>
            </w:r>
          </w:p>
          <w:p w14:paraId="63B609FB" w14:textId="77777777" w:rsidR="009B59A3" w:rsidRPr="002714B2" w:rsidRDefault="009B59A3" w:rsidP="009B59A3">
            <w:pPr>
              <w:spacing w:after="60" w:line="240" w:lineRule="auto"/>
              <w:jc w:val="center"/>
              <w:rPr>
                <w:rFonts w:ascii="Arial" w:hAnsi="Arial" w:cs="Arial"/>
                <w:b/>
                <w:sz w:val="18"/>
                <w:szCs w:val="18"/>
              </w:rPr>
            </w:pPr>
            <w:r w:rsidRPr="002714B2">
              <w:rPr>
                <w:rFonts w:ascii="Arial" w:hAnsi="Arial" w:cs="Arial"/>
                <w:b/>
                <w:sz w:val="18"/>
                <w:szCs w:val="18"/>
              </w:rPr>
              <w:t>Risk of Exposure</w:t>
            </w:r>
          </w:p>
          <w:p w14:paraId="59A9BD5F"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b/>
                <w:sz w:val="18"/>
                <w:szCs w:val="18"/>
              </w:rPr>
              <w:t>Weight = 0.1</w:t>
            </w:r>
          </w:p>
        </w:tc>
        <w:tc>
          <w:tcPr>
            <w:tcW w:w="1170" w:type="dxa"/>
            <w:vMerge/>
            <w:tcBorders>
              <w:left w:val="single" w:sz="4" w:space="0" w:color="auto"/>
              <w:bottom w:val="single" w:sz="4" w:space="0" w:color="auto"/>
              <w:right w:val="single" w:sz="4" w:space="0" w:color="auto"/>
            </w:tcBorders>
            <w:vAlign w:val="center"/>
          </w:tcPr>
          <w:p w14:paraId="5FD2C186" w14:textId="77777777" w:rsidR="009B59A3" w:rsidRPr="002714B2" w:rsidRDefault="009B59A3" w:rsidP="009B59A3">
            <w:pPr>
              <w:spacing w:line="240" w:lineRule="auto"/>
              <w:jc w:val="center"/>
              <w:rPr>
                <w:rFonts w:ascii="Arial" w:hAnsi="Arial" w:cs="Arial"/>
                <w:b/>
                <w:bCs/>
                <w:color w:val="000000"/>
                <w:sz w:val="18"/>
                <w:szCs w:val="18"/>
              </w:rPr>
            </w:pPr>
          </w:p>
        </w:tc>
      </w:tr>
      <w:tr w:rsidR="009B59A3" w:rsidRPr="000A0AFB" w14:paraId="20225DED"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2DB23B5E"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T1-MCSD</w:t>
            </w:r>
          </w:p>
        </w:tc>
        <w:tc>
          <w:tcPr>
            <w:tcW w:w="1530" w:type="dxa"/>
            <w:tcBorders>
              <w:top w:val="single" w:sz="4" w:space="0" w:color="auto"/>
              <w:left w:val="single" w:sz="4" w:space="0" w:color="auto"/>
              <w:bottom w:val="single" w:sz="4" w:space="0" w:color="auto"/>
              <w:right w:val="single" w:sz="4" w:space="0" w:color="auto"/>
            </w:tcBorders>
            <w:vAlign w:val="center"/>
          </w:tcPr>
          <w:p w14:paraId="299C5E3D"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100</w:t>
            </w:r>
          </w:p>
        </w:tc>
        <w:tc>
          <w:tcPr>
            <w:tcW w:w="1710" w:type="dxa"/>
            <w:tcBorders>
              <w:top w:val="single" w:sz="4" w:space="0" w:color="auto"/>
              <w:left w:val="nil"/>
              <w:bottom w:val="single" w:sz="4" w:space="0" w:color="auto"/>
              <w:right w:val="single" w:sz="4" w:space="0" w:color="auto"/>
            </w:tcBorders>
            <w:noWrap/>
            <w:vAlign w:val="center"/>
          </w:tcPr>
          <w:p w14:paraId="6ED822DF"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5</w:t>
            </w:r>
          </w:p>
        </w:tc>
        <w:tc>
          <w:tcPr>
            <w:tcW w:w="1620" w:type="dxa"/>
            <w:tcBorders>
              <w:top w:val="single" w:sz="4" w:space="0" w:color="auto"/>
              <w:left w:val="nil"/>
              <w:bottom w:val="single" w:sz="4" w:space="0" w:color="auto"/>
              <w:right w:val="single" w:sz="4" w:space="0" w:color="auto"/>
            </w:tcBorders>
            <w:noWrap/>
            <w:vAlign w:val="center"/>
          </w:tcPr>
          <w:p w14:paraId="74BEC79C"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100</w:t>
            </w:r>
          </w:p>
        </w:tc>
        <w:tc>
          <w:tcPr>
            <w:tcW w:w="1440" w:type="dxa"/>
            <w:tcBorders>
              <w:top w:val="single" w:sz="4" w:space="0" w:color="auto"/>
              <w:left w:val="single" w:sz="4" w:space="0" w:color="auto"/>
              <w:bottom w:val="single" w:sz="4" w:space="0" w:color="auto"/>
              <w:right w:val="single" w:sz="4" w:space="0" w:color="auto"/>
            </w:tcBorders>
            <w:vAlign w:val="center"/>
          </w:tcPr>
          <w:p w14:paraId="55FC9C96"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100</w:t>
            </w:r>
          </w:p>
        </w:tc>
        <w:tc>
          <w:tcPr>
            <w:tcW w:w="1170" w:type="dxa"/>
            <w:tcBorders>
              <w:top w:val="single" w:sz="4" w:space="0" w:color="auto"/>
              <w:left w:val="nil"/>
              <w:bottom w:val="single" w:sz="4" w:space="0" w:color="auto"/>
              <w:right w:val="single" w:sz="4" w:space="0" w:color="auto"/>
            </w:tcBorders>
            <w:vAlign w:val="center"/>
          </w:tcPr>
          <w:p w14:paraId="57101C81"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58</w:t>
            </w:r>
          </w:p>
        </w:tc>
      </w:tr>
      <w:tr w:rsidR="009B59A3" w:rsidRPr="000A0AFB" w14:paraId="606135DD"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617A1780"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T1-SNCH</w:t>
            </w:r>
          </w:p>
        </w:tc>
        <w:tc>
          <w:tcPr>
            <w:tcW w:w="1530" w:type="dxa"/>
            <w:tcBorders>
              <w:top w:val="single" w:sz="4" w:space="0" w:color="auto"/>
              <w:left w:val="single" w:sz="4" w:space="0" w:color="auto"/>
              <w:bottom w:val="single" w:sz="4" w:space="0" w:color="auto"/>
              <w:right w:val="single" w:sz="4" w:space="0" w:color="auto"/>
            </w:tcBorders>
            <w:vAlign w:val="center"/>
          </w:tcPr>
          <w:p w14:paraId="23E47181"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25</w:t>
            </w:r>
          </w:p>
        </w:tc>
        <w:tc>
          <w:tcPr>
            <w:tcW w:w="1710" w:type="dxa"/>
            <w:tcBorders>
              <w:top w:val="single" w:sz="4" w:space="0" w:color="auto"/>
              <w:left w:val="nil"/>
              <w:bottom w:val="single" w:sz="4" w:space="0" w:color="auto"/>
              <w:right w:val="single" w:sz="4" w:space="0" w:color="auto"/>
            </w:tcBorders>
            <w:noWrap/>
            <w:vAlign w:val="center"/>
          </w:tcPr>
          <w:p w14:paraId="0DE319D7"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36</w:t>
            </w:r>
          </w:p>
        </w:tc>
        <w:tc>
          <w:tcPr>
            <w:tcW w:w="1620" w:type="dxa"/>
            <w:tcBorders>
              <w:top w:val="single" w:sz="4" w:space="0" w:color="auto"/>
              <w:left w:val="nil"/>
              <w:bottom w:val="single" w:sz="4" w:space="0" w:color="auto"/>
              <w:right w:val="single" w:sz="4" w:space="0" w:color="auto"/>
            </w:tcBorders>
            <w:noWrap/>
            <w:vAlign w:val="center"/>
          </w:tcPr>
          <w:p w14:paraId="5C62F484"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50</w:t>
            </w:r>
          </w:p>
        </w:tc>
        <w:tc>
          <w:tcPr>
            <w:tcW w:w="1440" w:type="dxa"/>
            <w:tcBorders>
              <w:top w:val="single" w:sz="4" w:space="0" w:color="auto"/>
              <w:left w:val="single" w:sz="4" w:space="0" w:color="auto"/>
              <w:bottom w:val="single" w:sz="4" w:space="0" w:color="auto"/>
              <w:right w:val="single" w:sz="4" w:space="0" w:color="auto"/>
            </w:tcBorders>
            <w:vAlign w:val="center"/>
          </w:tcPr>
          <w:p w14:paraId="5B4B5A9F"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100</w:t>
            </w:r>
          </w:p>
        </w:tc>
        <w:tc>
          <w:tcPr>
            <w:tcW w:w="1170" w:type="dxa"/>
            <w:tcBorders>
              <w:top w:val="single" w:sz="4" w:space="0" w:color="auto"/>
              <w:left w:val="nil"/>
              <w:bottom w:val="single" w:sz="4" w:space="0" w:color="auto"/>
              <w:right w:val="single" w:sz="4" w:space="0" w:color="auto"/>
            </w:tcBorders>
            <w:vAlign w:val="center"/>
          </w:tcPr>
          <w:p w14:paraId="74E06A76"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57</w:t>
            </w:r>
          </w:p>
        </w:tc>
      </w:tr>
      <w:tr w:rsidR="009B59A3" w:rsidRPr="000A0AFB" w14:paraId="6A109CFC"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0C5C4903"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T1-CUCAMONGA</w:t>
            </w:r>
          </w:p>
        </w:tc>
        <w:tc>
          <w:tcPr>
            <w:tcW w:w="1530" w:type="dxa"/>
            <w:tcBorders>
              <w:top w:val="single" w:sz="4" w:space="0" w:color="auto"/>
              <w:left w:val="single" w:sz="4" w:space="0" w:color="auto"/>
              <w:bottom w:val="single" w:sz="4" w:space="0" w:color="auto"/>
              <w:right w:val="single" w:sz="4" w:space="0" w:color="auto"/>
            </w:tcBorders>
            <w:vAlign w:val="center"/>
          </w:tcPr>
          <w:p w14:paraId="4B69B6E1"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75</w:t>
            </w:r>
          </w:p>
        </w:tc>
        <w:tc>
          <w:tcPr>
            <w:tcW w:w="1710" w:type="dxa"/>
            <w:tcBorders>
              <w:top w:val="single" w:sz="4" w:space="0" w:color="auto"/>
              <w:left w:val="nil"/>
              <w:bottom w:val="single" w:sz="4" w:space="0" w:color="auto"/>
              <w:right w:val="single" w:sz="4" w:space="0" w:color="auto"/>
            </w:tcBorders>
            <w:noWrap/>
            <w:vAlign w:val="center"/>
          </w:tcPr>
          <w:p w14:paraId="3199B7D2"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100</w:t>
            </w:r>
          </w:p>
        </w:tc>
        <w:tc>
          <w:tcPr>
            <w:tcW w:w="1620" w:type="dxa"/>
            <w:tcBorders>
              <w:top w:val="single" w:sz="4" w:space="0" w:color="auto"/>
              <w:left w:val="nil"/>
              <w:bottom w:val="single" w:sz="4" w:space="0" w:color="auto"/>
              <w:right w:val="single" w:sz="4" w:space="0" w:color="auto"/>
            </w:tcBorders>
            <w:noWrap/>
            <w:vAlign w:val="center"/>
          </w:tcPr>
          <w:p w14:paraId="712DC435"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03CD2C0E"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711FBFDE" w14:textId="77777777" w:rsidR="009B59A3" w:rsidRPr="002714B2" w:rsidRDefault="009B59A3" w:rsidP="009B59A3">
            <w:pPr>
              <w:spacing w:line="240" w:lineRule="auto"/>
              <w:jc w:val="center"/>
              <w:rPr>
                <w:rFonts w:ascii="Arial" w:hAnsi="Arial" w:cs="Arial"/>
                <w:b/>
                <w:bCs/>
                <w:color w:val="000000"/>
                <w:sz w:val="18"/>
                <w:szCs w:val="18"/>
                <w:vertAlign w:val="superscript"/>
              </w:rPr>
            </w:pPr>
            <w:r w:rsidRPr="002714B2">
              <w:rPr>
                <w:rFonts w:ascii="Arial" w:hAnsi="Arial" w:cs="Arial"/>
                <w:color w:val="000000"/>
                <w:sz w:val="18"/>
                <w:szCs w:val="18"/>
              </w:rPr>
              <w:t>53</w:t>
            </w:r>
          </w:p>
        </w:tc>
      </w:tr>
      <w:tr w:rsidR="009B59A3" w:rsidRPr="000A0AFB" w14:paraId="6BF580D7"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1A635AC6"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T2-CHRIS</w:t>
            </w:r>
          </w:p>
        </w:tc>
        <w:tc>
          <w:tcPr>
            <w:tcW w:w="1530" w:type="dxa"/>
            <w:tcBorders>
              <w:top w:val="single" w:sz="4" w:space="0" w:color="auto"/>
              <w:left w:val="single" w:sz="4" w:space="0" w:color="auto"/>
              <w:bottom w:val="single" w:sz="4" w:space="0" w:color="auto"/>
              <w:right w:val="single" w:sz="4" w:space="0" w:color="auto"/>
            </w:tcBorders>
            <w:vAlign w:val="center"/>
          </w:tcPr>
          <w:p w14:paraId="709E0EA1"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88</w:t>
            </w:r>
          </w:p>
        </w:tc>
        <w:tc>
          <w:tcPr>
            <w:tcW w:w="1710" w:type="dxa"/>
            <w:tcBorders>
              <w:top w:val="single" w:sz="4" w:space="0" w:color="auto"/>
              <w:left w:val="nil"/>
              <w:bottom w:val="single" w:sz="4" w:space="0" w:color="auto"/>
              <w:right w:val="single" w:sz="4" w:space="0" w:color="auto"/>
            </w:tcBorders>
            <w:noWrap/>
            <w:vAlign w:val="center"/>
          </w:tcPr>
          <w:p w14:paraId="7AA4393C"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2</w:t>
            </w:r>
          </w:p>
        </w:tc>
        <w:tc>
          <w:tcPr>
            <w:tcW w:w="1620" w:type="dxa"/>
            <w:tcBorders>
              <w:top w:val="single" w:sz="4" w:space="0" w:color="auto"/>
              <w:left w:val="nil"/>
              <w:bottom w:val="single" w:sz="4" w:space="0" w:color="auto"/>
              <w:right w:val="single" w:sz="4" w:space="0" w:color="auto"/>
            </w:tcBorders>
            <w:noWrap/>
            <w:vAlign w:val="center"/>
          </w:tcPr>
          <w:p w14:paraId="0934B1A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45901B13"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100</w:t>
            </w:r>
          </w:p>
        </w:tc>
        <w:tc>
          <w:tcPr>
            <w:tcW w:w="1170" w:type="dxa"/>
            <w:tcBorders>
              <w:top w:val="single" w:sz="4" w:space="0" w:color="auto"/>
              <w:left w:val="nil"/>
              <w:bottom w:val="single" w:sz="4" w:space="0" w:color="auto"/>
              <w:right w:val="single" w:sz="4" w:space="0" w:color="auto"/>
            </w:tcBorders>
            <w:vAlign w:val="center"/>
          </w:tcPr>
          <w:p w14:paraId="446B85B6"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45</w:t>
            </w:r>
          </w:p>
        </w:tc>
      </w:tr>
      <w:tr w:rsidR="009B59A3" w:rsidRPr="000A0AFB" w14:paraId="6435C603"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445C9D42"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T1-ANZA</w:t>
            </w:r>
          </w:p>
        </w:tc>
        <w:tc>
          <w:tcPr>
            <w:tcW w:w="1530" w:type="dxa"/>
            <w:tcBorders>
              <w:top w:val="single" w:sz="4" w:space="0" w:color="auto"/>
              <w:left w:val="single" w:sz="4" w:space="0" w:color="auto"/>
              <w:bottom w:val="single" w:sz="4" w:space="0" w:color="auto"/>
              <w:right w:val="single" w:sz="4" w:space="0" w:color="auto"/>
            </w:tcBorders>
            <w:vAlign w:val="center"/>
          </w:tcPr>
          <w:p w14:paraId="3009CF35"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13</w:t>
            </w:r>
          </w:p>
        </w:tc>
        <w:tc>
          <w:tcPr>
            <w:tcW w:w="1710" w:type="dxa"/>
            <w:tcBorders>
              <w:top w:val="single" w:sz="4" w:space="0" w:color="auto"/>
              <w:left w:val="nil"/>
              <w:bottom w:val="single" w:sz="4" w:space="0" w:color="auto"/>
              <w:right w:val="single" w:sz="4" w:space="0" w:color="auto"/>
            </w:tcBorders>
            <w:noWrap/>
            <w:vAlign w:val="center"/>
          </w:tcPr>
          <w:p w14:paraId="035F031E"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12</w:t>
            </w:r>
          </w:p>
        </w:tc>
        <w:tc>
          <w:tcPr>
            <w:tcW w:w="1620" w:type="dxa"/>
            <w:tcBorders>
              <w:top w:val="single" w:sz="4" w:space="0" w:color="auto"/>
              <w:left w:val="nil"/>
              <w:bottom w:val="single" w:sz="4" w:space="0" w:color="auto"/>
              <w:right w:val="single" w:sz="4" w:space="0" w:color="auto"/>
            </w:tcBorders>
            <w:noWrap/>
            <w:vAlign w:val="center"/>
          </w:tcPr>
          <w:p w14:paraId="6F0747B9"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c>
          <w:tcPr>
            <w:tcW w:w="1440" w:type="dxa"/>
            <w:tcBorders>
              <w:top w:val="single" w:sz="4" w:space="0" w:color="auto"/>
              <w:left w:val="single" w:sz="4" w:space="0" w:color="auto"/>
              <w:bottom w:val="single" w:sz="4" w:space="0" w:color="auto"/>
              <w:right w:val="single" w:sz="4" w:space="0" w:color="auto"/>
            </w:tcBorders>
            <w:vAlign w:val="center"/>
          </w:tcPr>
          <w:p w14:paraId="05577C65"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100</w:t>
            </w:r>
          </w:p>
        </w:tc>
        <w:tc>
          <w:tcPr>
            <w:tcW w:w="1170" w:type="dxa"/>
            <w:tcBorders>
              <w:top w:val="single" w:sz="4" w:space="0" w:color="auto"/>
              <w:left w:val="nil"/>
              <w:bottom w:val="single" w:sz="4" w:space="0" w:color="auto"/>
              <w:right w:val="single" w:sz="4" w:space="0" w:color="auto"/>
            </w:tcBorders>
            <w:vAlign w:val="center"/>
          </w:tcPr>
          <w:p w14:paraId="084BEFA8"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44</w:t>
            </w:r>
          </w:p>
        </w:tc>
      </w:tr>
      <w:tr w:rsidR="009B59A3" w:rsidRPr="000A0AFB" w14:paraId="0069B103"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7DFA53F4"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T1-BXSP</w:t>
            </w:r>
          </w:p>
        </w:tc>
        <w:tc>
          <w:tcPr>
            <w:tcW w:w="1530" w:type="dxa"/>
            <w:tcBorders>
              <w:top w:val="single" w:sz="4" w:space="0" w:color="auto"/>
              <w:left w:val="single" w:sz="4" w:space="0" w:color="auto"/>
              <w:bottom w:val="single" w:sz="4" w:space="0" w:color="auto"/>
              <w:right w:val="single" w:sz="4" w:space="0" w:color="auto"/>
            </w:tcBorders>
            <w:vAlign w:val="center"/>
          </w:tcPr>
          <w:p w14:paraId="0773A2F1"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94</w:t>
            </w:r>
          </w:p>
        </w:tc>
        <w:tc>
          <w:tcPr>
            <w:tcW w:w="1710" w:type="dxa"/>
            <w:tcBorders>
              <w:top w:val="single" w:sz="4" w:space="0" w:color="auto"/>
              <w:left w:val="nil"/>
              <w:bottom w:val="single" w:sz="4" w:space="0" w:color="auto"/>
              <w:right w:val="single" w:sz="4" w:space="0" w:color="auto"/>
            </w:tcBorders>
            <w:noWrap/>
            <w:vAlign w:val="center"/>
          </w:tcPr>
          <w:p w14:paraId="7A3EAF38"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55</w:t>
            </w:r>
          </w:p>
        </w:tc>
        <w:tc>
          <w:tcPr>
            <w:tcW w:w="1620" w:type="dxa"/>
            <w:tcBorders>
              <w:top w:val="single" w:sz="4" w:space="0" w:color="auto"/>
              <w:left w:val="nil"/>
              <w:bottom w:val="single" w:sz="4" w:space="0" w:color="auto"/>
              <w:right w:val="single" w:sz="4" w:space="0" w:color="auto"/>
            </w:tcBorders>
            <w:noWrap/>
            <w:vAlign w:val="center"/>
          </w:tcPr>
          <w:p w14:paraId="51D4F5F9"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75</w:t>
            </w:r>
          </w:p>
        </w:tc>
        <w:tc>
          <w:tcPr>
            <w:tcW w:w="1440" w:type="dxa"/>
            <w:tcBorders>
              <w:top w:val="single" w:sz="4" w:space="0" w:color="auto"/>
              <w:left w:val="single" w:sz="4" w:space="0" w:color="auto"/>
              <w:bottom w:val="single" w:sz="4" w:space="0" w:color="auto"/>
              <w:right w:val="single" w:sz="4" w:space="0" w:color="auto"/>
            </w:tcBorders>
            <w:vAlign w:val="center"/>
          </w:tcPr>
          <w:p w14:paraId="71ED2A65"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328055D6"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40</w:t>
            </w:r>
          </w:p>
        </w:tc>
      </w:tr>
      <w:tr w:rsidR="009B59A3" w:rsidRPr="000A0AFB" w14:paraId="48F9BB24"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71B87164"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T1-EVLD</w:t>
            </w:r>
          </w:p>
        </w:tc>
        <w:tc>
          <w:tcPr>
            <w:tcW w:w="1530" w:type="dxa"/>
            <w:tcBorders>
              <w:top w:val="single" w:sz="4" w:space="0" w:color="auto"/>
              <w:left w:val="single" w:sz="4" w:space="0" w:color="auto"/>
              <w:bottom w:val="single" w:sz="4" w:space="0" w:color="auto"/>
              <w:right w:val="single" w:sz="4" w:space="0" w:color="auto"/>
            </w:tcBorders>
            <w:vAlign w:val="center"/>
          </w:tcPr>
          <w:p w14:paraId="4BE2F719"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63</w:t>
            </w:r>
          </w:p>
        </w:tc>
        <w:tc>
          <w:tcPr>
            <w:tcW w:w="1710" w:type="dxa"/>
            <w:tcBorders>
              <w:top w:val="single" w:sz="4" w:space="0" w:color="auto"/>
              <w:left w:val="nil"/>
              <w:bottom w:val="single" w:sz="4" w:space="0" w:color="auto"/>
              <w:right w:val="single" w:sz="4" w:space="0" w:color="auto"/>
            </w:tcBorders>
            <w:noWrap/>
            <w:vAlign w:val="center"/>
          </w:tcPr>
          <w:p w14:paraId="5D2E665A"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46</w:t>
            </w:r>
          </w:p>
        </w:tc>
        <w:tc>
          <w:tcPr>
            <w:tcW w:w="1620" w:type="dxa"/>
            <w:tcBorders>
              <w:top w:val="single" w:sz="4" w:space="0" w:color="auto"/>
              <w:left w:val="nil"/>
              <w:bottom w:val="single" w:sz="4" w:space="0" w:color="auto"/>
              <w:right w:val="single" w:sz="4" w:space="0" w:color="auto"/>
            </w:tcBorders>
            <w:noWrap/>
            <w:vAlign w:val="center"/>
          </w:tcPr>
          <w:p w14:paraId="5819769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63E76E46"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407E5117"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33</w:t>
            </w:r>
          </w:p>
        </w:tc>
      </w:tr>
      <w:tr w:rsidR="009B59A3" w:rsidRPr="000A0AFB" w14:paraId="212A5C83" w14:textId="77777777" w:rsidTr="009B59A3">
        <w:trPr>
          <w:trHeight w:val="333"/>
        </w:trPr>
        <w:tc>
          <w:tcPr>
            <w:tcW w:w="1710" w:type="dxa"/>
            <w:tcBorders>
              <w:top w:val="single" w:sz="4" w:space="0" w:color="auto"/>
              <w:left w:val="single" w:sz="4" w:space="0" w:color="auto"/>
              <w:bottom w:val="single" w:sz="4" w:space="0" w:color="auto"/>
              <w:right w:val="single" w:sz="4" w:space="0" w:color="auto"/>
            </w:tcBorders>
            <w:vAlign w:val="center"/>
          </w:tcPr>
          <w:p w14:paraId="2F8D417A" w14:textId="77777777" w:rsidR="009B59A3" w:rsidRPr="002714B2" w:rsidRDefault="009B59A3" w:rsidP="009B59A3">
            <w:pPr>
              <w:spacing w:line="240" w:lineRule="auto"/>
              <w:rPr>
                <w:rFonts w:ascii="Arial" w:hAnsi="Arial" w:cs="Arial"/>
                <w:b/>
                <w:bCs/>
                <w:color w:val="000000"/>
                <w:sz w:val="18"/>
                <w:szCs w:val="18"/>
              </w:rPr>
            </w:pPr>
            <w:r w:rsidRPr="002714B2">
              <w:rPr>
                <w:rFonts w:ascii="Arial" w:hAnsi="Arial" w:cs="Arial"/>
                <w:color w:val="000000"/>
                <w:sz w:val="18"/>
                <w:szCs w:val="18"/>
              </w:rPr>
              <w:t>T1-SSCH</w:t>
            </w:r>
          </w:p>
        </w:tc>
        <w:tc>
          <w:tcPr>
            <w:tcW w:w="1530" w:type="dxa"/>
            <w:tcBorders>
              <w:top w:val="single" w:sz="4" w:space="0" w:color="auto"/>
              <w:left w:val="single" w:sz="4" w:space="0" w:color="auto"/>
              <w:bottom w:val="single" w:sz="4" w:space="0" w:color="auto"/>
              <w:right w:val="single" w:sz="4" w:space="0" w:color="auto"/>
            </w:tcBorders>
            <w:vAlign w:val="center"/>
          </w:tcPr>
          <w:p w14:paraId="5915A04A"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6</w:t>
            </w:r>
          </w:p>
        </w:tc>
        <w:tc>
          <w:tcPr>
            <w:tcW w:w="1710" w:type="dxa"/>
            <w:tcBorders>
              <w:top w:val="single" w:sz="4" w:space="0" w:color="auto"/>
              <w:left w:val="nil"/>
              <w:bottom w:val="single" w:sz="4" w:space="0" w:color="auto"/>
              <w:right w:val="single" w:sz="4" w:space="0" w:color="auto"/>
            </w:tcBorders>
            <w:noWrap/>
            <w:vAlign w:val="center"/>
          </w:tcPr>
          <w:p w14:paraId="2DB30EDA"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0</w:t>
            </w:r>
          </w:p>
        </w:tc>
        <w:tc>
          <w:tcPr>
            <w:tcW w:w="1620" w:type="dxa"/>
            <w:tcBorders>
              <w:top w:val="single" w:sz="4" w:space="0" w:color="auto"/>
              <w:left w:val="nil"/>
              <w:bottom w:val="single" w:sz="4" w:space="0" w:color="auto"/>
              <w:right w:val="single" w:sz="4" w:space="0" w:color="auto"/>
            </w:tcBorders>
            <w:noWrap/>
            <w:vAlign w:val="center"/>
          </w:tcPr>
          <w:p w14:paraId="494D7E1D"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c>
          <w:tcPr>
            <w:tcW w:w="1440" w:type="dxa"/>
            <w:tcBorders>
              <w:top w:val="single" w:sz="4" w:space="0" w:color="auto"/>
              <w:left w:val="single" w:sz="4" w:space="0" w:color="auto"/>
              <w:bottom w:val="single" w:sz="4" w:space="0" w:color="auto"/>
              <w:right w:val="single" w:sz="4" w:space="0" w:color="auto"/>
            </w:tcBorders>
            <w:vAlign w:val="center"/>
          </w:tcPr>
          <w:p w14:paraId="3CEBEBDD"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41C44225" w14:textId="77777777" w:rsidR="009B59A3" w:rsidRPr="002714B2" w:rsidRDefault="009B59A3" w:rsidP="009B59A3">
            <w:pPr>
              <w:spacing w:line="240" w:lineRule="auto"/>
              <w:jc w:val="center"/>
              <w:rPr>
                <w:rFonts w:ascii="Arial" w:hAnsi="Arial" w:cs="Arial"/>
                <w:b/>
                <w:bCs/>
                <w:color w:val="000000"/>
                <w:sz w:val="18"/>
                <w:szCs w:val="18"/>
              </w:rPr>
            </w:pPr>
            <w:r w:rsidRPr="002714B2">
              <w:rPr>
                <w:rFonts w:ascii="Arial" w:hAnsi="Arial" w:cs="Arial"/>
                <w:color w:val="000000"/>
                <w:sz w:val="18"/>
                <w:szCs w:val="18"/>
              </w:rPr>
              <w:t>27</w:t>
            </w:r>
          </w:p>
        </w:tc>
      </w:tr>
      <w:tr w:rsidR="009B59A3" w:rsidRPr="000A0AFB" w14:paraId="788D3827"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712BC39C"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T1-CHINOCRK</w:t>
            </w:r>
          </w:p>
        </w:tc>
        <w:tc>
          <w:tcPr>
            <w:tcW w:w="1530" w:type="dxa"/>
            <w:tcBorders>
              <w:top w:val="single" w:sz="4" w:space="0" w:color="auto"/>
              <w:left w:val="single" w:sz="4" w:space="0" w:color="auto"/>
              <w:bottom w:val="single" w:sz="4" w:space="0" w:color="auto"/>
              <w:right w:val="single" w:sz="4" w:space="0" w:color="auto"/>
            </w:tcBorders>
            <w:noWrap/>
            <w:vAlign w:val="center"/>
          </w:tcPr>
          <w:p w14:paraId="36FC3674"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38</w:t>
            </w:r>
          </w:p>
        </w:tc>
        <w:tc>
          <w:tcPr>
            <w:tcW w:w="1710" w:type="dxa"/>
            <w:tcBorders>
              <w:top w:val="single" w:sz="4" w:space="0" w:color="auto"/>
              <w:left w:val="single" w:sz="4" w:space="0" w:color="auto"/>
              <w:bottom w:val="single" w:sz="4" w:space="0" w:color="auto"/>
              <w:right w:val="single" w:sz="4" w:space="0" w:color="auto"/>
            </w:tcBorders>
            <w:noWrap/>
            <w:vAlign w:val="center"/>
          </w:tcPr>
          <w:p w14:paraId="04C1C082"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4</w:t>
            </w:r>
          </w:p>
        </w:tc>
        <w:tc>
          <w:tcPr>
            <w:tcW w:w="1620" w:type="dxa"/>
            <w:tcBorders>
              <w:top w:val="single" w:sz="4" w:space="0" w:color="auto"/>
              <w:left w:val="nil"/>
              <w:bottom w:val="single" w:sz="4" w:space="0" w:color="auto"/>
              <w:right w:val="nil"/>
            </w:tcBorders>
            <w:noWrap/>
            <w:vAlign w:val="center"/>
          </w:tcPr>
          <w:p w14:paraId="1802EFD4"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43B75F1F"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6CC9108F"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26</w:t>
            </w:r>
          </w:p>
        </w:tc>
      </w:tr>
      <w:tr w:rsidR="009B59A3" w:rsidRPr="000A0AFB" w14:paraId="69A8531D"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5CB03A42"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T1-CCCH</w:t>
            </w:r>
          </w:p>
        </w:tc>
        <w:tc>
          <w:tcPr>
            <w:tcW w:w="1530" w:type="dxa"/>
            <w:tcBorders>
              <w:top w:val="single" w:sz="4" w:space="0" w:color="auto"/>
              <w:left w:val="single" w:sz="4" w:space="0" w:color="auto"/>
              <w:bottom w:val="single" w:sz="4" w:space="0" w:color="auto"/>
              <w:right w:val="single" w:sz="4" w:space="0" w:color="auto"/>
            </w:tcBorders>
            <w:noWrap/>
            <w:vAlign w:val="center"/>
          </w:tcPr>
          <w:p w14:paraId="6FB7ED2F"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69</w:t>
            </w:r>
          </w:p>
        </w:tc>
        <w:tc>
          <w:tcPr>
            <w:tcW w:w="1710" w:type="dxa"/>
            <w:tcBorders>
              <w:top w:val="single" w:sz="4" w:space="0" w:color="auto"/>
              <w:left w:val="single" w:sz="4" w:space="0" w:color="auto"/>
              <w:bottom w:val="single" w:sz="4" w:space="0" w:color="auto"/>
              <w:right w:val="single" w:sz="4" w:space="0" w:color="auto"/>
            </w:tcBorders>
            <w:noWrap/>
            <w:vAlign w:val="center"/>
          </w:tcPr>
          <w:p w14:paraId="7E1323E6"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18</w:t>
            </w:r>
          </w:p>
        </w:tc>
        <w:tc>
          <w:tcPr>
            <w:tcW w:w="1620" w:type="dxa"/>
            <w:tcBorders>
              <w:top w:val="single" w:sz="4" w:space="0" w:color="auto"/>
              <w:left w:val="nil"/>
              <w:bottom w:val="single" w:sz="4" w:space="0" w:color="auto"/>
              <w:right w:val="nil"/>
            </w:tcBorders>
            <w:noWrap/>
            <w:vAlign w:val="center"/>
          </w:tcPr>
          <w:p w14:paraId="3F552A43"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414321FC"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477B8BA0"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r>
      <w:tr w:rsidR="009B59A3" w:rsidRPr="000A0AFB" w14:paraId="1D9965E3"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79895F24"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T2-CLCH</w:t>
            </w:r>
          </w:p>
        </w:tc>
        <w:tc>
          <w:tcPr>
            <w:tcW w:w="1530" w:type="dxa"/>
            <w:tcBorders>
              <w:top w:val="single" w:sz="4" w:space="0" w:color="auto"/>
              <w:left w:val="single" w:sz="4" w:space="0" w:color="auto"/>
              <w:bottom w:val="single" w:sz="4" w:space="0" w:color="auto"/>
              <w:right w:val="single" w:sz="4" w:space="0" w:color="auto"/>
            </w:tcBorders>
            <w:noWrap/>
            <w:vAlign w:val="center"/>
          </w:tcPr>
          <w:p w14:paraId="2613DF9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31</w:t>
            </w:r>
          </w:p>
        </w:tc>
        <w:tc>
          <w:tcPr>
            <w:tcW w:w="1710" w:type="dxa"/>
            <w:tcBorders>
              <w:top w:val="single" w:sz="4" w:space="0" w:color="auto"/>
              <w:left w:val="single" w:sz="4" w:space="0" w:color="auto"/>
              <w:bottom w:val="single" w:sz="4" w:space="0" w:color="auto"/>
              <w:right w:val="single" w:sz="4" w:space="0" w:color="auto"/>
            </w:tcBorders>
            <w:noWrap/>
            <w:vAlign w:val="center"/>
          </w:tcPr>
          <w:p w14:paraId="637572E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4</w:t>
            </w:r>
          </w:p>
        </w:tc>
        <w:tc>
          <w:tcPr>
            <w:tcW w:w="1620" w:type="dxa"/>
            <w:tcBorders>
              <w:top w:val="single" w:sz="4" w:space="0" w:color="auto"/>
              <w:left w:val="nil"/>
              <w:bottom w:val="single" w:sz="4" w:space="0" w:color="auto"/>
              <w:right w:val="nil"/>
            </w:tcBorders>
            <w:noWrap/>
            <w:vAlign w:val="center"/>
          </w:tcPr>
          <w:p w14:paraId="2BC5F9F6"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c>
          <w:tcPr>
            <w:tcW w:w="1440" w:type="dxa"/>
            <w:tcBorders>
              <w:top w:val="single" w:sz="4" w:space="0" w:color="auto"/>
              <w:left w:val="single" w:sz="4" w:space="0" w:color="auto"/>
              <w:bottom w:val="single" w:sz="4" w:space="0" w:color="auto"/>
              <w:right w:val="single" w:sz="4" w:space="0" w:color="auto"/>
            </w:tcBorders>
            <w:vAlign w:val="center"/>
          </w:tcPr>
          <w:p w14:paraId="65131760"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2874A2E1"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20</w:t>
            </w:r>
          </w:p>
        </w:tc>
      </w:tr>
      <w:tr w:rsidR="009B59A3" w:rsidRPr="000A0AFB" w14:paraId="55115664"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20E66845"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T1-BRSC</w:t>
            </w:r>
          </w:p>
        </w:tc>
        <w:tc>
          <w:tcPr>
            <w:tcW w:w="1530" w:type="dxa"/>
            <w:tcBorders>
              <w:top w:val="single" w:sz="4" w:space="0" w:color="auto"/>
              <w:left w:val="single" w:sz="4" w:space="0" w:color="auto"/>
              <w:bottom w:val="single" w:sz="4" w:space="0" w:color="auto"/>
              <w:right w:val="single" w:sz="4" w:space="0" w:color="auto"/>
            </w:tcBorders>
            <w:noWrap/>
            <w:vAlign w:val="center"/>
          </w:tcPr>
          <w:p w14:paraId="423AD863"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81</w:t>
            </w:r>
          </w:p>
        </w:tc>
        <w:tc>
          <w:tcPr>
            <w:tcW w:w="1710" w:type="dxa"/>
            <w:tcBorders>
              <w:top w:val="single" w:sz="4" w:space="0" w:color="auto"/>
              <w:left w:val="single" w:sz="4" w:space="0" w:color="auto"/>
              <w:bottom w:val="single" w:sz="4" w:space="0" w:color="auto"/>
              <w:right w:val="single" w:sz="4" w:space="0" w:color="auto"/>
            </w:tcBorders>
            <w:noWrap/>
            <w:vAlign w:val="center"/>
          </w:tcPr>
          <w:p w14:paraId="668C2614"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w:t>
            </w:r>
          </w:p>
        </w:tc>
        <w:tc>
          <w:tcPr>
            <w:tcW w:w="1620" w:type="dxa"/>
            <w:tcBorders>
              <w:top w:val="single" w:sz="4" w:space="0" w:color="auto"/>
              <w:left w:val="nil"/>
              <w:bottom w:val="single" w:sz="4" w:space="0" w:color="auto"/>
              <w:right w:val="nil"/>
            </w:tcBorders>
            <w:noWrap/>
            <w:vAlign w:val="center"/>
          </w:tcPr>
          <w:p w14:paraId="299DBE7C"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c>
          <w:tcPr>
            <w:tcW w:w="1440" w:type="dxa"/>
            <w:tcBorders>
              <w:top w:val="single" w:sz="4" w:space="0" w:color="auto"/>
              <w:left w:val="single" w:sz="4" w:space="0" w:color="auto"/>
              <w:bottom w:val="single" w:sz="4" w:space="0" w:color="auto"/>
              <w:right w:val="single" w:sz="4" w:space="0" w:color="auto"/>
            </w:tcBorders>
            <w:vAlign w:val="center"/>
          </w:tcPr>
          <w:p w14:paraId="23A16022"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00F1BDF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18</w:t>
            </w:r>
          </w:p>
        </w:tc>
      </w:tr>
      <w:tr w:rsidR="009B59A3" w:rsidRPr="000A0AFB" w14:paraId="24A5EC84"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152C13DF"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T1-DAY</w:t>
            </w:r>
          </w:p>
        </w:tc>
        <w:tc>
          <w:tcPr>
            <w:tcW w:w="1530" w:type="dxa"/>
            <w:tcBorders>
              <w:top w:val="single" w:sz="4" w:space="0" w:color="auto"/>
              <w:left w:val="single" w:sz="4" w:space="0" w:color="auto"/>
              <w:bottom w:val="single" w:sz="4" w:space="0" w:color="auto"/>
              <w:right w:val="single" w:sz="4" w:space="0" w:color="auto"/>
            </w:tcBorders>
            <w:noWrap/>
            <w:vAlign w:val="center"/>
          </w:tcPr>
          <w:p w14:paraId="57031346"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56</w:t>
            </w:r>
          </w:p>
        </w:tc>
        <w:tc>
          <w:tcPr>
            <w:tcW w:w="1710" w:type="dxa"/>
            <w:tcBorders>
              <w:top w:val="single" w:sz="4" w:space="0" w:color="auto"/>
              <w:left w:val="single" w:sz="4" w:space="0" w:color="auto"/>
              <w:bottom w:val="single" w:sz="4" w:space="0" w:color="auto"/>
              <w:right w:val="single" w:sz="4" w:space="0" w:color="auto"/>
            </w:tcBorders>
            <w:noWrap/>
            <w:vAlign w:val="center"/>
          </w:tcPr>
          <w:p w14:paraId="2C07464A"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8</w:t>
            </w:r>
          </w:p>
        </w:tc>
        <w:tc>
          <w:tcPr>
            <w:tcW w:w="1620" w:type="dxa"/>
            <w:tcBorders>
              <w:top w:val="single" w:sz="4" w:space="0" w:color="auto"/>
              <w:left w:val="nil"/>
              <w:bottom w:val="single" w:sz="4" w:space="0" w:color="auto"/>
              <w:right w:val="nil"/>
            </w:tcBorders>
            <w:noWrap/>
            <w:vAlign w:val="center"/>
          </w:tcPr>
          <w:p w14:paraId="2E2040E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2666A45A"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4ABBE0A5"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16</w:t>
            </w:r>
          </w:p>
        </w:tc>
      </w:tr>
      <w:tr w:rsidR="009B59A3" w:rsidRPr="000A0AFB" w14:paraId="0CDA3F25"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0C6F3DE0"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T1-EVLE</w:t>
            </w:r>
          </w:p>
        </w:tc>
        <w:tc>
          <w:tcPr>
            <w:tcW w:w="1530" w:type="dxa"/>
            <w:tcBorders>
              <w:top w:val="single" w:sz="4" w:space="0" w:color="auto"/>
              <w:left w:val="single" w:sz="4" w:space="0" w:color="auto"/>
              <w:bottom w:val="single" w:sz="4" w:space="0" w:color="auto"/>
              <w:right w:val="single" w:sz="4" w:space="0" w:color="auto"/>
            </w:tcBorders>
            <w:noWrap/>
            <w:vAlign w:val="center"/>
          </w:tcPr>
          <w:p w14:paraId="22A57D83"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50</w:t>
            </w:r>
          </w:p>
        </w:tc>
        <w:tc>
          <w:tcPr>
            <w:tcW w:w="1710" w:type="dxa"/>
            <w:tcBorders>
              <w:top w:val="single" w:sz="4" w:space="0" w:color="auto"/>
              <w:left w:val="single" w:sz="4" w:space="0" w:color="auto"/>
              <w:bottom w:val="single" w:sz="4" w:space="0" w:color="auto"/>
              <w:right w:val="single" w:sz="4" w:space="0" w:color="auto"/>
            </w:tcBorders>
            <w:noWrap/>
            <w:vAlign w:val="center"/>
          </w:tcPr>
          <w:p w14:paraId="41CCDAD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w:t>
            </w:r>
          </w:p>
        </w:tc>
        <w:tc>
          <w:tcPr>
            <w:tcW w:w="1620" w:type="dxa"/>
            <w:tcBorders>
              <w:top w:val="single" w:sz="4" w:space="0" w:color="auto"/>
              <w:left w:val="nil"/>
              <w:bottom w:val="single" w:sz="4" w:space="0" w:color="auto"/>
              <w:right w:val="nil"/>
            </w:tcBorders>
            <w:noWrap/>
            <w:vAlign w:val="center"/>
          </w:tcPr>
          <w:p w14:paraId="6AF4322F"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35362B3D"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7A2587DE"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16</w:t>
            </w:r>
          </w:p>
        </w:tc>
      </w:tr>
      <w:tr w:rsidR="009B59A3" w:rsidRPr="000A0AFB" w14:paraId="3AD55E70"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2BB52CB5"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T2-HWY60</w:t>
            </w:r>
          </w:p>
        </w:tc>
        <w:tc>
          <w:tcPr>
            <w:tcW w:w="1530" w:type="dxa"/>
            <w:tcBorders>
              <w:top w:val="single" w:sz="4" w:space="0" w:color="auto"/>
              <w:left w:val="single" w:sz="4" w:space="0" w:color="auto"/>
              <w:bottom w:val="single" w:sz="4" w:space="0" w:color="auto"/>
              <w:right w:val="single" w:sz="4" w:space="0" w:color="auto"/>
            </w:tcBorders>
            <w:noWrap/>
            <w:vAlign w:val="center"/>
          </w:tcPr>
          <w:p w14:paraId="6080F36B"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19</w:t>
            </w:r>
          </w:p>
        </w:tc>
        <w:tc>
          <w:tcPr>
            <w:tcW w:w="1710" w:type="dxa"/>
            <w:tcBorders>
              <w:top w:val="single" w:sz="4" w:space="0" w:color="auto"/>
              <w:left w:val="single" w:sz="4" w:space="0" w:color="auto"/>
              <w:bottom w:val="single" w:sz="4" w:space="0" w:color="auto"/>
              <w:right w:val="single" w:sz="4" w:space="0" w:color="auto"/>
            </w:tcBorders>
            <w:noWrap/>
            <w:vAlign w:val="center"/>
          </w:tcPr>
          <w:p w14:paraId="4E073DA4"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w:t>
            </w:r>
          </w:p>
        </w:tc>
        <w:tc>
          <w:tcPr>
            <w:tcW w:w="1620" w:type="dxa"/>
            <w:tcBorders>
              <w:top w:val="single" w:sz="4" w:space="0" w:color="auto"/>
              <w:left w:val="nil"/>
              <w:bottom w:val="single" w:sz="4" w:space="0" w:color="auto"/>
              <w:right w:val="nil"/>
            </w:tcBorders>
            <w:noWrap/>
            <w:vAlign w:val="center"/>
          </w:tcPr>
          <w:p w14:paraId="06D49A64"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2533B1B1"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100</w:t>
            </w:r>
          </w:p>
        </w:tc>
        <w:tc>
          <w:tcPr>
            <w:tcW w:w="1170" w:type="dxa"/>
            <w:tcBorders>
              <w:top w:val="single" w:sz="4" w:space="0" w:color="auto"/>
              <w:left w:val="nil"/>
              <w:bottom w:val="single" w:sz="4" w:space="0" w:color="auto"/>
              <w:right w:val="single" w:sz="4" w:space="0" w:color="auto"/>
            </w:tcBorders>
            <w:vAlign w:val="center"/>
          </w:tcPr>
          <w:p w14:paraId="4B34921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14</w:t>
            </w:r>
          </w:p>
        </w:tc>
      </w:tr>
      <w:tr w:rsidR="009B59A3" w:rsidRPr="000A0AFB" w14:paraId="4D0C64F0"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2694BF9D"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T1-SACH</w:t>
            </w:r>
          </w:p>
        </w:tc>
        <w:tc>
          <w:tcPr>
            <w:tcW w:w="1530" w:type="dxa"/>
            <w:tcBorders>
              <w:top w:val="single" w:sz="4" w:space="0" w:color="auto"/>
              <w:left w:val="single" w:sz="4" w:space="0" w:color="auto"/>
              <w:bottom w:val="single" w:sz="4" w:space="0" w:color="auto"/>
              <w:right w:val="single" w:sz="4" w:space="0" w:color="auto"/>
            </w:tcBorders>
            <w:noWrap/>
            <w:vAlign w:val="center"/>
          </w:tcPr>
          <w:p w14:paraId="3387A41B"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710" w:type="dxa"/>
            <w:tcBorders>
              <w:top w:val="single" w:sz="4" w:space="0" w:color="auto"/>
              <w:left w:val="single" w:sz="4" w:space="0" w:color="auto"/>
              <w:bottom w:val="single" w:sz="4" w:space="0" w:color="auto"/>
              <w:right w:val="single" w:sz="4" w:space="0" w:color="auto"/>
            </w:tcBorders>
            <w:noWrap/>
            <w:vAlign w:val="center"/>
          </w:tcPr>
          <w:p w14:paraId="75AF70E1"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620" w:type="dxa"/>
            <w:tcBorders>
              <w:top w:val="single" w:sz="4" w:space="0" w:color="auto"/>
              <w:left w:val="nil"/>
              <w:bottom w:val="single" w:sz="4" w:space="0" w:color="auto"/>
              <w:right w:val="nil"/>
            </w:tcBorders>
            <w:noWrap/>
            <w:vAlign w:val="center"/>
          </w:tcPr>
          <w:p w14:paraId="668A561B"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c>
          <w:tcPr>
            <w:tcW w:w="1440" w:type="dxa"/>
            <w:tcBorders>
              <w:top w:val="single" w:sz="4" w:space="0" w:color="auto"/>
              <w:left w:val="single" w:sz="4" w:space="0" w:color="auto"/>
              <w:bottom w:val="single" w:sz="4" w:space="0" w:color="auto"/>
              <w:right w:val="single" w:sz="4" w:space="0" w:color="auto"/>
            </w:tcBorders>
            <w:vAlign w:val="center"/>
          </w:tcPr>
          <w:p w14:paraId="64163913"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439883FD"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9</w:t>
            </w:r>
          </w:p>
        </w:tc>
      </w:tr>
      <w:tr w:rsidR="009B59A3" w:rsidRPr="000A0AFB" w14:paraId="0635E446"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6F8937D5"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T1-LLSC</w:t>
            </w:r>
          </w:p>
        </w:tc>
        <w:tc>
          <w:tcPr>
            <w:tcW w:w="1530" w:type="dxa"/>
            <w:tcBorders>
              <w:top w:val="single" w:sz="4" w:space="0" w:color="auto"/>
              <w:left w:val="single" w:sz="4" w:space="0" w:color="auto"/>
              <w:bottom w:val="single" w:sz="4" w:space="0" w:color="auto"/>
              <w:right w:val="single" w:sz="4" w:space="0" w:color="auto"/>
            </w:tcBorders>
            <w:noWrap/>
            <w:vAlign w:val="center"/>
          </w:tcPr>
          <w:p w14:paraId="7E2FCEC0"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44</w:t>
            </w:r>
          </w:p>
        </w:tc>
        <w:tc>
          <w:tcPr>
            <w:tcW w:w="1710" w:type="dxa"/>
            <w:tcBorders>
              <w:top w:val="single" w:sz="4" w:space="0" w:color="auto"/>
              <w:left w:val="single" w:sz="4" w:space="0" w:color="auto"/>
              <w:bottom w:val="single" w:sz="4" w:space="0" w:color="auto"/>
              <w:right w:val="single" w:sz="4" w:space="0" w:color="auto"/>
            </w:tcBorders>
            <w:noWrap/>
            <w:vAlign w:val="center"/>
          </w:tcPr>
          <w:p w14:paraId="0B1B9D01"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3</w:t>
            </w:r>
          </w:p>
        </w:tc>
        <w:tc>
          <w:tcPr>
            <w:tcW w:w="1620" w:type="dxa"/>
            <w:tcBorders>
              <w:top w:val="single" w:sz="4" w:space="0" w:color="auto"/>
              <w:left w:val="nil"/>
              <w:bottom w:val="single" w:sz="4" w:space="0" w:color="auto"/>
              <w:right w:val="nil"/>
            </w:tcBorders>
            <w:noWrap/>
            <w:vAlign w:val="center"/>
          </w:tcPr>
          <w:p w14:paraId="3D62EF94"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25</w:t>
            </w:r>
          </w:p>
        </w:tc>
        <w:tc>
          <w:tcPr>
            <w:tcW w:w="1440" w:type="dxa"/>
            <w:tcBorders>
              <w:top w:val="single" w:sz="4" w:space="0" w:color="auto"/>
              <w:left w:val="single" w:sz="4" w:space="0" w:color="auto"/>
              <w:bottom w:val="single" w:sz="4" w:space="0" w:color="auto"/>
              <w:right w:val="single" w:sz="4" w:space="0" w:color="auto"/>
            </w:tcBorders>
            <w:vAlign w:val="center"/>
          </w:tcPr>
          <w:p w14:paraId="178DCDCB"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361CB419"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8</w:t>
            </w:r>
          </w:p>
        </w:tc>
      </w:tr>
      <w:tr w:rsidR="009B59A3" w:rsidRPr="000A0AFB" w14:paraId="2CD258D9" w14:textId="77777777" w:rsidTr="009B59A3">
        <w:trPr>
          <w:trHeight w:val="333"/>
        </w:trPr>
        <w:tc>
          <w:tcPr>
            <w:tcW w:w="1710" w:type="dxa"/>
            <w:tcBorders>
              <w:top w:val="single" w:sz="4" w:space="0" w:color="auto"/>
              <w:left w:val="single" w:sz="4" w:space="0" w:color="auto"/>
              <w:bottom w:val="single" w:sz="4" w:space="0" w:color="auto"/>
              <w:right w:val="nil"/>
            </w:tcBorders>
            <w:vAlign w:val="center"/>
          </w:tcPr>
          <w:p w14:paraId="5C8305F4" w14:textId="77777777" w:rsidR="009B59A3" w:rsidRPr="002714B2" w:rsidRDefault="009B59A3" w:rsidP="009B59A3">
            <w:pPr>
              <w:spacing w:line="240" w:lineRule="auto"/>
              <w:rPr>
                <w:rFonts w:ascii="Arial" w:hAnsi="Arial" w:cs="Arial"/>
                <w:color w:val="000000"/>
                <w:sz w:val="18"/>
                <w:szCs w:val="18"/>
              </w:rPr>
            </w:pPr>
            <w:r w:rsidRPr="002714B2">
              <w:rPr>
                <w:rFonts w:ascii="Arial" w:hAnsi="Arial" w:cs="Arial"/>
                <w:color w:val="000000"/>
                <w:sz w:val="18"/>
                <w:szCs w:val="18"/>
              </w:rPr>
              <w:t>Chino-RP1</w:t>
            </w:r>
          </w:p>
        </w:tc>
        <w:tc>
          <w:tcPr>
            <w:tcW w:w="1530" w:type="dxa"/>
            <w:tcBorders>
              <w:top w:val="single" w:sz="4" w:space="0" w:color="auto"/>
              <w:left w:val="single" w:sz="4" w:space="0" w:color="auto"/>
              <w:bottom w:val="single" w:sz="4" w:space="0" w:color="auto"/>
              <w:right w:val="single" w:sz="4" w:space="0" w:color="auto"/>
            </w:tcBorders>
            <w:noWrap/>
            <w:vAlign w:val="center"/>
          </w:tcPr>
          <w:p w14:paraId="29884825"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 n/a </w:t>
            </w:r>
            <w:r w:rsidRPr="002714B2">
              <w:rPr>
                <w:rFonts w:ascii="Arial" w:hAnsi="Arial" w:cs="Arial"/>
                <w:color w:val="000000"/>
                <w:sz w:val="18"/>
                <w:szCs w:val="18"/>
                <w:vertAlign w:val="superscript"/>
              </w:rPr>
              <w:t>2</w:t>
            </w:r>
          </w:p>
        </w:tc>
        <w:tc>
          <w:tcPr>
            <w:tcW w:w="1710" w:type="dxa"/>
            <w:tcBorders>
              <w:top w:val="single" w:sz="4" w:space="0" w:color="auto"/>
              <w:left w:val="single" w:sz="4" w:space="0" w:color="auto"/>
              <w:bottom w:val="single" w:sz="4" w:space="0" w:color="auto"/>
              <w:right w:val="single" w:sz="4" w:space="0" w:color="auto"/>
            </w:tcBorders>
            <w:noWrap/>
            <w:vAlign w:val="center"/>
          </w:tcPr>
          <w:p w14:paraId="6C44797F"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1</w:t>
            </w:r>
          </w:p>
        </w:tc>
        <w:tc>
          <w:tcPr>
            <w:tcW w:w="1620" w:type="dxa"/>
            <w:tcBorders>
              <w:top w:val="single" w:sz="4" w:space="0" w:color="auto"/>
              <w:left w:val="nil"/>
              <w:bottom w:val="single" w:sz="4" w:space="0" w:color="auto"/>
              <w:right w:val="nil"/>
            </w:tcBorders>
            <w:noWrap/>
            <w:vAlign w:val="center"/>
          </w:tcPr>
          <w:p w14:paraId="19F5F6F9"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440" w:type="dxa"/>
            <w:tcBorders>
              <w:top w:val="single" w:sz="4" w:space="0" w:color="auto"/>
              <w:left w:val="single" w:sz="4" w:space="0" w:color="auto"/>
              <w:bottom w:val="single" w:sz="4" w:space="0" w:color="auto"/>
              <w:right w:val="single" w:sz="4" w:space="0" w:color="auto"/>
            </w:tcBorders>
            <w:vAlign w:val="center"/>
          </w:tcPr>
          <w:p w14:paraId="0C106F6C"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c>
          <w:tcPr>
            <w:tcW w:w="1170" w:type="dxa"/>
            <w:tcBorders>
              <w:top w:val="single" w:sz="4" w:space="0" w:color="auto"/>
              <w:left w:val="nil"/>
              <w:bottom w:val="single" w:sz="4" w:space="0" w:color="auto"/>
              <w:right w:val="single" w:sz="4" w:space="0" w:color="auto"/>
            </w:tcBorders>
            <w:vAlign w:val="center"/>
          </w:tcPr>
          <w:p w14:paraId="6D8F4837" w14:textId="77777777" w:rsidR="009B59A3" w:rsidRPr="002714B2" w:rsidRDefault="009B59A3" w:rsidP="009B59A3">
            <w:pPr>
              <w:spacing w:line="240" w:lineRule="auto"/>
              <w:jc w:val="center"/>
              <w:rPr>
                <w:rFonts w:ascii="Arial" w:hAnsi="Arial" w:cs="Arial"/>
                <w:color w:val="000000"/>
                <w:sz w:val="18"/>
                <w:szCs w:val="18"/>
              </w:rPr>
            </w:pPr>
            <w:r w:rsidRPr="002714B2">
              <w:rPr>
                <w:rFonts w:ascii="Arial" w:hAnsi="Arial" w:cs="Arial"/>
                <w:color w:val="000000"/>
                <w:sz w:val="18"/>
                <w:szCs w:val="18"/>
              </w:rPr>
              <w:t>0</w:t>
            </w:r>
          </w:p>
        </w:tc>
      </w:tr>
      <w:tr w:rsidR="009B59A3" w:rsidRPr="006B7D47" w14:paraId="26119851" w14:textId="77777777" w:rsidTr="009B59A3">
        <w:trPr>
          <w:trHeight w:val="845"/>
        </w:trPr>
        <w:tc>
          <w:tcPr>
            <w:tcW w:w="9180" w:type="dxa"/>
            <w:gridSpan w:val="6"/>
            <w:tcBorders>
              <w:top w:val="single" w:sz="4" w:space="0" w:color="auto"/>
            </w:tcBorders>
          </w:tcPr>
          <w:p w14:paraId="1CA741D8" w14:textId="77777777" w:rsidR="009B59A3" w:rsidRDefault="009B59A3" w:rsidP="009B59A3">
            <w:pPr>
              <w:rPr>
                <w:rFonts w:ascii="Arial" w:hAnsi="Arial" w:cs="Arial"/>
                <w:color w:val="000000"/>
                <w:sz w:val="16"/>
                <w:szCs w:val="16"/>
                <w:vertAlign w:val="superscript"/>
              </w:rPr>
            </w:pPr>
            <w:r>
              <w:rPr>
                <w:rFonts w:ascii="Arial" w:hAnsi="Arial" w:cs="Arial"/>
                <w:color w:val="000000"/>
                <w:sz w:val="16"/>
                <w:szCs w:val="16"/>
                <w:vertAlign w:val="superscript"/>
              </w:rPr>
              <w:t xml:space="preserve">1 </w:t>
            </w:r>
            <w:r w:rsidRPr="00B60202">
              <w:rPr>
                <w:rFonts w:ascii="Arial" w:hAnsi="Arial" w:cs="Arial"/>
                <w:color w:val="000000"/>
                <w:sz w:val="16"/>
                <w:szCs w:val="16"/>
              </w:rPr>
              <w:t xml:space="preserve">Estimate of DWF generation rate </w:t>
            </w:r>
            <w:r>
              <w:rPr>
                <w:rFonts w:ascii="Arial" w:hAnsi="Arial" w:cs="Arial"/>
                <w:color w:val="000000"/>
                <w:sz w:val="16"/>
                <w:szCs w:val="16"/>
              </w:rPr>
              <w:t xml:space="preserve">for T1-CUCAMONGA </w:t>
            </w:r>
            <w:r w:rsidRPr="00B60202">
              <w:rPr>
                <w:rFonts w:ascii="Arial" w:hAnsi="Arial" w:cs="Arial"/>
                <w:color w:val="000000"/>
                <w:sz w:val="16"/>
                <w:szCs w:val="16"/>
              </w:rPr>
              <w:t>is sum of DWF at three upstream Tier 2 sites with no POTW effluent (T2-Hwy60, T2-CHRIS, and T2-CLCH) divided by the drainage area to these three MS4 drainage areas</w:t>
            </w:r>
            <w:r>
              <w:rPr>
                <w:rFonts w:ascii="Arial" w:hAnsi="Arial" w:cs="Arial"/>
                <w:color w:val="000000"/>
                <w:sz w:val="16"/>
                <w:szCs w:val="16"/>
                <w:vertAlign w:val="superscript"/>
              </w:rPr>
              <w:t xml:space="preserve"> </w:t>
            </w:r>
          </w:p>
          <w:p w14:paraId="5795BA1C" w14:textId="77777777" w:rsidR="009B59A3" w:rsidRPr="006B7D47" w:rsidRDefault="009B59A3" w:rsidP="009B59A3">
            <w:pPr>
              <w:rPr>
                <w:rFonts w:ascii="Arial" w:hAnsi="Arial" w:cs="Arial"/>
                <w:color w:val="000000"/>
                <w:sz w:val="16"/>
                <w:szCs w:val="16"/>
              </w:rPr>
            </w:pPr>
            <w:r>
              <w:rPr>
                <w:rFonts w:ascii="Arial" w:hAnsi="Arial" w:cs="Arial"/>
                <w:color w:val="000000"/>
                <w:sz w:val="16"/>
                <w:szCs w:val="16"/>
                <w:vertAlign w:val="superscript"/>
              </w:rPr>
              <w:t>2</w:t>
            </w:r>
            <w:r w:rsidRPr="006B7D47">
              <w:rPr>
                <w:rFonts w:ascii="Arial" w:hAnsi="Arial" w:cs="Arial"/>
                <w:color w:val="000000"/>
                <w:sz w:val="16"/>
                <w:szCs w:val="16"/>
              </w:rPr>
              <w:t xml:space="preserve"> </w:t>
            </w:r>
            <w:r>
              <w:rPr>
                <w:rFonts w:ascii="Arial" w:hAnsi="Arial" w:cs="Arial"/>
                <w:color w:val="000000"/>
                <w:sz w:val="16"/>
                <w:szCs w:val="16"/>
              </w:rPr>
              <w:t>DWF at this site is entirely from RP1 discharge and thus no contains no discharge from urban MS4 systems</w:t>
            </w:r>
            <w:r w:rsidRPr="006B7D47">
              <w:rPr>
                <w:rFonts w:ascii="Arial" w:hAnsi="Arial" w:cs="Arial"/>
                <w:color w:val="000000"/>
                <w:sz w:val="16"/>
                <w:szCs w:val="16"/>
              </w:rPr>
              <w:t xml:space="preserve">. </w:t>
            </w:r>
          </w:p>
        </w:tc>
      </w:tr>
    </w:tbl>
    <w:p w14:paraId="002A9274" w14:textId="77777777" w:rsidR="009B59A3" w:rsidRDefault="009B59A3" w:rsidP="00524F10">
      <w:pPr>
        <w:pStyle w:val="BodyText"/>
      </w:pPr>
    </w:p>
    <w:p w14:paraId="15DC4527" w14:textId="77777777" w:rsidR="00524F10" w:rsidRDefault="00524F10" w:rsidP="00524F10">
      <w:pPr>
        <w:pStyle w:val="Heading3"/>
      </w:pPr>
      <w:bookmarkStart w:id="145" w:name="_Toc217410170"/>
      <w:r>
        <w:lastRenderedPageBreak/>
        <w:t>Changes in Tier 1 Site Prioritization Over Time</w:t>
      </w:r>
      <w:bookmarkEnd w:id="145"/>
    </w:p>
    <w:p w14:paraId="3E5594DA" w14:textId="1E604981" w:rsidR="00524F10" w:rsidRPr="00CC310E" w:rsidRDefault="00524F10" w:rsidP="00524F10">
      <w:pPr>
        <w:pStyle w:val="BodyText"/>
        <w:spacing w:after="120"/>
      </w:pPr>
      <w:r w:rsidRPr="00CC310E">
        <w:t>The 20</w:t>
      </w:r>
      <w:r w:rsidR="00B03727" w:rsidRPr="00CC310E">
        <w:t>25</w:t>
      </w:r>
      <w:r w:rsidRPr="00CC310E">
        <w:t xml:space="preserve"> Synoptic Study results are compared to outcomes from previous prioritization analyses completed for the Riverside and San Bernardino MS4 Programs CBRPs (RCFC&amp;WCD 2011; SBCFCD 2011) and 2013 Triennial Report (SAWPA 2013) (</w:t>
      </w:r>
      <w:r w:rsidRPr="00CC310E">
        <w:rPr>
          <w:b/>
        </w:rPr>
        <w:t>Table 3-1</w:t>
      </w:r>
      <w:r w:rsidR="003060F6">
        <w:rPr>
          <w:b/>
        </w:rPr>
        <w:t>5</w:t>
      </w:r>
      <w:r w:rsidRPr="00CC310E">
        <w:rPr>
          <w:b/>
        </w:rPr>
        <w:t>)</w:t>
      </w:r>
      <w:r w:rsidRPr="00CC310E">
        <w:t>. Sites categorized as high priority in 20</w:t>
      </w:r>
      <w:r w:rsidR="00B03727" w:rsidRPr="00CC310E">
        <w:t>25</w:t>
      </w:r>
      <w:r w:rsidRPr="00CC310E">
        <w:t xml:space="preserve"> are </w:t>
      </w:r>
      <w:proofErr w:type="gramStart"/>
      <w:r w:rsidR="00B03727" w:rsidRPr="00CC310E">
        <w:t>similar to</w:t>
      </w:r>
      <w:proofErr w:type="gramEnd"/>
      <w:r w:rsidR="00B03727" w:rsidRPr="00CC310E">
        <w:t xml:space="preserve"> those conducted in 2019 but are </w:t>
      </w:r>
      <w:r w:rsidRPr="00CC310E">
        <w:t xml:space="preserve">substantially different from previous analyses. Changes in </w:t>
      </w:r>
      <w:proofErr w:type="gramStart"/>
      <w:r w:rsidRPr="00CC310E">
        <w:t>the prioritization</w:t>
      </w:r>
      <w:proofErr w:type="gramEnd"/>
      <w:r w:rsidRPr="00CC310E">
        <w:t xml:space="preserve"> may be attributed to effective CBRP implementation in some subwatersheds (e.g., T1-BRSC, Boys Republic South Channel) or issues that have arisen from potentially new bacteria sources in other subwatersheds (e.g., T1-MSCD, Magnolia Center Storm Drain). Other considerations that affected the changes in prioritization included: </w:t>
      </w:r>
    </w:p>
    <w:p w14:paraId="743C450F" w14:textId="77777777" w:rsidR="00524F10" w:rsidRPr="00CC310E" w:rsidRDefault="00524F10" w:rsidP="00524F10">
      <w:pPr>
        <w:pStyle w:val="00Bullet1"/>
        <w:spacing w:after="120"/>
        <w:ind w:left="360"/>
      </w:pPr>
      <w:r w:rsidRPr="00CC310E">
        <w:t>Transition of all sites upstream of Cucamonga Creek at Hellman (T1-CUCAMONGA) from Tier 1 to Tier 2 sites (result of removal of REC1 beneficial use on Cucamonga Creek upstream of Hellman Avenue</w:t>
      </w:r>
      <w:proofErr w:type="gramStart"/>
      <w:r w:rsidRPr="00CC310E">
        <w:t>);</w:t>
      </w:r>
      <w:proofErr w:type="gramEnd"/>
    </w:p>
    <w:p w14:paraId="74961190" w14:textId="2BCC12BC" w:rsidR="00524F10" w:rsidRPr="002F6733" w:rsidRDefault="00524F10" w:rsidP="002F6733">
      <w:pPr>
        <w:pStyle w:val="00Bullet1"/>
        <w:spacing w:after="240"/>
        <w:ind w:left="360"/>
      </w:pPr>
      <w:r w:rsidRPr="00CC310E">
        <w:t>Differences in the prioritization methods over the three independent analyses (e.g., use of bacteria load instead of concentration</w:t>
      </w:r>
      <w:r w:rsidR="00B03727">
        <w:t>, use of HF183 geometric mean concentrations rather than presence/absence,</w:t>
      </w:r>
      <w:r w:rsidRPr="002F6733">
        <w:t xml:space="preserve"> and consideration of potential area contributing to DWF rather than just the average DWF rate). </w:t>
      </w:r>
    </w:p>
    <w:p w14:paraId="42B11A2E" w14:textId="0637C768" w:rsidR="00524F10" w:rsidRPr="00E9218B" w:rsidRDefault="00826629" w:rsidP="00E9218B">
      <w:pPr>
        <w:spacing w:line="240" w:lineRule="auto"/>
        <w:rPr>
          <w:szCs w:val="24"/>
        </w:rPr>
      </w:pPr>
      <w:r w:rsidRPr="00826629">
        <w:rPr>
          <w:noProof/>
        </w:rPr>
        <w:t xml:space="preserve"> </w:t>
      </w:r>
      <w:r w:rsidR="00B03727">
        <w:rPr>
          <w:noProof/>
        </w:rPr>
        <w:drawing>
          <wp:inline distT="0" distB="0" distL="0" distR="0" wp14:anchorId="4826F3A4" wp14:editId="345282FB">
            <wp:extent cx="5524500" cy="3552825"/>
            <wp:effectExtent l="0" t="0" r="0" b="9525"/>
            <wp:docPr id="438053836" name="Chart 1">
              <a:extLst xmlns:a="http://schemas.openxmlformats.org/drawingml/2006/main">
                <a:ext uri="{FF2B5EF4-FFF2-40B4-BE49-F238E27FC236}">
                  <a16:creationId xmlns:a16="http://schemas.microsoft.com/office/drawing/2014/main" id="{30B78E34-41D1-47AC-AF08-4C0227D801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A51240E" w14:textId="67E586CF" w:rsidR="005F4C71" w:rsidRPr="007838A1" w:rsidRDefault="007838A1" w:rsidP="007838A1">
      <w:pPr>
        <w:pStyle w:val="BodyText"/>
        <w:keepNext/>
        <w:spacing w:after="120" w:line="240" w:lineRule="auto"/>
        <w:ind w:right="274"/>
        <w:rPr>
          <w:rFonts w:ascii="Arial" w:hAnsi="Arial" w:cs="Arial"/>
          <w:bCs/>
          <w:noProof/>
          <w:sz w:val="16"/>
          <w:szCs w:val="16"/>
        </w:rPr>
      </w:pPr>
      <w:r w:rsidRPr="007838A1">
        <w:rPr>
          <w:rFonts w:ascii="Arial" w:hAnsi="Arial" w:cs="Arial"/>
          <w:bCs/>
          <w:sz w:val="16"/>
          <w:szCs w:val="16"/>
        </w:rPr>
        <w:t>Note: red = high priority; yellow = medium priority; green = low priority</w:t>
      </w:r>
    </w:p>
    <w:p w14:paraId="35B3B9AF" w14:textId="411A87E4" w:rsidR="005F4C71" w:rsidRDefault="007838A1" w:rsidP="007838A1">
      <w:pPr>
        <w:pStyle w:val="Caption"/>
        <w:rPr>
          <w:noProof/>
        </w:rPr>
      </w:pPr>
      <w:bookmarkStart w:id="146" w:name="_Toc217394584"/>
      <w:bookmarkStart w:id="147" w:name="_Toc217394779"/>
      <w:r>
        <w:t xml:space="preserve">Figure </w:t>
      </w:r>
      <w:r w:rsidR="0023167A">
        <w:fldChar w:fldCharType="begin"/>
      </w:r>
      <w:r w:rsidR="0023167A">
        <w:instrText xml:space="preserve"> STYLEREF 1 \s </w:instrText>
      </w:r>
      <w:r w:rsidR="0023167A">
        <w:fldChar w:fldCharType="separate"/>
      </w:r>
      <w:r w:rsidR="0023167A">
        <w:rPr>
          <w:noProof/>
        </w:rPr>
        <w:t>3</w:t>
      </w:r>
      <w:r w:rsidR="0023167A">
        <w:fldChar w:fldCharType="end"/>
      </w:r>
      <w:r w:rsidR="0023167A">
        <w:noBreakHyphen/>
      </w:r>
      <w:r w:rsidR="0023167A">
        <w:fldChar w:fldCharType="begin"/>
      </w:r>
      <w:r w:rsidR="0023167A">
        <w:instrText xml:space="preserve"> SEQ Figure \* ARABIC \s 1 </w:instrText>
      </w:r>
      <w:r w:rsidR="0023167A">
        <w:fldChar w:fldCharType="separate"/>
      </w:r>
      <w:r w:rsidR="0023167A">
        <w:rPr>
          <w:noProof/>
        </w:rPr>
        <w:t>26</w:t>
      </w:r>
      <w:r w:rsidR="0023167A">
        <w:fldChar w:fldCharType="end"/>
      </w:r>
      <w:r>
        <w:t xml:space="preserve">. </w:t>
      </w:r>
      <w:r w:rsidRPr="007838A1">
        <w:t>Bacteria Prioritization Score for Tier 1 and 2 Sites</w:t>
      </w:r>
      <w:bookmarkEnd w:id="146"/>
      <w:bookmarkEnd w:id="147"/>
    </w:p>
    <w:p w14:paraId="56B9EC2E" w14:textId="0F29C3C7" w:rsidR="006C0093" w:rsidRDefault="006C0093" w:rsidP="006C0093">
      <w:pPr>
        <w:pStyle w:val="BodyText"/>
        <w:spacing w:after="200"/>
      </w:pPr>
    </w:p>
    <w:tbl>
      <w:tblPr>
        <w:tblW w:w="9090" w:type="dxa"/>
        <w:tblLayout w:type="fixed"/>
        <w:tblLook w:val="04A0" w:firstRow="1" w:lastRow="0" w:firstColumn="1" w:lastColumn="0" w:noHBand="0" w:noVBand="1"/>
      </w:tblPr>
      <w:tblGrid>
        <w:gridCol w:w="1800"/>
        <w:gridCol w:w="1822"/>
        <w:gridCol w:w="1823"/>
        <w:gridCol w:w="1822"/>
        <w:gridCol w:w="1823"/>
      </w:tblGrid>
      <w:tr w:rsidR="008B26ED" w:rsidRPr="008B26ED" w14:paraId="49C12EC4" w14:textId="77777777" w:rsidTr="001137AC">
        <w:trPr>
          <w:trHeight w:val="540"/>
        </w:trPr>
        <w:tc>
          <w:tcPr>
            <w:tcW w:w="9090" w:type="dxa"/>
            <w:gridSpan w:val="5"/>
            <w:tcBorders>
              <w:top w:val="nil"/>
              <w:left w:val="nil"/>
              <w:bottom w:val="single" w:sz="4" w:space="0" w:color="auto"/>
            </w:tcBorders>
            <w:shd w:val="clear" w:color="000000" w:fill="FFFFFF"/>
            <w:noWrap/>
            <w:vAlign w:val="center"/>
          </w:tcPr>
          <w:p w14:paraId="5836CF72" w14:textId="44F4D935" w:rsidR="008B26ED" w:rsidRPr="008B26ED" w:rsidRDefault="001137AC" w:rsidP="00A94C91">
            <w:pPr>
              <w:pStyle w:val="TableTitle"/>
              <w:rPr>
                <w:rFonts w:ascii="Calibri" w:hAnsi="Calibri" w:cs="Calibri"/>
                <w:color w:val="000000"/>
                <w:sz w:val="18"/>
              </w:rPr>
            </w:pPr>
            <w:r w:rsidRPr="0047697B">
              <w:rPr>
                <w:bCs/>
                <w:color w:val="000000"/>
              </w:rPr>
              <w:lastRenderedPageBreak/>
              <w:t>Table 3-1</w:t>
            </w:r>
            <w:r w:rsidR="002F6733">
              <w:rPr>
                <w:bCs/>
                <w:color w:val="000000"/>
              </w:rPr>
              <w:t>5</w:t>
            </w:r>
            <w:r w:rsidRPr="0047697B">
              <w:rPr>
                <w:bCs/>
                <w:color w:val="000000"/>
              </w:rPr>
              <w:t xml:space="preserve">. </w:t>
            </w:r>
            <w:r w:rsidRPr="0047697B">
              <w:t>C</w:t>
            </w:r>
            <w:r w:rsidRPr="007A608A">
              <w:t xml:space="preserve">hanges to Prioritization Category for Tier 1 </w:t>
            </w:r>
            <w:r>
              <w:t xml:space="preserve">or 2 </w:t>
            </w:r>
            <w:r w:rsidRPr="007A608A">
              <w:t xml:space="preserve">Subwatersheds </w:t>
            </w:r>
            <w:r>
              <w:t xml:space="preserve">with Active DWF Since TMDL Implementation Initiated in 2007 </w:t>
            </w:r>
            <w:r w:rsidRPr="007A608A">
              <w:t>(NM = Not Measured</w:t>
            </w:r>
            <w:r>
              <w:t>)</w:t>
            </w:r>
          </w:p>
        </w:tc>
      </w:tr>
      <w:tr w:rsidR="008B26ED" w:rsidRPr="008B26ED" w14:paraId="3944E1AF" w14:textId="77777777" w:rsidTr="002714B2">
        <w:trPr>
          <w:trHeight w:val="345"/>
        </w:trPr>
        <w:tc>
          <w:tcPr>
            <w:tcW w:w="1800" w:type="dxa"/>
            <w:vMerge w:val="restart"/>
            <w:tcBorders>
              <w:top w:val="single" w:sz="4" w:space="0" w:color="auto"/>
              <w:left w:val="single" w:sz="4" w:space="0" w:color="auto"/>
              <w:right w:val="single" w:sz="4" w:space="0" w:color="auto"/>
            </w:tcBorders>
            <w:shd w:val="clear" w:color="auto" w:fill="F2F2F2" w:themeFill="background1" w:themeFillShade="F2"/>
            <w:noWrap/>
            <w:vAlign w:val="center"/>
          </w:tcPr>
          <w:p w14:paraId="2DD28A64" w14:textId="7D19E56B" w:rsidR="008B26ED" w:rsidRPr="002714B2" w:rsidRDefault="008B26ED" w:rsidP="008B26ED">
            <w:pPr>
              <w:spacing w:line="240" w:lineRule="auto"/>
              <w:jc w:val="center"/>
              <w:rPr>
                <w:rFonts w:ascii="Arial" w:hAnsi="Arial" w:cs="Arial"/>
                <w:b/>
                <w:bCs/>
                <w:color w:val="000000"/>
                <w:sz w:val="18"/>
                <w:szCs w:val="18"/>
              </w:rPr>
            </w:pPr>
            <w:proofErr w:type="gramStart"/>
            <w:r w:rsidRPr="002714B2">
              <w:rPr>
                <w:rFonts w:ascii="Arial" w:hAnsi="Arial" w:cs="Arial"/>
                <w:b/>
                <w:bCs/>
                <w:color w:val="000000"/>
                <w:sz w:val="18"/>
                <w:szCs w:val="18"/>
              </w:rPr>
              <w:t>Tier</w:t>
            </w:r>
            <w:proofErr w:type="gramEnd"/>
            <w:r w:rsidRPr="002714B2">
              <w:rPr>
                <w:rFonts w:ascii="Arial" w:hAnsi="Arial" w:cs="Arial"/>
                <w:b/>
                <w:bCs/>
                <w:color w:val="000000"/>
                <w:sz w:val="18"/>
                <w:szCs w:val="18"/>
              </w:rPr>
              <w:t xml:space="preserve"> 1 or 2 Site</w:t>
            </w:r>
          </w:p>
        </w:tc>
        <w:tc>
          <w:tcPr>
            <w:tcW w:w="72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0752623" w14:textId="48B8C296" w:rsidR="008B26ED" w:rsidRPr="002714B2" w:rsidRDefault="008B26ED" w:rsidP="008B26ED">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Prioritization Outcome</w:t>
            </w:r>
          </w:p>
        </w:tc>
      </w:tr>
      <w:tr w:rsidR="008B26ED" w:rsidRPr="008B26ED" w14:paraId="576FC191" w14:textId="77777777" w:rsidTr="002714B2">
        <w:trPr>
          <w:trHeight w:val="809"/>
        </w:trPr>
        <w:tc>
          <w:tcPr>
            <w:tcW w:w="1800" w:type="dxa"/>
            <w:vMerge/>
            <w:tcBorders>
              <w:left w:val="single" w:sz="4" w:space="0" w:color="auto"/>
              <w:bottom w:val="single" w:sz="4" w:space="0" w:color="auto"/>
              <w:right w:val="single" w:sz="4" w:space="0" w:color="auto"/>
            </w:tcBorders>
            <w:shd w:val="clear" w:color="000000" w:fill="FFFFFF"/>
            <w:noWrap/>
            <w:vAlign w:val="center"/>
          </w:tcPr>
          <w:p w14:paraId="14F639E5" w14:textId="77777777" w:rsidR="008B26ED" w:rsidRPr="002714B2" w:rsidRDefault="008B26ED" w:rsidP="008B26ED">
            <w:pPr>
              <w:spacing w:line="240" w:lineRule="auto"/>
              <w:rPr>
                <w:rFonts w:ascii="Arial" w:hAnsi="Arial" w:cs="Arial"/>
                <w:b/>
                <w:bCs/>
                <w:color w:val="000000"/>
                <w:sz w:val="18"/>
                <w:szCs w:val="18"/>
              </w:rPr>
            </w:pPr>
          </w:p>
        </w:tc>
        <w:tc>
          <w:tcPr>
            <w:tcW w:w="182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517CB93" w14:textId="5AEE3F4A" w:rsidR="008B26ED" w:rsidRPr="002714B2" w:rsidRDefault="008B26ED" w:rsidP="008B26ED">
            <w:pPr>
              <w:spacing w:line="240" w:lineRule="auto"/>
              <w:jc w:val="center"/>
              <w:rPr>
                <w:rFonts w:ascii="Arial" w:hAnsi="Arial" w:cs="Arial"/>
                <w:b/>
                <w:bCs/>
                <w:sz w:val="18"/>
                <w:szCs w:val="18"/>
              </w:rPr>
            </w:pPr>
            <w:r w:rsidRPr="002714B2">
              <w:rPr>
                <w:rFonts w:ascii="Arial" w:hAnsi="Arial" w:cs="Arial"/>
                <w:b/>
                <w:bCs/>
                <w:sz w:val="18"/>
                <w:szCs w:val="18"/>
              </w:rPr>
              <w:t>CBRP</w:t>
            </w:r>
            <w:r w:rsidRPr="002714B2">
              <w:rPr>
                <w:rFonts w:ascii="Arial" w:hAnsi="Arial" w:cs="Arial"/>
                <w:b/>
                <w:bCs/>
                <w:sz w:val="18"/>
                <w:szCs w:val="18"/>
                <w:vertAlign w:val="superscript"/>
              </w:rPr>
              <w:t>1</w:t>
            </w:r>
            <w:r w:rsidRPr="002714B2">
              <w:rPr>
                <w:rFonts w:ascii="Arial" w:hAnsi="Arial" w:cs="Arial"/>
                <w:b/>
                <w:bCs/>
                <w:sz w:val="18"/>
                <w:szCs w:val="18"/>
              </w:rPr>
              <w:t xml:space="preserve"> (Based on 2007-2008 Data)</w:t>
            </w:r>
          </w:p>
        </w:tc>
        <w:tc>
          <w:tcPr>
            <w:tcW w:w="1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CE9A7E2" w14:textId="00FEE82E" w:rsidR="008B26ED" w:rsidRPr="002714B2" w:rsidRDefault="008B26ED" w:rsidP="008B26ED">
            <w:pPr>
              <w:spacing w:line="240" w:lineRule="auto"/>
              <w:jc w:val="center"/>
              <w:rPr>
                <w:rFonts w:ascii="Arial" w:hAnsi="Arial" w:cs="Arial"/>
                <w:b/>
                <w:bCs/>
                <w:sz w:val="18"/>
                <w:szCs w:val="18"/>
              </w:rPr>
            </w:pPr>
            <w:r w:rsidRPr="002714B2">
              <w:rPr>
                <w:rFonts w:ascii="Arial" w:hAnsi="Arial" w:cs="Arial"/>
                <w:b/>
                <w:bCs/>
                <w:sz w:val="18"/>
                <w:szCs w:val="18"/>
              </w:rPr>
              <w:t>2013 Triennial Report</w:t>
            </w:r>
            <w:r w:rsidRPr="002714B2">
              <w:rPr>
                <w:rFonts w:ascii="Arial" w:hAnsi="Arial" w:cs="Arial"/>
                <w:b/>
                <w:bCs/>
                <w:sz w:val="18"/>
                <w:szCs w:val="18"/>
                <w:vertAlign w:val="superscript"/>
              </w:rPr>
              <w:t>2</w:t>
            </w:r>
            <w:r w:rsidRPr="002714B2">
              <w:rPr>
                <w:rFonts w:ascii="Arial" w:hAnsi="Arial" w:cs="Arial"/>
                <w:b/>
                <w:bCs/>
                <w:sz w:val="18"/>
                <w:szCs w:val="18"/>
              </w:rPr>
              <w:t xml:space="preserve"> (Based on 2012 Data)</w:t>
            </w:r>
          </w:p>
        </w:tc>
        <w:tc>
          <w:tcPr>
            <w:tcW w:w="182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ADA6F00" w14:textId="1BD3A248" w:rsidR="008B26ED" w:rsidRPr="002714B2" w:rsidRDefault="008B26ED" w:rsidP="008B26ED">
            <w:pPr>
              <w:spacing w:line="240" w:lineRule="auto"/>
              <w:jc w:val="center"/>
              <w:rPr>
                <w:rFonts w:ascii="Arial" w:hAnsi="Arial" w:cs="Arial"/>
                <w:b/>
                <w:bCs/>
                <w:sz w:val="18"/>
                <w:szCs w:val="18"/>
              </w:rPr>
            </w:pPr>
            <w:r w:rsidRPr="002714B2">
              <w:rPr>
                <w:rFonts w:ascii="Arial" w:hAnsi="Arial" w:cs="Arial"/>
                <w:b/>
                <w:bCs/>
                <w:sz w:val="18"/>
                <w:szCs w:val="18"/>
              </w:rPr>
              <w:t>2020 Triennial Report</w:t>
            </w:r>
            <w:r w:rsidR="001137AC" w:rsidRPr="002714B2">
              <w:rPr>
                <w:rFonts w:ascii="Arial" w:hAnsi="Arial" w:cs="Arial"/>
                <w:b/>
                <w:bCs/>
                <w:sz w:val="18"/>
                <w:szCs w:val="18"/>
                <w:vertAlign w:val="superscript"/>
              </w:rPr>
              <w:t>3</w:t>
            </w:r>
            <w:r w:rsidRPr="002714B2">
              <w:rPr>
                <w:rFonts w:ascii="Arial" w:hAnsi="Arial" w:cs="Arial"/>
                <w:b/>
                <w:bCs/>
                <w:sz w:val="18"/>
                <w:szCs w:val="18"/>
              </w:rPr>
              <w:t xml:space="preserve"> (based on 2019 Data)</w:t>
            </w:r>
          </w:p>
        </w:tc>
        <w:tc>
          <w:tcPr>
            <w:tcW w:w="1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8E15466" w14:textId="2CB338E2" w:rsidR="008B26ED" w:rsidRPr="002714B2" w:rsidRDefault="008B26ED" w:rsidP="008B26ED">
            <w:pPr>
              <w:spacing w:line="240" w:lineRule="auto"/>
              <w:jc w:val="center"/>
              <w:rPr>
                <w:rFonts w:ascii="Arial" w:hAnsi="Arial" w:cs="Arial"/>
                <w:b/>
                <w:bCs/>
                <w:sz w:val="18"/>
                <w:szCs w:val="18"/>
              </w:rPr>
            </w:pPr>
            <w:r w:rsidRPr="002714B2">
              <w:rPr>
                <w:rFonts w:ascii="Arial" w:hAnsi="Arial" w:cs="Arial"/>
                <w:b/>
                <w:bCs/>
                <w:sz w:val="18"/>
                <w:szCs w:val="18"/>
              </w:rPr>
              <w:t>2025 Synoptic Study Findings</w:t>
            </w:r>
          </w:p>
        </w:tc>
      </w:tr>
      <w:tr w:rsidR="008B26ED" w:rsidRPr="008B26ED" w14:paraId="0699C04A"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4FF8C89C" w14:textId="77777777" w:rsidR="008B26ED" w:rsidRPr="002714B2" w:rsidRDefault="008B26ED" w:rsidP="008B26ED">
            <w:pPr>
              <w:spacing w:line="240" w:lineRule="auto"/>
              <w:rPr>
                <w:rFonts w:ascii="Arial" w:hAnsi="Arial" w:cs="Arial"/>
                <w:color w:val="000000"/>
                <w:sz w:val="18"/>
                <w:szCs w:val="18"/>
              </w:rPr>
            </w:pPr>
            <w:r w:rsidRPr="002714B2">
              <w:rPr>
                <w:rFonts w:ascii="Arial" w:hAnsi="Arial" w:cs="Arial"/>
                <w:color w:val="000000"/>
                <w:sz w:val="18"/>
                <w:szCs w:val="18"/>
              </w:rPr>
              <w:t>T1-MCSD</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634EA28"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0707C013"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4F604D94"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3C8CF4D7"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r>
      <w:tr w:rsidR="002F6733" w:rsidRPr="008B26ED" w14:paraId="69AD8B3C"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tcPr>
          <w:p w14:paraId="54D38A4F" w14:textId="11517B7D" w:rsidR="002F6733" w:rsidRPr="002714B2" w:rsidRDefault="002F6733" w:rsidP="002F6733">
            <w:pPr>
              <w:spacing w:line="240" w:lineRule="auto"/>
              <w:rPr>
                <w:rFonts w:ascii="Arial" w:hAnsi="Arial" w:cs="Arial"/>
                <w:color w:val="000000"/>
                <w:sz w:val="18"/>
                <w:szCs w:val="18"/>
              </w:rPr>
            </w:pPr>
            <w:r w:rsidRPr="002714B2">
              <w:rPr>
                <w:rFonts w:ascii="Arial" w:hAnsi="Arial" w:cs="Arial"/>
                <w:color w:val="000000"/>
                <w:sz w:val="18"/>
                <w:szCs w:val="18"/>
              </w:rPr>
              <w:t>T1-SNCH</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tcPr>
          <w:p w14:paraId="526DDD7A" w14:textId="7DFB168B"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3" w:type="dxa"/>
            <w:tcBorders>
              <w:top w:val="single" w:sz="4" w:space="0" w:color="auto"/>
              <w:left w:val="single" w:sz="4" w:space="0" w:color="auto"/>
              <w:bottom w:val="single" w:sz="4" w:space="0" w:color="auto"/>
              <w:right w:val="single" w:sz="4" w:space="0" w:color="auto"/>
            </w:tcBorders>
            <w:shd w:val="clear" w:color="auto" w:fill="A9D08E"/>
            <w:noWrap/>
            <w:vAlign w:val="center"/>
          </w:tcPr>
          <w:p w14:paraId="5BD676EC" w14:textId="249CC2D1"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tcPr>
          <w:p w14:paraId="4D9D2143" w14:textId="2CEA8A31"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tcPr>
          <w:p w14:paraId="2011E5E7" w14:textId="3CC45178"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r>
      <w:tr w:rsidR="008B26ED" w:rsidRPr="008B26ED" w14:paraId="4920D5F9"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537284BD" w14:textId="77777777" w:rsidR="008B26ED" w:rsidRPr="002714B2" w:rsidRDefault="008B26ED" w:rsidP="008B26ED">
            <w:pPr>
              <w:spacing w:line="240" w:lineRule="auto"/>
              <w:rPr>
                <w:rFonts w:ascii="Arial" w:hAnsi="Arial" w:cs="Arial"/>
                <w:color w:val="000000"/>
                <w:sz w:val="18"/>
                <w:szCs w:val="18"/>
              </w:rPr>
            </w:pPr>
            <w:r w:rsidRPr="002714B2">
              <w:rPr>
                <w:rFonts w:ascii="Arial" w:hAnsi="Arial" w:cs="Arial"/>
                <w:color w:val="000000"/>
                <w:sz w:val="18"/>
                <w:szCs w:val="18"/>
              </w:rPr>
              <w:t>T1-ANZA</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6B5B26CA"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22EC1550"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55FA5057"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EE8EEDF"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r>
      <w:tr w:rsidR="008B26ED" w:rsidRPr="008B26ED" w14:paraId="06D6625C" w14:textId="77777777" w:rsidTr="006C0093">
        <w:trPr>
          <w:trHeight w:val="400"/>
        </w:trPr>
        <w:tc>
          <w:tcPr>
            <w:tcW w:w="1800" w:type="dxa"/>
            <w:tcBorders>
              <w:top w:val="nil"/>
              <w:left w:val="single" w:sz="4" w:space="0" w:color="auto"/>
              <w:bottom w:val="single" w:sz="4" w:space="0" w:color="auto"/>
              <w:right w:val="single" w:sz="4" w:space="0" w:color="auto"/>
            </w:tcBorders>
            <w:noWrap/>
            <w:vAlign w:val="center"/>
            <w:hideMark/>
          </w:tcPr>
          <w:p w14:paraId="0BBDA021" w14:textId="77777777" w:rsidR="008B26ED" w:rsidRPr="002714B2" w:rsidRDefault="008B26ED" w:rsidP="008B26ED">
            <w:pPr>
              <w:spacing w:line="240" w:lineRule="auto"/>
              <w:rPr>
                <w:rFonts w:ascii="Arial" w:hAnsi="Arial" w:cs="Arial"/>
                <w:color w:val="000000"/>
                <w:sz w:val="18"/>
                <w:szCs w:val="18"/>
              </w:rPr>
            </w:pPr>
            <w:r w:rsidRPr="002714B2">
              <w:rPr>
                <w:rFonts w:ascii="Arial" w:hAnsi="Arial" w:cs="Arial"/>
                <w:color w:val="000000"/>
                <w:sz w:val="18"/>
                <w:szCs w:val="18"/>
              </w:rPr>
              <w:t>T1-CUCAMONGA</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4B4D055"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7A90527"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1A376C75"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B487C53" w14:textId="77777777" w:rsidR="008B26ED" w:rsidRPr="002714B2" w:rsidRDefault="008B26ED" w:rsidP="008B26ED">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r>
      <w:tr w:rsidR="002F6733" w:rsidRPr="008B26ED" w14:paraId="65F5A789"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tcPr>
          <w:p w14:paraId="69880D9B" w14:textId="7201EE44" w:rsidR="002F6733" w:rsidRPr="002714B2" w:rsidRDefault="002F6733" w:rsidP="002F6733">
            <w:pPr>
              <w:spacing w:line="240" w:lineRule="auto"/>
              <w:rPr>
                <w:rFonts w:ascii="Arial" w:hAnsi="Arial" w:cs="Arial"/>
                <w:color w:val="000000"/>
                <w:sz w:val="18"/>
                <w:szCs w:val="18"/>
              </w:rPr>
            </w:pPr>
            <w:r w:rsidRPr="002714B2">
              <w:rPr>
                <w:rFonts w:ascii="Arial" w:hAnsi="Arial" w:cs="Arial"/>
                <w:color w:val="000000"/>
                <w:sz w:val="18"/>
                <w:szCs w:val="18"/>
              </w:rPr>
              <w:t>T1-EVLD</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tcPr>
          <w:p w14:paraId="237ED744" w14:textId="4F1EADB9"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tcPr>
          <w:p w14:paraId="54150B04" w14:textId="66FB7855"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tcPr>
          <w:p w14:paraId="465484F3" w14:textId="584444D2"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FFFF00"/>
            <w:noWrap/>
            <w:vAlign w:val="center"/>
          </w:tcPr>
          <w:p w14:paraId="337D38B8" w14:textId="4E11145D"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r>
      <w:tr w:rsidR="00B03727" w:rsidRPr="008B26ED" w14:paraId="5B4ADB25"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1C29118E"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T1-SSCH</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E9345CE"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22E9EC25"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0315081C"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8E4C448" w14:textId="752BEF5E"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r>
      <w:tr w:rsidR="00B03727" w:rsidRPr="008B26ED" w14:paraId="58988B35"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61C5F4E1"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T1-BXSP</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02503ECC"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5B85D087"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79DC2A2"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A40876F"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r>
      <w:tr w:rsidR="00B03727" w:rsidRPr="008B26ED" w14:paraId="594F9DC8"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6F2160F2"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T1-CHINOCRK</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E9104F2"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4C779A72"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36CDBDC"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23B5599"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r>
      <w:tr w:rsidR="002F6733" w:rsidRPr="008B26ED" w14:paraId="6198460C"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tcPr>
          <w:p w14:paraId="3192A91F" w14:textId="7FAAC633" w:rsidR="002F6733" w:rsidRPr="002714B2" w:rsidRDefault="002F6733" w:rsidP="002F6733">
            <w:pPr>
              <w:spacing w:line="240" w:lineRule="auto"/>
              <w:rPr>
                <w:rFonts w:ascii="Arial" w:hAnsi="Arial" w:cs="Arial"/>
                <w:color w:val="000000"/>
                <w:sz w:val="18"/>
                <w:szCs w:val="18"/>
              </w:rPr>
            </w:pPr>
            <w:r w:rsidRPr="002714B2">
              <w:rPr>
                <w:rFonts w:ascii="Arial" w:hAnsi="Arial" w:cs="Arial"/>
                <w:color w:val="000000"/>
                <w:sz w:val="18"/>
                <w:szCs w:val="18"/>
              </w:rPr>
              <w:t>T2-CHRIS</w:t>
            </w:r>
            <w:r w:rsidRPr="002714B2">
              <w:rPr>
                <w:rFonts w:ascii="Arial" w:hAnsi="Arial" w:cs="Arial"/>
                <w:color w:val="000000"/>
                <w:sz w:val="18"/>
                <w:szCs w:val="18"/>
                <w:vertAlign w:val="superscript"/>
              </w:rPr>
              <w:t>4</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tcPr>
          <w:p w14:paraId="626ECF32" w14:textId="55829F51"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tcPr>
          <w:p w14:paraId="500F8F33" w14:textId="0F26CBF5"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tcPr>
          <w:p w14:paraId="7FF56FCA" w14:textId="5E6B2E33"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FFFF00"/>
            <w:noWrap/>
            <w:vAlign w:val="center"/>
          </w:tcPr>
          <w:p w14:paraId="05CE978A" w14:textId="50D83D35" w:rsidR="002F6733" w:rsidRPr="002714B2" w:rsidRDefault="002F6733" w:rsidP="002F6733">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r>
      <w:tr w:rsidR="00B03727" w:rsidRPr="008B26ED" w14:paraId="680BA4DB"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5E64DB45"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T1-BRSC</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E3CC932"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5CFF68EA"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D68CC79"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48791446" w14:textId="502CC7BB"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745655C0"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21C06730"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T1-DAY</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D43590D"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4BBC45E7"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0D28444"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7728D3E8"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4889B4D6"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2F24AB4D"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T1-CCCH</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2CCC68E3"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38E0A3FB"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CFFB405"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18A9E382" w14:textId="0281A59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3CCA1606"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65EB61F0"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T1-SACH</w:t>
            </w:r>
          </w:p>
        </w:tc>
        <w:tc>
          <w:tcPr>
            <w:tcW w:w="182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219191E"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Moderate</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67E56113"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65C9F330"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0F8357C0" w14:textId="70485991"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1012259F"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2FBBC3A4"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T1-LLSC</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14D2DCA"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18E2759A"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42C658E8"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4E4D8C74"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13178A5F"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6DAE9848"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T1-EVLE</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E14E2BD"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624B4BBE"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DA5A51E"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56BC5BB8"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0F6A6AC3" w14:textId="77777777" w:rsidTr="006C0093">
        <w:trPr>
          <w:trHeight w:val="400"/>
        </w:trPr>
        <w:tc>
          <w:tcPr>
            <w:tcW w:w="1800" w:type="dxa"/>
            <w:tcBorders>
              <w:top w:val="nil"/>
              <w:left w:val="single" w:sz="4" w:space="0" w:color="auto"/>
              <w:bottom w:val="single" w:sz="4" w:space="0" w:color="auto"/>
              <w:right w:val="single" w:sz="4" w:space="0" w:color="auto"/>
            </w:tcBorders>
            <w:noWrap/>
            <w:vAlign w:val="center"/>
            <w:hideMark/>
          </w:tcPr>
          <w:p w14:paraId="092420E7"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T1-EVLB</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A0EEED9"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39EDC5C3"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1C895E4"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72B33AE"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r>
      <w:tr w:rsidR="00B03727" w:rsidRPr="008B26ED" w14:paraId="0A956D66" w14:textId="77777777" w:rsidTr="006C0093">
        <w:trPr>
          <w:trHeight w:val="400"/>
        </w:trPr>
        <w:tc>
          <w:tcPr>
            <w:tcW w:w="1800" w:type="dxa"/>
            <w:tcBorders>
              <w:top w:val="nil"/>
              <w:left w:val="single" w:sz="4" w:space="0" w:color="auto"/>
              <w:bottom w:val="single" w:sz="4" w:space="0" w:color="auto"/>
              <w:right w:val="single" w:sz="4" w:space="0" w:color="auto"/>
            </w:tcBorders>
            <w:noWrap/>
            <w:vAlign w:val="center"/>
            <w:hideMark/>
          </w:tcPr>
          <w:p w14:paraId="008E786F"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T1-EVLA</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4AEF9A3"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77ABCEB6"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5260219"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E2B34CC"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r>
      <w:tr w:rsidR="00B03727" w:rsidRPr="008B26ED" w14:paraId="257743AE" w14:textId="77777777" w:rsidTr="006C0093">
        <w:trPr>
          <w:trHeight w:val="400"/>
        </w:trPr>
        <w:tc>
          <w:tcPr>
            <w:tcW w:w="1800" w:type="dxa"/>
            <w:tcBorders>
              <w:top w:val="nil"/>
              <w:left w:val="single" w:sz="4" w:space="0" w:color="auto"/>
              <w:bottom w:val="single" w:sz="4" w:space="0" w:color="auto"/>
              <w:right w:val="single" w:sz="4" w:space="0" w:color="auto"/>
            </w:tcBorders>
            <w:noWrap/>
            <w:vAlign w:val="center"/>
            <w:hideMark/>
          </w:tcPr>
          <w:p w14:paraId="21929C20" w14:textId="7777777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T1-TEMESCAL</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107C48B3"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AFDC309"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42FF91A"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F742332"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r>
      <w:tr w:rsidR="00B03727" w:rsidRPr="008B26ED" w14:paraId="53C92DD4"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774CC379" w14:textId="6D9DD5E9"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T2-CLCH</w:t>
            </w:r>
            <w:r w:rsidRPr="002714B2">
              <w:rPr>
                <w:rFonts w:ascii="Arial" w:hAnsi="Arial" w:cs="Arial"/>
                <w:color w:val="000000"/>
                <w:sz w:val="18"/>
                <w:szCs w:val="18"/>
                <w:vertAlign w:val="superscript"/>
              </w:rPr>
              <w:t>4</w:t>
            </w:r>
          </w:p>
        </w:tc>
        <w:tc>
          <w:tcPr>
            <w:tcW w:w="1822" w:type="dxa"/>
            <w:tcBorders>
              <w:top w:val="single" w:sz="4" w:space="0" w:color="auto"/>
              <w:left w:val="single" w:sz="4" w:space="0" w:color="auto"/>
              <w:bottom w:val="single" w:sz="4" w:space="0" w:color="auto"/>
              <w:right w:val="single" w:sz="4" w:space="0" w:color="auto"/>
            </w:tcBorders>
            <w:shd w:val="clear" w:color="000000" w:fill="FF3300"/>
            <w:noWrap/>
            <w:vAlign w:val="center"/>
            <w:hideMark/>
          </w:tcPr>
          <w:p w14:paraId="56F3F796"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High</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686E0E6E"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12C831A"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03AE60EE" w14:textId="51E67A9F"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5A561D5D"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67EFEDAA" w14:textId="2F584103"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T2-CFRN</w:t>
            </w:r>
            <w:r w:rsidRPr="002714B2">
              <w:rPr>
                <w:rFonts w:ascii="Arial" w:hAnsi="Arial" w:cs="Arial"/>
                <w:color w:val="000000"/>
                <w:sz w:val="18"/>
                <w:szCs w:val="18"/>
                <w:vertAlign w:val="superscript"/>
              </w:rPr>
              <w:t>4</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A7D6FD1"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393795B2"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4768F61"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3673B2D"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r>
      <w:tr w:rsidR="00B03727" w:rsidRPr="008B26ED" w14:paraId="78652C8E"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34B167E8" w14:textId="0854F557"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T2-CNRW</w:t>
            </w:r>
            <w:r w:rsidRPr="002714B2">
              <w:rPr>
                <w:rFonts w:ascii="Arial" w:hAnsi="Arial" w:cs="Arial"/>
                <w:color w:val="000000"/>
                <w:sz w:val="18"/>
                <w:szCs w:val="18"/>
                <w:vertAlign w:val="superscript"/>
              </w:rPr>
              <w:t>4</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4EBF112"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3A8C0573"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8B9D250"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BC6101D"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r>
      <w:tr w:rsidR="00B03727" w:rsidRPr="008B26ED" w14:paraId="018E37C4"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hideMark/>
          </w:tcPr>
          <w:p w14:paraId="5C6B45E3" w14:textId="6C3B4D11"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T2-Hwy60</w:t>
            </w:r>
            <w:r w:rsidRPr="002714B2">
              <w:rPr>
                <w:rFonts w:ascii="Arial" w:hAnsi="Arial" w:cs="Arial"/>
                <w:color w:val="000000"/>
                <w:sz w:val="18"/>
                <w:szCs w:val="18"/>
                <w:vertAlign w:val="superscript"/>
              </w:rPr>
              <w:t>4</w:t>
            </w:r>
          </w:p>
        </w:tc>
        <w:tc>
          <w:tcPr>
            <w:tcW w:w="1822"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1A64EA83"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2C855D49"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3588E1E"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4750CB25" w14:textId="7777777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4115A240" w14:textId="77777777" w:rsidTr="006C0093">
        <w:trPr>
          <w:trHeight w:val="400"/>
        </w:trPr>
        <w:tc>
          <w:tcPr>
            <w:tcW w:w="1800" w:type="dxa"/>
            <w:tcBorders>
              <w:top w:val="nil"/>
              <w:left w:val="single" w:sz="4" w:space="0" w:color="auto"/>
              <w:bottom w:val="single" w:sz="4" w:space="0" w:color="auto"/>
              <w:right w:val="single" w:sz="4" w:space="0" w:color="auto"/>
            </w:tcBorders>
            <w:shd w:val="clear" w:color="000000" w:fill="FFFFFF"/>
            <w:noWrap/>
            <w:vAlign w:val="center"/>
          </w:tcPr>
          <w:p w14:paraId="7C228607" w14:textId="69188213" w:rsidR="00B03727" w:rsidRPr="002714B2" w:rsidRDefault="00B03727" w:rsidP="00B03727">
            <w:pPr>
              <w:spacing w:line="240" w:lineRule="auto"/>
              <w:rPr>
                <w:rFonts w:ascii="Arial" w:hAnsi="Arial" w:cs="Arial"/>
                <w:color w:val="000000"/>
                <w:sz w:val="18"/>
                <w:szCs w:val="18"/>
              </w:rPr>
            </w:pPr>
            <w:r w:rsidRPr="002714B2">
              <w:rPr>
                <w:rFonts w:ascii="Arial" w:hAnsi="Arial" w:cs="Arial"/>
                <w:color w:val="000000"/>
                <w:sz w:val="18"/>
                <w:szCs w:val="18"/>
              </w:rPr>
              <w:t>Chino-RP1</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tcPr>
          <w:p w14:paraId="537CB56D" w14:textId="6F64FC67"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6A6A6"/>
            <w:noWrap/>
            <w:vAlign w:val="center"/>
          </w:tcPr>
          <w:p w14:paraId="7248EC3D" w14:textId="1033F6AE"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2" w:type="dxa"/>
            <w:tcBorders>
              <w:top w:val="single" w:sz="4" w:space="0" w:color="auto"/>
              <w:left w:val="single" w:sz="4" w:space="0" w:color="auto"/>
              <w:bottom w:val="single" w:sz="4" w:space="0" w:color="auto"/>
              <w:right w:val="single" w:sz="4" w:space="0" w:color="auto"/>
            </w:tcBorders>
            <w:shd w:val="clear" w:color="000000" w:fill="A6A6A6"/>
            <w:noWrap/>
            <w:vAlign w:val="center"/>
          </w:tcPr>
          <w:p w14:paraId="729BD199" w14:textId="348B1D0C"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NM</w:t>
            </w:r>
          </w:p>
        </w:tc>
        <w:tc>
          <w:tcPr>
            <w:tcW w:w="1823" w:type="dxa"/>
            <w:tcBorders>
              <w:top w:val="single" w:sz="4" w:space="0" w:color="auto"/>
              <w:left w:val="single" w:sz="4" w:space="0" w:color="auto"/>
              <w:bottom w:val="single" w:sz="4" w:space="0" w:color="auto"/>
              <w:right w:val="single" w:sz="4" w:space="0" w:color="auto"/>
            </w:tcBorders>
            <w:shd w:val="clear" w:color="000000" w:fill="A9D08E"/>
            <w:noWrap/>
            <w:vAlign w:val="center"/>
          </w:tcPr>
          <w:p w14:paraId="5EC4DB15" w14:textId="6F0042F9" w:rsidR="00B03727" w:rsidRPr="002714B2" w:rsidRDefault="00B03727" w:rsidP="00B03727">
            <w:pPr>
              <w:spacing w:line="240" w:lineRule="auto"/>
              <w:jc w:val="center"/>
              <w:rPr>
                <w:rFonts w:ascii="Arial" w:hAnsi="Arial" w:cs="Arial"/>
                <w:color w:val="000000"/>
                <w:sz w:val="18"/>
                <w:szCs w:val="18"/>
              </w:rPr>
            </w:pPr>
            <w:r w:rsidRPr="002714B2">
              <w:rPr>
                <w:rFonts w:ascii="Arial" w:hAnsi="Arial" w:cs="Arial"/>
                <w:color w:val="000000"/>
                <w:sz w:val="18"/>
                <w:szCs w:val="18"/>
              </w:rPr>
              <w:t>Low</w:t>
            </w:r>
          </w:p>
        </w:tc>
      </w:tr>
      <w:tr w:rsidR="00B03727" w:rsidRPr="008B26ED" w14:paraId="763BCC33" w14:textId="77777777" w:rsidTr="00CC310E">
        <w:trPr>
          <w:trHeight w:val="818"/>
        </w:trPr>
        <w:tc>
          <w:tcPr>
            <w:tcW w:w="9090" w:type="dxa"/>
            <w:gridSpan w:val="5"/>
            <w:tcBorders>
              <w:top w:val="single" w:sz="4" w:space="0" w:color="auto"/>
            </w:tcBorders>
            <w:shd w:val="clear" w:color="000000" w:fill="FFFFFF"/>
            <w:noWrap/>
          </w:tcPr>
          <w:p w14:paraId="4DF4188F" w14:textId="77777777" w:rsidR="00B03727" w:rsidRPr="008A074A" w:rsidRDefault="00B03727" w:rsidP="00B03727">
            <w:pPr>
              <w:spacing w:line="240" w:lineRule="auto"/>
              <w:ind w:left="144" w:hanging="144"/>
              <w:rPr>
                <w:rFonts w:ascii="Arial" w:hAnsi="Arial" w:cs="Arial"/>
                <w:color w:val="000000"/>
                <w:sz w:val="16"/>
                <w:szCs w:val="16"/>
              </w:rPr>
            </w:pPr>
            <w:r w:rsidRPr="008A074A">
              <w:rPr>
                <w:rFonts w:ascii="Arial" w:hAnsi="Arial" w:cs="Arial"/>
                <w:color w:val="000000"/>
                <w:sz w:val="16"/>
                <w:szCs w:val="16"/>
                <w:vertAlign w:val="superscript"/>
              </w:rPr>
              <w:t>1</w:t>
            </w:r>
            <w:r w:rsidRPr="008A074A">
              <w:rPr>
                <w:rFonts w:ascii="Arial" w:hAnsi="Arial" w:cs="Arial"/>
                <w:color w:val="000000"/>
                <w:sz w:val="16"/>
                <w:szCs w:val="16"/>
              </w:rPr>
              <w:t xml:space="preserve"> RCFC&amp;WCD 2011; SBCFCD 2011</w:t>
            </w:r>
          </w:p>
          <w:p w14:paraId="285EFD51" w14:textId="77777777" w:rsidR="00B03727" w:rsidRDefault="00B03727" w:rsidP="00B03727">
            <w:pPr>
              <w:spacing w:line="240" w:lineRule="auto"/>
              <w:ind w:left="144" w:hanging="144"/>
              <w:rPr>
                <w:rFonts w:ascii="Arial" w:hAnsi="Arial" w:cs="Arial"/>
                <w:color w:val="000000"/>
                <w:sz w:val="16"/>
                <w:szCs w:val="16"/>
              </w:rPr>
            </w:pPr>
            <w:r w:rsidRPr="008A074A">
              <w:rPr>
                <w:rFonts w:ascii="Arial" w:hAnsi="Arial" w:cs="Arial"/>
                <w:color w:val="000000"/>
                <w:sz w:val="16"/>
                <w:szCs w:val="16"/>
                <w:vertAlign w:val="superscript"/>
              </w:rPr>
              <w:t>2</w:t>
            </w:r>
            <w:r w:rsidRPr="008A074A">
              <w:rPr>
                <w:rFonts w:ascii="Arial" w:hAnsi="Arial" w:cs="Arial"/>
                <w:color w:val="000000"/>
                <w:sz w:val="16"/>
                <w:szCs w:val="16"/>
              </w:rPr>
              <w:t xml:space="preserve"> SAWPA 2013</w:t>
            </w:r>
          </w:p>
          <w:p w14:paraId="6974E02E" w14:textId="1C14040F" w:rsidR="00B03727" w:rsidRPr="008A074A" w:rsidRDefault="00B03727" w:rsidP="00B03727">
            <w:pPr>
              <w:spacing w:line="240" w:lineRule="auto"/>
              <w:ind w:left="144" w:hanging="144"/>
              <w:rPr>
                <w:rFonts w:ascii="Arial" w:hAnsi="Arial" w:cs="Arial"/>
                <w:color w:val="000000"/>
                <w:sz w:val="16"/>
                <w:szCs w:val="16"/>
              </w:rPr>
            </w:pPr>
            <w:r w:rsidRPr="001137AC">
              <w:rPr>
                <w:rFonts w:ascii="Arial" w:hAnsi="Arial" w:cs="Arial"/>
                <w:color w:val="000000"/>
                <w:sz w:val="16"/>
                <w:szCs w:val="16"/>
                <w:vertAlign w:val="superscript"/>
              </w:rPr>
              <w:t>3</w:t>
            </w:r>
            <w:r>
              <w:rPr>
                <w:rFonts w:ascii="Arial" w:hAnsi="Arial" w:cs="Arial"/>
                <w:color w:val="000000"/>
                <w:sz w:val="16"/>
                <w:szCs w:val="16"/>
              </w:rPr>
              <w:t xml:space="preserve"> SAWPA 2020</w:t>
            </w:r>
          </w:p>
          <w:p w14:paraId="70793D91" w14:textId="0B83BE9D" w:rsidR="003530C7" w:rsidRPr="003530C7" w:rsidRDefault="00B03727" w:rsidP="003530C7">
            <w:pPr>
              <w:spacing w:line="240" w:lineRule="auto"/>
              <w:ind w:left="144" w:hanging="144"/>
              <w:rPr>
                <w:rFonts w:ascii="Arial" w:hAnsi="Arial" w:cs="Arial"/>
                <w:color w:val="000000"/>
                <w:sz w:val="16"/>
                <w:szCs w:val="16"/>
              </w:rPr>
            </w:pPr>
            <w:r>
              <w:rPr>
                <w:rFonts w:ascii="Arial" w:hAnsi="Arial" w:cs="Arial"/>
                <w:color w:val="000000"/>
                <w:sz w:val="16"/>
                <w:szCs w:val="16"/>
                <w:vertAlign w:val="superscript"/>
              </w:rPr>
              <w:t>4</w:t>
            </w:r>
            <w:r w:rsidRPr="008A074A">
              <w:rPr>
                <w:rFonts w:ascii="Arial" w:hAnsi="Arial" w:cs="Arial"/>
                <w:color w:val="000000"/>
                <w:sz w:val="16"/>
                <w:szCs w:val="16"/>
                <w:vertAlign w:val="superscript"/>
              </w:rPr>
              <w:t xml:space="preserve"> </w:t>
            </w:r>
            <w:r w:rsidRPr="008A074A">
              <w:rPr>
                <w:rFonts w:ascii="Arial" w:hAnsi="Arial" w:cs="Arial"/>
                <w:color w:val="000000"/>
                <w:sz w:val="16"/>
                <w:szCs w:val="16"/>
              </w:rPr>
              <w:t>Re-categorized as Tier 2 after REC1 use removed from Cucamonga Creek Reach 1 (see text</w:t>
            </w:r>
            <w:r w:rsidR="003530C7">
              <w:rPr>
                <w:rFonts w:ascii="Arial" w:hAnsi="Arial" w:cs="Arial"/>
                <w:color w:val="000000"/>
                <w:sz w:val="16"/>
                <w:szCs w:val="16"/>
              </w:rPr>
              <w:t>)</w:t>
            </w:r>
          </w:p>
        </w:tc>
      </w:tr>
    </w:tbl>
    <w:p w14:paraId="7326E1E8" w14:textId="77777777" w:rsidR="006C0093" w:rsidRDefault="006C0093" w:rsidP="00AC69A1">
      <w:pPr>
        <w:pStyle w:val="BodyText"/>
      </w:pPr>
      <w:bookmarkStart w:id="148" w:name="_Hlk29365799"/>
    </w:p>
    <w:p w14:paraId="3ABB589A" w14:textId="77777777" w:rsidR="009B59A3" w:rsidRPr="00CC310E" w:rsidRDefault="009B59A3" w:rsidP="009B59A3">
      <w:pPr>
        <w:pStyle w:val="Heading2"/>
        <w:spacing w:before="240"/>
        <w:ind w:left="792"/>
        <w:rPr>
          <w:lang w:val="fr-FR"/>
        </w:rPr>
      </w:pPr>
      <w:bookmarkStart w:id="149" w:name="_Toc217410171"/>
      <w:r w:rsidRPr="00CC310E">
        <w:rPr>
          <w:lang w:val="fr-FR"/>
        </w:rPr>
        <w:lastRenderedPageBreak/>
        <w:t xml:space="preserve">Uncontrollable, Non-MS4 </w:t>
      </w:r>
      <w:proofErr w:type="spellStart"/>
      <w:r w:rsidRPr="00CC310E">
        <w:rPr>
          <w:lang w:val="fr-FR"/>
        </w:rPr>
        <w:t>Bacteria</w:t>
      </w:r>
      <w:proofErr w:type="spellEnd"/>
      <w:r w:rsidRPr="00CC310E">
        <w:rPr>
          <w:lang w:val="fr-FR"/>
        </w:rPr>
        <w:t xml:space="preserve"> Sources</w:t>
      </w:r>
      <w:bookmarkEnd w:id="149"/>
    </w:p>
    <w:p w14:paraId="4042F153" w14:textId="77777777" w:rsidR="009B59A3" w:rsidRDefault="009B59A3" w:rsidP="009B59A3">
      <w:pPr>
        <w:pStyle w:val="BodyText"/>
        <w:spacing w:after="200"/>
      </w:pPr>
      <w:r>
        <w:t xml:space="preserve">Consistent with the many iterations of the source contribution analyses completed over </w:t>
      </w:r>
      <w:proofErr w:type="gramStart"/>
      <w:r>
        <w:t>a number of</w:t>
      </w:r>
      <w:proofErr w:type="gramEnd"/>
      <w:r>
        <w:t xml:space="preserve"> years, studies have shown that sources of fecal bacteria exist in the MSAR watershed that cannot be attributed solely to MS4 discharges. Historically, the basis for quantifying non-MS4 sources has involved a process of elimination, subtracting measured inflows from the MS4 from measured loads within the receiving waters. </w:t>
      </w:r>
    </w:p>
    <w:p w14:paraId="15E38678" w14:textId="77777777" w:rsidR="009B59A3" w:rsidRDefault="009B59A3" w:rsidP="009B59A3">
      <w:pPr>
        <w:pStyle w:val="BodyText"/>
      </w:pPr>
      <w:r>
        <w:t xml:space="preserve">In 2015, RCFC&amp;WCD implemented the Uncontrollable Bacteria Sources Study (RCFC&amp;WCD 2016), which evaluated the potential for uncontrollable sources of </w:t>
      </w:r>
      <w:r w:rsidRPr="000E4665">
        <w:rPr>
          <w:i/>
        </w:rPr>
        <w:t xml:space="preserve">E. coli </w:t>
      </w:r>
      <w:r>
        <w:t xml:space="preserve">to influence </w:t>
      </w:r>
      <w:r w:rsidRPr="000E4665">
        <w:rPr>
          <w:i/>
        </w:rPr>
        <w:t>E. coli</w:t>
      </w:r>
      <w:r>
        <w:t xml:space="preserve"> concentrations in the MSAR watershed.</w:t>
      </w:r>
      <w:r w:rsidRPr="000E4665">
        <w:rPr>
          <w:vertAlign w:val="superscript"/>
        </w:rPr>
        <w:footnoteReference w:id="24"/>
      </w:r>
      <w:r>
        <w:t xml:space="preserve"> For example, this study found that </w:t>
      </w:r>
      <w:r w:rsidRPr="000E4665">
        <w:rPr>
          <w:i/>
        </w:rPr>
        <w:t xml:space="preserve">E. coli </w:t>
      </w:r>
      <w:r>
        <w:t>levels were higher in biofilm/sediment samples than levels in overlying water samples by as much as four orders of magnitude, indicating that biofilm/sediment behave as a reservoir for</w:t>
      </w:r>
      <w:r w:rsidRPr="000E4665">
        <w:rPr>
          <w:i/>
        </w:rPr>
        <w:t xml:space="preserve"> E. coli</w:t>
      </w:r>
      <w:r w:rsidRPr="00725F17">
        <w:t>.</w:t>
      </w:r>
      <w:r>
        <w:t xml:space="preserve"> In contrast, the outcome from investigations into other potential uncontrollable sources, e.g., feral pigs, did not point to any predominant sources responsible for elevated levels of </w:t>
      </w:r>
      <w:r w:rsidRPr="000E4665">
        <w:rPr>
          <w:i/>
        </w:rPr>
        <w:t>E. coli</w:t>
      </w:r>
      <w:r>
        <w:t>. The following sections discuss different potential types of non-MS4 sources of bacteria to the MSAR watershed.</w:t>
      </w:r>
    </w:p>
    <w:p w14:paraId="553E631A" w14:textId="1F86EA9F" w:rsidR="006C0093" w:rsidRDefault="006C0093" w:rsidP="009B59A3">
      <w:pPr>
        <w:pStyle w:val="BodyText"/>
      </w:pPr>
      <w:r>
        <w:t>Previous studies of uncontrollable sources in MSAR watershed were inconclusive and suggested the in-stream loading could not be attributed to a specific host species (human, dog, bird, pig, or horse). By process of elimination, the 2020 Triennial TMDL report hypothesized that colonization in SAR bottom sediment and releases to overlying water could be an important source for further study.</w:t>
      </w:r>
    </w:p>
    <w:p w14:paraId="75BA1F65" w14:textId="55CA6DB1" w:rsidR="00AC69A1" w:rsidRDefault="00AC69A1" w:rsidP="00AC69A1">
      <w:pPr>
        <w:pStyle w:val="BodyText"/>
      </w:pPr>
      <w:r>
        <w:t xml:space="preserve">Fecal bacteria from a specific host released to the environment can settle to the channel bottom and survive within sediments or biofilms for weeks or months over a wide range of temperature and moisture conditions (Balzer et al 2010). Colonization by these initially deposited fecal bacteria within channel bottom sediments and biofilms results in colonies, where </w:t>
      </w:r>
      <w:proofErr w:type="gramStart"/>
      <w:r>
        <w:t>the majority of</w:t>
      </w:r>
      <w:proofErr w:type="gramEnd"/>
      <w:r>
        <w:t xml:space="preserve"> the population may be considered naturalized (Ishii et al. 2007; </w:t>
      </w:r>
      <w:proofErr w:type="spellStart"/>
      <w:r>
        <w:t>Byappanahalli</w:t>
      </w:r>
      <w:proofErr w:type="spellEnd"/>
      <w:r>
        <w:t xml:space="preserve"> et al. 2012; Ran et al. 2013). Processes including sloughing, desorption, and shearing can release naturalized bacteria from sediment and biofilms to the water column (Litton et al. 2011; </w:t>
      </w:r>
      <w:proofErr w:type="spellStart"/>
      <w:r>
        <w:t>Byappanahalli</w:t>
      </w:r>
      <w:proofErr w:type="spellEnd"/>
      <w:r>
        <w:t xml:space="preserve"> et al. 2003; Jamieson et al. 2005; Reeves et al. 2003; Solo-Gabriele and Perkins 1997; Whitman and Nevers 2003). Scour events can occur during dry weather conditions in the MSAR watershed, as evidenced by sharp increases in flow rate fro</w:t>
      </w:r>
      <w:r w:rsidRPr="00D84A8F">
        <w:t>m de minimis di</w:t>
      </w:r>
      <w:r>
        <w:t>scharges. Importantly, resuspension of bacteria from sediment and regrowth of bacteria in sediment/biofilms are identified as examples of uncontrollable bacteria sources in the Basin Plan (Santa Ana Water Board 20</w:t>
      </w:r>
      <w:r w:rsidR="006C0093">
        <w:t>25</w:t>
      </w:r>
      <w:r>
        <w:t>).</w:t>
      </w:r>
    </w:p>
    <w:p w14:paraId="0053629A" w14:textId="19A36AD3" w:rsidR="00AC69A1" w:rsidRDefault="00AC69A1" w:rsidP="00AC69A1">
      <w:pPr>
        <w:pStyle w:val="BodyText"/>
      </w:pPr>
      <w:r>
        <w:t xml:space="preserve">The 2015 Uncontrollable Bacteria Sources Study (RCFC&amp;WCD 2016) found that fecal indicator bacteria in sediment or biofilms from MSAR TMDL tributaries including Anza </w:t>
      </w:r>
      <w:r>
        <w:lastRenderedPageBreak/>
        <w:t xml:space="preserve">Channel, Eastvale Line E, and Sunnyslope Channel. </w:t>
      </w:r>
      <w:r w:rsidRPr="00FF5C23">
        <w:rPr>
          <w:i/>
          <w:iCs/>
        </w:rPr>
        <w:t>E. coli</w:t>
      </w:r>
      <w:r>
        <w:t xml:space="preserve"> sediment concentrations (as CFU/100g) were 1-2 orders of magnitude higher than in overlying water (as MPN/100mL). This finding demonstrates that naturalized </w:t>
      </w:r>
      <w:r w:rsidRPr="009058F5">
        <w:rPr>
          <w:i/>
          <w:iCs/>
        </w:rPr>
        <w:t>E. coli</w:t>
      </w:r>
      <w:r>
        <w:t xml:space="preserve"> in tributary streams and flood control channels may explain a significant portion of fecal bacteria loading to the TMDL waters. To supplement the 2015 sampling, bottom sediment samples were collected from flowing MSAR TMDL waters for measurement of fecal indicator bacteria concentration during the 2025 Synoptic Study (</w:t>
      </w:r>
      <w:r w:rsidRPr="001A11DC">
        <w:rPr>
          <w:b/>
          <w:bCs/>
        </w:rPr>
        <w:t>Table 3-</w:t>
      </w:r>
      <w:r w:rsidR="001A11DC" w:rsidRPr="001A11DC">
        <w:rPr>
          <w:b/>
          <w:bCs/>
        </w:rPr>
        <w:t>1</w:t>
      </w:r>
      <w:r w:rsidR="00D43F15">
        <w:rPr>
          <w:b/>
          <w:bCs/>
        </w:rPr>
        <w:t>5</w:t>
      </w:r>
      <w:r>
        <w:t xml:space="preserve">). Similar ratios of sediment to overlying water </w:t>
      </w:r>
      <w:r w:rsidRPr="00CB09A2">
        <w:rPr>
          <w:i/>
          <w:iCs/>
        </w:rPr>
        <w:t>E. coli</w:t>
      </w:r>
      <w:r>
        <w:t xml:space="preserve"> concentration were observed within the receiving waters as were observed in tributaries, suggesting that the conditions exist to support colonization within the mainstem of the SAR, Mill-Cucamonga Creek, and Chino Creek. </w:t>
      </w:r>
      <w:r w:rsidRPr="00CB09A2">
        <w:rPr>
          <w:i/>
          <w:iCs/>
        </w:rPr>
        <w:t>E. coli</w:t>
      </w:r>
      <w:r>
        <w:t xml:space="preserve"> concentrations in bottom sediment of TMDL waters were greatest in the SAR at Mission Avenue (WW-MISSION) and comparable to concentrations of colonies measured in tributary urban streams or flood control channels in 2015. Thus, previous estimation of the potential for this source to explain concentrations in overlying water are validated by site specific data, as follows:</w:t>
      </w:r>
    </w:p>
    <w:p w14:paraId="19FA59A2" w14:textId="0354C3A4" w:rsidR="00AC69A1" w:rsidRDefault="00AC69A1" w:rsidP="00AC69A1">
      <w:pPr>
        <w:pStyle w:val="00Bullet1"/>
        <w:numPr>
          <w:ilvl w:val="0"/>
          <w:numId w:val="46"/>
        </w:numPr>
        <w:spacing w:after="120"/>
      </w:pPr>
      <w:r w:rsidRPr="00B54246">
        <w:t xml:space="preserve">The potential total population of naturalized </w:t>
      </w:r>
      <w:r w:rsidRPr="00B54246">
        <w:rPr>
          <w:i/>
        </w:rPr>
        <w:t xml:space="preserve">E. </w:t>
      </w:r>
      <w:proofErr w:type="gramStart"/>
      <w:r w:rsidRPr="00B54246">
        <w:rPr>
          <w:i/>
        </w:rPr>
        <w:t>coli</w:t>
      </w:r>
      <w:proofErr w:type="gramEnd"/>
      <w:r w:rsidRPr="00B54246">
        <w:t xml:space="preserve"> in the top one centimeter (cm) of bottom sediments contained in this segment of the Santa Ana River is estimated to be </w:t>
      </w:r>
      <w:r w:rsidR="009B59A3">
        <w:t>800</w:t>
      </w:r>
      <w:r w:rsidRPr="00B54246">
        <w:t xml:space="preserve"> billion MPN based on a</w:t>
      </w:r>
      <w:r w:rsidR="009B59A3">
        <w:t xml:space="preserve"> typical</w:t>
      </w:r>
      <w:r w:rsidRPr="00B54246">
        <w:t xml:space="preserve"> value of </w:t>
      </w:r>
      <w:r w:rsidR="009B59A3">
        <w:t>80</w:t>
      </w:r>
      <w:r>
        <w:t>,</w:t>
      </w:r>
      <w:r w:rsidR="009B59A3">
        <w:t>0</w:t>
      </w:r>
      <w:r>
        <w:t>00</w:t>
      </w:r>
      <w:r w:rsidRPr="00B54246">
        <w:t xml:space="preserve"> </w:t>
      </w:r>
      <w:r>
        <w:t>CFU</w:t>
      </w:r>
      <w:r w:rsidRPr="00B54246">
        <w:t>/g of sediment/biofilm (Table 3-</w:t>
      </w:r>
      <w:r w:rsidR="00DA6B76">
        <w:t>16</w:t>
      </w:r>
      <w:r w:rsidRPr="00B54246">
        <w:t>) multiplied by an approximated mass of 1</w:t>
      </w:r>
      <w:r>
        <w:t xml:space="preserve">,000,000 </w:t>
      </w:r>
      <w:r w:rsidRPr="00B54246">
        <w:t>kg (68,000 m</w:t>
      </w:r>
      <w:r w:rsidRPr="007074B7">
        <w:rPr>
          <w:vertAlign w:val="superscript"/>
        </w:rPr>
        <w:t>2</w:t>
      </w:r>
      <w:r w:rsidRPr="00B54246">
        <w:t xml:space="preserve"> * 0.01 meter of sediment * 1</w:t>
      </w:r>
      <w:r>
        <w:t>,500</w:t>
      </w:r>
      <w:r>
        <w:rPr>
          <w:vertAlign w:val="superscript"/>
        </w:rPr>
        <w:t xml:space="preserve"> </w:t>
      </w:r>
      <w:r w:rsidRPr="00B54246">
        <w:t>kg/m</w:t>
      </w:r>
      <w:r w:rsidRPr="007074B7">
        <w:rPr>
          <w:vertAlign w:val="superscript"/>
        </w:rPr>
        <w:t>3</w:t>
      </w:r>
      <w:r w:rsidRPr="00B54246">
        <w:t xml:space="preserve"> bulk density).</w:t>
      </w:r>
      <w:r>
        <w:t xml:space="preserve"> Thus, </w:t>
      </w:r>
      <w:r w:rsidRPr="00B54246">
        <w:t xml:space="preserve">average in-stream load at the MISSION site of </w:t>
      </w:r>
      <w:r w:rsidR="00DA6B76">
        <w:t>162</w:t>
      </w:r>
      <w:r w:rsidRPr="00B54246">
        <w:t xml:space="preserve"> billion MPN/day could be explained by a shedding rate of ~</w:t>
      </w:r>
      <w:r w:rsidR="009B59A3">
        <w:t>20</w:t>
      </w:r>
      <w:r w:rsidRPr="00B54246">
        <w:t xml:space="preserve"> percent per day from the top </w:t>
      </w:r>
      <w:r>
        <w:t>cm</w:t>
      </w:r>
      <w:r w:rsidRPr="00B54246">
        <w:t xml:space="preserve"> of river bottom sediments.</w:t>
      </w:r>
    </w:p>
    <w:tbl>
      <w:tblPr>
        <w:tblW w:w="9180" w:type="dxa"/>
        <w:tblLook w:val="04A0" w:firstRow="1" w:lastRow="0" w:firstColumn="1" w:lastColumn="0" w:noHBand="0" w:noVBand="1"/>
      </w:tblPr>
      <w:tblGrid>
        <w:gridCol w:w="1690"/>
        <w:gridCol w:w="2180"/>
        <w:gridCol w:w="1440"/>
        <w:gridCol w:w="1260"/>
        <w:gridCol w:w="1357"/>
        <w:gridCol w:w="1253"/>
      </w:tblGrid>
      <w:tr w:rsidR="00AC69A1" w:rsidRPr="00054EFB" w14:paraId="1450D06A" w14:textId="77777777" w:rsidTr="00184077">
        <w:trPr>
          <w:trHeight w:val="459"/>
        </w:trPr>
        <w:tc>
          <w:tcPr>
            <w:tcW w:w="9180" w:type="dxa"/>
            <w:gridSpan w:val="6"/>
            <w:tcBorders>
              <w:top w:val="nil"/>
              <w:left w:val="nil"/>
              <w:bottom w:val="single" w:sz="4" w:space="0" w:color="auto"/>
              <w:right w:val="nil"/>
            </w:tcBorders>
            <w:noWrap/>
            <w:vAlign w:val="center"/>
          </w:tcPr>
          <w:p w14:paraId="344D4B5C" w14:textId="038D74E3" w:rsidR="00AC69A1" w:rsidRPr="00D43F15" w:rsidRDefault="00D43F15" w:rsidP="00D43F15">
            <w:pPr>
              <w:pStyle w:val="Caption"/>
              <w:keepNext/>
            </w:pPr>
            <w:bookmarkStart w:id="150" w:name="_Toc217391772"/>
            <w:r>
              <w:t xml:space="preserve">Table </w:t>
            </w:r>
            <w:r w:rsidR="00FE614C">
              <w:fldChar w:fldCharType="begin"/>
            </w:r>
            <w:r w:rsidR="00FE614C">
              <w:instrText xml:space="preserve"> STYLEREF 1 \s </w:instrText>
            </w:r>
            <w:r w:rsidR="00FE614C">
              <w:fldChar w:fldCharType="separate"/>
            </w:r>
            <w:r w:rsidR="00FE614C">
              <w:rPr>
                <w:noProof/>
              </w:rPr>
              <w:t>3</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15</w:t>
            </w:r>
            <w:r w:rsidR="00FE614C">
              <w:fldChar w:fldCharType="end"/>
            </w:r>
            <w:r>
              <w:t xml:space="preserve">. </w:t>
            </w:r>
            <w:r w:rsidR="00AC69A1" w:rsidRPr="00472752">
              <w:t xml:space="preserve">Concentrations of </w:t>
            </w:r>
            <w:r w:rsidR="00AC69A1" w:rsidRPr="00FE614C">
              <w:rPr>
                <w:i/>
                <w:iCs w:val="0"/>
              </w:rPr>
              <w:t xml:space="preserve">E. </w:t>
            </w:r>
            <w:proofErr w:type="gramStart"/>
            <w:r w:rsidR="00AC69A1" w:rsidRPr="00FE614C">
              <w:rPr>
                <w:i/>
                <w:iCs w:val="0"/>
              </w:rPr>
              <w:t>coli</w:t>
            </w:r>
            <w:proofErr w:type="gramEnd"/>
            <w:r w:rsidR="00AC69A1" w:rsidRPr="00472752">
              <w:t xml:space="preserve"> in bottom sediment from MSAR TMDL waters and tributaries</w:t>
            </w:r>
            <w:bookmarkEnd w:id="150"/>
          </w:p>
        </w:tc>
      </w:tr>
      <w:tr w:rsidR="00AC69A1" w:rsidRPr="001D4853" w14:paraId="04B1967B" w14:textId="77777777" w:rsidTr="00A94C91">
        <w:trPr>
          <w:trHeight w:val="359"/>
        </w:trPr>
        <w:tc>
          <w:tcPr>
            <w:tcW w:w="169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581CD7" w14:textId="77777777" w:rsidR="00AC69A1" w:rsidRPr="002714B2" w:rsidRDefault="00AC69A1" w:rsidP="00184077">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Study</w:t>
            </w:r>
          </w:p>
        </w:tc>
        <w:tc>
          <w:tcPr>
            <w:tcW w:w="218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E5755FE" w14:textId="77777777" w:rsidR="00AC69A1" w:rsidRPr="002714B2" w:rsidRDefault="00AC69A1" w:rsidP="00184077">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Waterbody</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78AF512" w14:textId="77777777" w:rsidR="00AC69A1" w:rsidRPr="002714B2" w:rsidRDefault="00AC69A1" w:rsidP="00184077">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Site</w:t>
            </w:r>
          </w:p>
        </w:tc>
        <w:tc>
          <w:tcPr>
            <w:tcW w:w="261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E8A0DC" w14:textId="77777777" w:rsidR="00AC69A1" w:rsidRPr="002714B2" w:rsidRDefault="00AC69A1" w:rsidP="00184077">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 xml:space="preserve">Site </w:t>
            </w:r>
            <w:r w:rsidRPr="002714B2">
              <w:rPr>
                <w:rFonts w:ascii="Arial" w:hAnsi="Arial" w:cs="Arial"/>
                <w:b/>
                <w:bCs/>
                <w:i/>
                <w:iCs/>
                <w:color w:val="000000"/>
                <w:sz w:val="18"/>
                <w:szCs w:val="18"/>
              </w:rPr>
              <w:t>E. coli</w:t>
            </w:r>
            <w:r w:rsidRPr="002714B2">
              <w:rPr>
                <w:rFonts w:ascii="Arial" w:hAnsi="Arial" w:cs="Arial"/>
                <w:b/>
                <w:bCs/>
                <w:color w:val="000000"/>
                <w:sz w:val="18"/>
                <w:szCs w:val="18"/>
              </w:rPr>
              <w:t xml:space="preserve"> Geomean</w:t>
            </w:r>
            <w:r w:rsidRPr="002714B2">
              <w:rPr>
                <w:rFonts w:ascii="Arial" w:hAnsi="Arial" w:cs="Arial"/>
                <w:b/>
                <w:bCs/>
                <w:i/>
                <w:iCs/>
                <w:color w:val="000000"/>
                <w:sz w:val="18"/>
                <w:szCs w:val="18"/>
              </w:rPr>
              <w:t xml:space="preserve"> </w:t>
            </w:r>
          </w:p>
        </w:tc>
        <w:tc>
          <w:tcPr>
            <w:tcW w:w="1253"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6FF25B" w14:textId="77777777" w:rsidR="00AC69A1" w:rsidRPr="002714B2" w:rsidRDefault="00AC69A1" w:rsidP="00184077">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Ratio</w:t>
            </w:r>
          </w:p>
        </w:tc>
      </w:tr>
      <w:tr w:rsidR="00AC69A1" w:rsidRPr="001D4853" w14:paraId="6A4A06E6" w14:textId="77777777" w:rsidTr="00A94C91">
        <w:trPr>
          <w:trHeight w:val="512"/>
        </w:trPr>
        <w:tc>
          <w:tcPr>
            <w:tcW w:w="1690" w:type="dxa"/>
            <w:vMerge/>
            <w:tcBorders>
              <w:top w:val="single" w:sz="4" w:space="0" w:color="auto"/>
              <w:left w:val="single" w:sz="4" w:space="0" w:color="auto"/>
              <w:bottom w:val="single" w:sz="4" w:space="0" w:color="auto"/>
              <w:right w:val="single" w:sz="4" w:space="0" w:color="auto"/>
            </w:tcBorders>
            <w:noWrap/>
            <w:vAlign w:val="center"/>
          </w:tcPr>
          <w:p w14:paraId="2BE6A542" w14:textId="77777777" w:rsidR="00AC69A1" w:rsidRPr="002714B2" w:rsidRDefault="00AC69A1" w:rsidP="00184077">
            <w:pPr>
              <w:spacing w:line="240" w:lineRule="auto"/>
              <w:jc w:val="center"/>
              <w:rPr>
                <w:rFonts w:ascii="Arial" w:hAnsi="Arial" w:cs="Arial"/>
                <w:b/>
                <w:bCs/>
                <w:color w:val="000000"/>
                <w:sz w:val="18"/>
                <w:szCs w:val="18"/>
              </w:rPr>
            </w:pPr>
          </w:p>
        </w:tc>
        <w:tc>
          <w:tcPr>
            <w:tcW w:w="2180" w:type="dxa"/>
            <w:vMerge/>
            <w:tcBorders>
              <w:top w:val="single" w:sz="4" w:space="0" w:color="auto"/>
              <w:left w:val="single" w:sz="4" w:space="0" w:color="auto"/>
              <w:bottom w:val="single" w:sz="4" w:space="0" w:color="auto"/>
              <w:right w:val="single" w:sz="4" w:space="0" w:color="auto"/>
            </w:tcBorders>
            <w:noWrap/>
            <w:vAlign w:val="center"/>
          </w:tcPr>
          <w:p w14:paraId="4A5E8DC6" w14:textId="77777777" w:rsidR="00AC69A1" w:rsidRPr="002714B2" w:rsidRDefault="00AC69A1" w:rsidP="00184077">
            <w:pPr>
              <w:spacing w:line="240" w:lineRule="auto"/>
              <w:jc w:val="center"/>
              <w:rPr>
                <w:rFonts w:ascii="Arial" w:hAnsi="Arial" w:cs="Arial"/>
                <w:b/>
                <w:bCs/>
                <w:color w:val="000000"/>
                <w:sz w:val="18"/>
                <w:szCs w:val="18"/>
              </w:rPr>
            </w:pPr>
          </w:p>
        </w:tc>
        <w:tc>
          <w:tcPr>
            <w:tcW w:w="1440" w:type="dxa"/>
            <w:vMerge/>
            <w:tcBorders>
              <w:top w:val="single" w:sz="4" w:space="0" w:color="auto"/>
              <w:left w:val="single" w:sz="4" w:space="0" w:color="auto"/>
              <w:bottom w:val="single" w:sz="4" w:space="0" w:color="auto"/>
              <w:right w:val="single" w:sz="4" w:space="0" w:color="auto"/>
            </w:tcBorders>
            <w:noWrap/>
            <w:vAlign w:val="center"/>
          </w:tcPr>
          <w:p w14:paraId="2871B2A2" w14:textId="77777777" w:rsidR="00AC69A1" w:rsidRPr="002714B2" w:rsidRDefault="00AC69A1" w:rsidP="00184077">
            <w:pPr>
              <w:spacing w:line="240" w:lineRule="auto"/>
              <w:jc w:val="center"/>
              <w:rPr>
                <w:rFonts w:ascii="Arial" w:hAnsi="Arial" w:cs="Arial"/>
                <w:b/>
                <w:bCs/>
                <w:color w:val="000000"/>
                <w:sz w:val="18"/>
                <w:szCs w:val="18"/>
              </w:rPr>
            </w:pPr>
          </w:p>
        </w:tc>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DEB231" w14:textId="77777777" w:rsidR="00AC69A1" w:rsidRPr="002714B2" w:rsidRDefault="00AC69A1" w:rsidP="00184077">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Sediment (CFU/100g)</w:t>
            </w:r>
          </w:p>
        </w:tc>
        <w:tc>
          <w:tcPr>
            <w:tcW w:w="13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66C442" w14:textId="77777777" w:rsidR="00AC69A1" w:rsidRPr="002714B2" w:rsidRDefault="00AC69A1" w:rsidP="00184077">
            <w:pPr>
              <w:spacing w:line="240" w:lineRule="auto"/>
              <w:jc w:val="center"/>
              <w:rPr>
                <w:rFonts w:ascii="Arial" w:hAnsi="Arial" w:cs="Arial"/>
                <w:b/>
                <w:bCs/>
                <w:color w:val="000000"/>
                <w:sz w:val="18"/>
                <w:szCs w:val="18"/>
              </w:rPr>
            </w:pPr>
            <w:r w:rsidRPr="002714B2">
              <w:rPr>
                <w:rFonts w:ascii="Arial" w:hAnsi="Arial" w:cs="Arial"/>
                <w:b/>
                <w:bCs/>
                <w:color w:val="000000"/>
                <w:sz w:val="18"/>
                <w:szCs w:val="18"/>
              </w:rPr>
              <w:t>Water (MPN/100mL)</w:t>
            </w:r>
          </w:p>
        </w:tc>
        <w:tc>
          <w:tcPr>
            <w:tcW w:w="1253" w:type="dxa"/>
            <w:vMerge/>
            <w:tcBorders>
              <w:top w:val="single" w:sz="4" w:space="0" w:color="auto"/>
              <w:left w:val="single" w:sz="4" w:space="0" w:color="auto"/>
              <w:bottom w:val="single" w:sz="4" w:space="0" w:color="auto"/>
              <w:right w:val="single" w:sz="4" w:space="0" w:color="auto"/>
            </w:tcBorders>
            <w:noWrap/>
            <w:vAlign w:val="center"/>
          </w:tcPr>
          <w:p w14:paraId="5F841C99" w14:textId="77777777" w:rsidR="00AC69A1" w:rsidRPr="002714B2" w:rsidRDefault="00AC69A1" w:rsidP="00184077">
            <w:pPr>
              <w:spacing w:line="240" w:lineRule="auto"/>
              <w:jc w:val="center"/>
              <w:rPr>
                <w:rFonts w:ascii="Arial" w:hAnsi="Arial" w:cs="Arial"/>
                <w:b/>
                <w:bCs/>
                <w:color w:val="000000"/>
                <w:sz w:val="18"/>
                <w:szCs w:val="18"/>
              </w:rPr>
            </w:pPr>
          </w:p>
        </w:tc>
      </w:tr>
      <w:tr w:rsidR="00AC69A1" w:rsidRPr="001D4853" w14:paraId="220B1959" w14:textId="77777777" w:rsidTr="00A94C91">
        <w:trPr>
          <w:trHeight w:val="300"/>
        </w:trPr>
        <w:tc>
          <w:tcPr>
            <w:tcW w:w="1690" w:type="dxa"/>
            <w:vMerge w:val="restart"/>
            <w:tcBorders>
              <w:top w:val="single" w:sz="4" w:space="0" w:color="auto"/>
              <w:left w:val="single" w:sz="4" w:space="0" w:color="auto"/>
              <w:bottom w:val="single" w:sz="4" w:space="0" w:color="auto"/>
              <w:right w:val="single" w:sz="4" w:space="0" w:color="auto"/>
            </w:tcBorders>
            <w:noWrap/>
            <w:vAlign w:val="center"/>
            <w:hideMark/>
          </w:tcPr>
          <w:p w14:paraId="34F7A648"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2025 Synoptic Study</w:t>
            </w:r>
          </w:p>
        </w:tc>
        <w:tc>
          <w:tcPr>
            <w:tcW w:w="2180" w:type="dxa"/>
            <w:vMerge w:val="restart"/>
            <w:tcBorders>
              <w:top w:val="single" w:sz="4" w:space="0" w:color="auto"/>
              <w:left w:val="single" w:sz="4" w:space="0" w:color="auto"/>
              <w:bottom w:val="single" w:sz="4" w:space="0" w:color="auto"/>
              <w:right w:val="single" w:sz="4" w:space="0" w:color="auto"/>
            </w:tcBorders>
            <w:vAlign w:val="center"/>
            <w:hideMark/>
          </w:tcPr>
          <w:p w14:paraId="1BB2F43F"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 xml:space="preserve">Santa Ana River Upstream </w:t>
            </w:r>
            <w:r w:rsidRPr="002714B2">
              <w:rPr>
                <w:rFonts w:ascii="Arial" w:hAnsi="Arial" w:cs="Arial"/>
                <w:color w:val="000000"/>
                <w:sz w:val="18"/>
                <w:szCs w:val="18"/>
              </w:rPr>
              <w:br/>
            </w:r>
            <w:r w:rsidRPr="002714B2">
              <w:rPr>
                <w:rFonts w:ascii="Arial" w:hAnsi="Arial" w:cs="Arial"/>
                <w:color w:val="000000"/>
                <w:sz w:val="18"/>
                <w:szCs w:val="18"/>
              </w:rPr>
              <w:br/>
              <w:t>Santa Ana River Downstream</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3B50D16E"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P3-SBC1</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267F39CF"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40,248</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79D993A9"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80</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2B02B5F4"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505</w:t>
            </w:r>
          </w:p>
        </w:tc>
      </w:tr>
      <w:tr w:rsidR="00AC69A1" w:rsidRPr="001D4853" w14:paraId="12F43C2F" w14:textId="77777777" w:rsidTr="00A94C91">
        <w:trPr>
          <w:trHeight w:val="300"/>
        </w:trPr>
        <w:tc>
          <w:tcPr>
            <w:tcW w:w="1690" w:type="dxa"/>
            <w:vMerge/>
            <w:tcBorders>
              <w:top w:val="single" w:sz="4" w:space="0" w:color="auto"/>
              <w:left w:val="single" w:sz="4" w:space="0" w:color="auto"/>
              <w:bottom w:val="single" w:sz="4" w:space="0" w:color="auto"/>
              <w:right w:val="single" w:sz="4" w:space="0" w:color="auto"/>
            </w:tcBorders>
            <w:vAlign w:val="center"/>
            <w:hideMark/>
          </w:tcPr>
          <w:p w14:paraId="1ED83EA8" w14:textId="77777777" w:rsidR="00AC69A1" w:rsidRPr="002714B2" w:rsidRDefault="00AC69A1" w:rsidP="00184077">
            <w:pPr>
              <w:spacing w:line="240" w:lineRule="auto"/>
              <w:rPr>
                <w:rFonts w:ascii="Arial" w:hAnsi="Arial" w:cs="Arial"/>
                <w:color w:val="000000"/>
                <w:sz w:val="18"/>
                <w:szCs w:val="18"/>
              </w:rPr>
            </w:pPr>
          </w:p>
        </w:tc>
        <w:tc>
          <w:tcPr>
            <w:tcW w:w="2180" w:type="dxa"/>
            <w:vMerge/>
            <w:tcBorders>
              <w:top w:val="single" w:sz="4" w:space="0" w:color="auto"/>
              <w:left w:val="single" w:sz="4" w:space="0" w:color="auto"/>
              <w:bottom w:val="single" w:sz="4" w:space="0" w:color="auto"/>
              <w:right w:val="single" w:sz="4" w:space="0" w:color="auto"/>
            </w:tcBorders>
            <w:vAlign w:val="center"/>
            <w:hideMark/>
          </w:tcPr>
          <w:p w14:paraId="68E865E8" w14:textId="77777777" w:rsidR="00AC69A1" w:rsidRPr="002714B2" w:rsidRDefault="00AC69A1" w:rsidP="00184077">
            <w:pPr>
              <w:spacing w:line="240" w:lineRule="auto"/>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369A5BEF"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WW-MISSION</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5AC5B3D1"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193,752</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6D904A84"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378</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538791E1"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513</w:t>
            </w:r>
          </w:p>
        </w:tc>
      </w:tr>
      <w:tr w:rsidR="00AC69A1" w:rsidRPr="001D4853" w14:paraId="63535E01" w14:textId="77777777" w:rsidTr="00A94C91">
        <w:trPr>
          <w:trHeight w:val="300"/>
        </w:trPr>
        <w:tc>
          <w:tcPr>
            <w:tcW w:w="1690" w:type="dxa"/>
            <w:vMerge/>
            <w:tcBorders>
              <w:top w:val="single" w:sz="4" w:space="0" w:color="auto"/>
              <w:left w:val="single" w:sz="4" w:space="0" w:color="auto"/>
              <w:bottom w:val="single" w:sz="4" w:space="0" w:color="auto"/>
              <w:right w:val="single" w:sz="4" w:space="0" w:color="auto"/>
            </w:tcBorders>
            <w:vAlign w:val="center"/>
            <w:hideMark/>
          </w:tcPr>
          <w:p w14:paraId="3EB58994" w14:textId="77777777" w:rsidR="00AC69A1" w:rsidRPr="002714B2" w:rsidRDefault="00AC69A1" w:rsidP="00184077">
            <w:pPr>
              <w:spacing w:line="240" w:lineRule="auto"/>
              <w:rPr>
                <w:rFonts w:ascii="Arial" w:hAnsi="Arial" w:cs="Arial"/>
                <w:color w:val="000000"/>
                <w:sz w:val="18"/>
                <w:szCs w:val="18"/>
              </w:rPr>
            </w:pPr>
          </w:p>
        </w:tc>
        <w:tc>
          <w:tcPr>
            <w:tcW w:w="2180" w:type="dxa"/>
            <w:vMerge/>
            <w:tcBorders>
              <w:top w:val="single" w:sz="4" w:space="0" w:color="auto"/>
              <w:left w:val="single" w:sz="4" w:space="0" w:color="auto"/>
              <w:bottom w:val="single" w:sz="4" w:space="0" w:color="auto"/>
              <w:right w:val="single" w:sz="4" w:space="0" w:color="auto"/>
            </w:tcBorders>
            <w:vAlign w:val="center"/>
            <w:hideMark/>
          </w:tcPr>
          <w:p w14:paraId="556BB693" w14:textId="77777777" w:rsidR="00AC69A1" w:rsidRPr="002714B2" w:rsidRDefault="00AC69A1" w:rsidP="00184077">
            <w:pPr>
              <w:spacing w:line="240" w:lineRule="auto"/>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20480E01"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WW-S1</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074E05B9"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76,484</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573E3703"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328</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08D15FC2"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233</w:t>
            </w:r>
          </w:p>
        </w:tc>
      </w:tr>
      <w:tr w:rsidR="00AC69A1" w:rsidRPr="001D4853" w14:paraId="258024C3" w14:textId="77777777" w:rsidTr="00A94C91">
        <w:trPr>
          <w:trHeight w:val="395"/>
        </w:trPr>
        <w:tc>
          <w:tcPr>
            <w:tcW w:w="1690" w:type="dxa"/>
            <w:vMerge/>
            <w:tcBorders>
              <w:top w:val="single" w:sz="4" w:space="0" w:color="auto"/>
              <w:left w:val="single" w:sz="4" w:space="0" w:color="auto"/>
              <w:bottom w:val="single" w:sz="4" w:space="0" w:color="auto"/>
              <w:right w:val="single" w:sz="4" w:space="0" w:color="auto"/>
            </w:tcBorders>
            <w:vAlign w:val="center"/>
            <w:hideMark/>
          </w:tcPr>
          <w:p w14:paraId="104A45FA" w14:textId="77777777" w:rsidR="00AC69A1" w:rsidRPr="002714B2" w:rsidRDefault="00AC69A1" w:rsidP="00184077">
            <w:pPr>
              <w:spacing w:line="240" w:lineRule="auto"/>
              <w:rPr>
                <w:rFonts w:ascii="Arial" w:hAnsi="Arial" w:cs="Arial"/>
                <w:color w:val="000000"/>
                <w:sz w:val="18"/>
                <w:szCs w:val="18"/>
              </w:rPr>
            </w:pPr>
          </w:p>
        </w:tc>
        <w:tc>
          <w:tcPr>
            <w:tcW w:w="2180" w:type="dxa"/>
            <w:vMerge/>
            <w:tcBorders>
              <w:top w:val="single" w:sz="4" w:space="0" w:color="auto"/>
              <w:left w:val="single" w:sz="4" w:space="0" w:color="auto"/>
              <w:bottom w:val="single" w:sz="4" w:space="0" w:color="auto"/>
              <w:right w:val="single" w:sz="4" w:space="0" w:color="auto"/>
            </w:tcBorders>
            <w:vAlign w:val="center"/>
            <w:hideMark/>
          </w:tcPr>
          <w:p w14:paraId="0C6B33BB" w14:textId="77777777" w:rsidR="00AC69A1" w:rsidRPr="002714B2" w:rsidRDefault="00AC69A1" w:rsidP="00184077">
            <w:pPr>
              <w:spacing w:line="240" w:lineRule="auto"/>
              <w:rPr>
                <w:rFonts w:ascii="Arial" w:hAnsi="Arial" w:cs="Arial"/>
                <w:color w:val="000000"/>
                <w:sz w:val="18"/>
                <w:szCs w:val="18"/>
              </w:rPr>
            </w:pP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07AC5159"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WW-S4</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8B97096"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36,896</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7D211F9A"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222</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7AC6538C"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166</w:t>
            </w:r>
          </w:p>
        </w:tc>
      </w:tr>
      <w:tr w:rsidR="00AC69A1" w:rsidRPr="001D4853" w14:paraId="193EFA1B" w14:textId="77777777" w:rsidTr="00A94C91">
        <w:trPr>
          <w:trHeight w:val="300"/>
        </w:trPr>
        <w:tc>
          <w:tcPr>
            <w:tcW w:w="1690" w:type="dxa"/>
            <w:vMerge/>
            <w:tcBorders>
              <w:top w:val="single" w:sz="4" w:space="0" w:color="auto"/>
              <w:left w:val="single" w:sz="4" w:space="0" w:color="auto"/>
              <w:bottom w:val="single" w:sz="4" w:space="0" w:color="auto"/>
              <w:right w:val="single" w:sz="4" w:space="0" w:color="auto"/>
            </w:tcBorders>
            <w:vAlign w:val="center"/>
            <w:hideMark/>
          </w:tcPr>
          <w:p w14:paraId="400F0CE7" w14:textId="77777777" w:rsidR="00AC69A1" w:rsidRPr="002714B2" w:rsidRDefault="00AC69A1" w:rsidP="00184077">
            <w:pPr>
              <w:spacing w:line="240" w:lineRule="auto"/>
              <w:rPr>
                <w:rFonts w:ascii="Arial" w:hAnsi="Arial" w:cs="Arial"/>
                <w:color w:val="000000"/>
                <w:sz w:val="18"/>
                <w:szCs w:val="18"/>
              </w:rPr>
            </w:pPr>
          </w:p>
        </w:tc>
        <w:tc>
          <w:tcPr>
            <w:tcW w:w="2180" w:type="dxa"/>
            <w:tcBorders>
              <w:top w:val="single" w:sz="4" w:space="0" w:color="auto"/>
              <w:left w:val="single" w:sz="4" w:space="0" w:color="auto"/>
              <w:bottom w:val="single" w:sz="4" w:space="0" w:color="auto"/>
              <w:right w:val="single" w:sz="4" w:space="0" w:color="auto"/>
            </w:tcBorders>
            <w:noWrap/>
            <w:vAlign w:val="center"/>
            <w:hideMark/>
          </w:tcPr>
          <w:p w14:paraId="1C6EDF60"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Chino Creek</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647C171A"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WW-C7</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078F2740"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41,023</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19E17DD2"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282</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7AA4A446"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145</w:t>
            </w:r>
          </w:p>
        </w:tc>
      </w:tr>
      <w:tr w:rsidR="00AC69A1" w:rsidRPr="001D4853" w14:paraId="0F684400" w14:textId="77777777" w:rsidTr="00A94C91">
        <w:trPr>
          <w:trHeight w:val="300"/>
        </w:trPr>
        <w:tc>
          <w:tcPr>
            <w:tcW w:w="1690" w:type="dxa"/>
            <w:vMerge/>
            <w:tcBorders>
              <w:top w:val="single" w:sz="4" w:space="0" w:color="auto"/>
              <w:left w:val="single" w:sz="4" w:space="0" w:color="auto"/>
              <w:bottom w:val="single" w:sz="4" w:space="0" w:color="auto"/>
              <w:right w:val="single" w:sz="4" w:space="0" w:color="auto"/>
            </w:tcBorders>
            <w:vAlign w:val="center"/>
            <w:hideMark/>
          </w:tcPr>
          <w:p w14:paraId="200DAE35" w14:textId="77777777" w:rsidR="00AC69A1" w:rsidRPr="002714B2" w:rsidRDefault="00AC69A1" w:rsidP="00184077">
            <w:pPr>
              <w:spacing w:line="240" w:lineRule="auto"/>
              <w:rPr>
                <w:rFonts w:ascii="Arial" w:hAnsi="Arial" w:cs="Arial"/>
                <w:color w:val="000000"/>
                <w:sz w:val="18"/>
                <w:szCs w:val="18"/>
              </w:rPr>
            </w:pPr>
          </w:p>
        </w:tc>
        <w:tc>
          <w:tcPr>
            <w:tcW w:w="2180" w:type="dxa"/>
            <w:tcBorders>
              <w:top w:val="single" w:sz="4" w:space="0" w:color="auto"/>
              <w:left w:val="single" w:sz="4" w:space="0" w:color="auto"/>
              <w:bottom w:val="single" w:sz="4" w:space="0" w:color="auto"/>
              <w:right w:val="single" w:sz="4" w:space="0" w:color="auto"/>
            </w:tcBorders>
            <w:noWrap/>
            <w:vAlign w:val="center"/>
            <w:hideMark/>
          </w:tcPr>
          <w:p w14:paraId="47E0FD45"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Mill-Cucamonga Creek</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1D612DFD"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WW-M6</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342E084B"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38,330</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650106BA"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201</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736BF378"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191</w:t>
            </w:r>
          </w:p>
        </w:tc>
      </w:tr>
      <w:tr w:rsidR="00AC69A1" w:rsidRPr="001D4853" w14:paraId="082D0B03" w14:textId="77777777" w:rsidTr="00A94C91">
        <w:trPr>
          <w:trHeight w:val="300"/>
        </w:trPr>
        <w:tc>
          <w:tcPr>
            <w:tcW w:w="1690" w:type="dxa"/>
            <w:vMerge w:val="restart"/>
            <w:tcBorders>
              <w:top w:val="single" w:sz="4" w:space="0" w:color="auto"/>
              <w:left w:val="single" w:sz="4" w:space="0" w:color="auto"/>
              <w:bottom w:val="single" w:sz="4" w:space="0" w:color="000000"/>
              <w:right w:val="single" w:sz="4" w:space="0" w:color="auto"/>
            </w:tcBorders>
            <w:vAlign w:val="center"/>
            <w:hideMark/>
          </w:tcPr>
          <w:p w14:paraId="2E055BCA" w14:textId="64C9E18F" w:rsidR="00AC69A1" w:rsidRPr="002714B2" w:rsidRDefault="00AC69A1" w:rsidP="00184077">
            <w:pPr>
              <w:spacing w:line="240" w:lineRule="auto"/>
              <w:jc w:val="center"/>
              <w:rPr>
                <w:rFonts w:ascii="Arial" w:hAnsi="Arial" w:cs="Arial"/>
                <w:color w:val="000000"/>
                <w:sz w:val="18"/>
                <w:szCs w:val="18"/>
                <w:vertAlign w:val="superscript"/>
              </w:rPr>
            </w:pPr>
            <w:r w:rsidRPr="002714B2">
              <w:rPr>
                <w:rFonts w:ascii="Arial" w:hAnsi="Arial" w:cs="Arial"/>
                <w:color w:val="000000"/>
                <w:sz w:val="18"/>
                <w:szCs w:val="18"/>
              </w:rPr>
              <w:t>2015 Uncontrollable Sources Study</w:t>
            </w:r>
            <w:r w:rsidR="00FE614C" w:rsidRPr="002714B2">
              <w:rPr>
                <w:rFonts w:ascii="Arial" w:hAnsi="Arial" w:cs="Arial"/>
                <w:color w:val="000000"/>
                <w:sz w:val="18"/>
                <w:szCs w:val="18"/>
                <w:vertAlign w:val="superscript"/>
              </w:rPr>
              <w:t>1</w:t>
            </w:r>
          </w:p>
        </w:tc>
        <w:tc>
          <w:tcPr>
            <w:tcW w:w="2180" w:type="dxa"/>
            <w:tcBorders>
              <w:top w:val="single" w:sz="4" w:space="0" w:color="auto"/>
              <w:left w:val="single" w:sz="4" w:space="0" w:color="auto"/>
              <w:bottom w:val="single" w:sz="4" w:space="0" w:color="auto"/>
              <w:right w:val="single" w:sz="4" w:space="0" w:color="auto"/>
            </w:tcBorders>
            <w:vAlign w:val="center"/>
            <w:hideMark/>
          </w:tcPr>
          <w:p w14:paraId="1E9F192B"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John Bryant Park</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589556B8"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Resusp01</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42CB159"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24,403</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719CA1BC"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106</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20F5939F"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231</w:t>
            </w:r>
          </w:p>
        </w:tc>
      </w:tr>
      <w:tr w:rsidR="00AC69A1" w:rsidRPr="001D4853" w14:paraId="5E2DADB2" w14:textId="77777777" w:rsidTr="00A94C91">
        <w:trPr>
          <w:trHeight w:val="300"/>
        </w:trPr>
        <w:tc>
          <w:tcPr>
            <w:tcW w:w="1690" w:type="dxa"/>
            <w:vMerge/>
            <w:tcBorders>
              <w:top w:val="nil"/>
              <w:left w:val="single" w:sz="4" w:space="0" w:color="auto"/>
              <w:bottom w:val="single" w:sz="4" w:space="0" w:color="000000"/>
              <w:right w:val="single" w:sz="4" w:space="0" w:color="auto"/>
            </w:tcBorders>
            <w:vAlign w:val="center"/>
            <w:hideMark/>
          </w:tcPr>
          <w:p w14:paraId="430C3A2C" w14:textId="77777777" w:rsidR="00AC69A1" w:rsidRPr="002714B2" w:rsidRDefault="00AC69A1" w:rsidP="00184077">
            <w:pPr>
              <w:spacing w:line="240" w:lineRule="auto"/>
              <w:rPr>
                <w:rFonts w:ascii="Arial" w:hAnsi="Arial" w:cs="Arial"/>
                <w:color w:val="000000"/>
                <w:sz w:val="18"/>
                <w:szCs w:val="18"/>
              </w:rPr>
            </w:pPr>
          </w:p>
        </w:tc>
        <w:tc>
          <w:tcPr>
            <w:tcW w:w="2180" w:type="dxa"/>
            <w:tcBorders>
              <w:top w:val="single" w:sz="4" w:space="0" w:color="auto"/>
              <w:left w:val="single" w:sz="4" w:space="0" w:color="auto"/>
              <w:bottom w:val="single" w:sz="4" w:space="0" w:color="auto"/>
              <w:right w:val="single" w:sz="4" w:space="0" w:color="auto"/>
            </w:tcBorders>
            <w:vAlign w:val="center"/>
            <w:hideMark/>
          </w:tcPr>
          <w:p w14:paraId="472079C8"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Eastvale Line E</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43ECD8A7"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Resusp02</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70406731"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165,100</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71C3AB8C"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971</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7A9917A9"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170</w:t>
            </w:r>
          </w:p>
        </w:tc>
      </w:tr>
      <w:tr w:rsidR="00AC69A1" w:rsidRPr="001D4853" w14:paraId="70695C08" w14:textId="77777777" w:rsidTr="00A94C91">
        <w:trPr>
          <w:trHeight w:val="300"/>
        </w:trPr>
        <w:tc>
          <w:tcPr>
            <w:tcW w:w="1690" w:type="dxa"/>
            <w:vMerge/>
            <w:tcBorders>
              <w:top w:val="nil"/>
              <w:left w:val="single" w:sz="4" w:space="0" w:color="auto"/>
              <w:bottom w:val="single" w:sz="4" w:space="0" w:color="auto"/>
              <w:right w:val="single" w:sz="4" w:space="0" w:color="auto"/>
            </w:tcBorders>
            <w:vAlign w:val="center"/>
            <w:hideMark/>
          </w:tcPr>
          <w:p w14:paraId="196D76E2" w14:textId="77777777" w:rsidR="00AC69A1" w:rsidRPr="002714B2" w:rsidRDefault="00AC69A1" w:rsidP="00184077">
            <w:pPr>
              <w:spacing w:line="240" w:lineRule="auto"/>
              <w:rPr>
                <w:rFonts w:ascii="Arial" w:hAnsi="Arial" w:cs="Arial"/>
                <w:color w:val="000000"/>
                <w:sz w:val="18"/>
                <w:szCs w:val="18"/>
              </w:rPr>
            </w:pPr>
          </w:p>
        </w:tc>
        <w:tc>
          <w:tcPr>
            <w:tcW w:w="2180" w:type="dxa"/>
            <w:tcBorders>
              <w:top w:val="single" w:sz="4" w:space="0" w:color="auto"/>
              <w:left w:val="single" w:sz="4" w:space="0" w:color="auto"/>
              <w:bottom w:val="single" w:sz="4" w:space="0" w:color="auto"/>
              <w:right w:val="single" w:sz="4" w:space="0" w:color="auto"/>
            </w:tcBorders>
            <w:vAlign w:val="center"/>
            <w:hideMark/>
          </w:tcPr>
          <w:p w14:paraId="17768130"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Sunnyslope Channel</w:t>
            </w:r>
          </w:p>
        </w:tc>
        <w:tc>
          <w:tcPr>
            <w:tcW w:w="1440" w:type="dxa"/>
            <w:tcBorders>
              <w:top w:val="single" w:sz="4" w:space="0" w:color="auto"/>
              <w:left w:val="single" w:sz="4" w:space="0" w:color="auto"/>
              <w:bottom w:val="single" w:sz="4" w:space="0" w:color="auto"/>
              <w:right w:val="single" w:sz="4" w:space="0" w:color="auto"/>
            </w:tcBorders>
            <w:noWrap/>
            <w:vAlign w:val="center"/>
            <w:hideMark/>
          </w:tcPr>
          <w:p w14:paraId="3846D40C" w14:textId="77777777" w:rsidR="00AC69A1" w:rsidRPr="002714B2" w:rsidRDefault="00AC69A1" w:rsidP="00184077">
            <w:pPr>
              <w:spacing w:line="240" w:lineRule="auto"/>
              <w:rPr>
                <w:rFonts w:ascii="Arial" w:hAnsi="Arial" w:cs="Arial"/>
                <w:color w:val="000000"/>
                <w:sz w:val="18"/>
                <w:szCs w:val="18"/>
              </w:rPr>
            </w:pPr>
            <w:r w:rsidRPr="002714B2">
              <w:rPr>
                <w:rFonts w:ascii="Arial" w:hAnsi="Arial" w:cs="Arial"/>
                <w:color w:val="000000"/>
                <w:sz w:val="18"/>
                <w:szCs w:val="18"/>
              </w:rPr>
              <w:t>Resusp03</w:t>
            </w:r>
          </w:p>
        </w:tc>
        <w:tc>
          <w:tcPr>
            <w:tcW w:w="1260" w:type="dxa"/>
            <w:tcBorders>
              <w:top w:val="single" w:sz="4" w:space="0" w:color="auto"/>
              <w:left w:val="single" w:sz="4" w:space="0" w:color="auto"/>
              <w:bottom w:val="single" w:sz="4" w:space="0" w:color="auto"/>
              <w:right w:val="single" w:sz="4" w:space="0" w:color="auto"/>
            </w:tcBorders>
            <w:noWrap/>
            <w:vAlign w:val="center"/>
            <w:hideMark/>
          </w:tcPr>
          <w:p w14:paraId="1041A063"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2,623</w:t>
            </w:r>
          </w:p>
        </w:tc>
        <w:tc>
          <w:tcPr>
            <w:tcW w:w="1357" w:type="dxa"/>
            <w:tcBorders>
              <w:top w:val="single" w:sz="4" w:space="0" w:color="auto"/>
              <w:left w:val="single" w:sz="4" w:space="0" w:color="auto"/>
              <w:bottom w:val="single" w:sz="4" w:space="0" w:color="auto"/>
              <w:right w:val="single" w:sz="4" w:space="0" w:color="auto"/>
            </w:tcBorders>
            <w:noWrap/>
            <w:vAlign w:val="center"/>
            <w:hideMark/>
          </w:tcPr>
          <w:p w14:paraId="40B2A924"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162</w:t>
            </w:r>
          </w:p>
        </w:tc>
        <w:tc>
          <w:tcPr>
            <w:tcW w:w="1253" w:type="dxa"/>
            <w:tcBorders>
              <w:top w:val="single" w:sz="4" w:space="0" w:color="auto"/>
              <w:left w:val="single" w:sz="4" w:space="0" w:color="auto"/>
              <w:bottom w:val="single" w:sz="4" w:space="0" w:color="auto"/>
              <w:right w:val="single" w:sz="4" w:space="0" w:color="auto"/>
            </w:tcBorders>
            <w:noWrap/>
            <w:vAlign w:val="center"/>
            <w:hideMark/>
          </w:tcPr>
          <w:p w14:paraId="210FA63E" w14:textId="77777777" w:rsidR="00AC69A1" w:rsidRPr="002714B2" w:rsidRDefault="00AC69A1" w:rsidP="00184077">
            <w:pPr>
              <w:spacing w:line="240" w:lineRule="auto"/>
              <w:jc w:val="center"/>
              <w:rPr>
                <w:rFonts w:ascii="Arial" w:hAnsi="Arial" w:cs="Arial"/>
                <w:color w:val="000000"/>
                <w:sz w:val="18"/>
                <w:szCs w:val="18"/>
              </w:rPr>
            </w:pPr>
            <w:r w:rsidRPr="002714B2">
              <w:rPr>
                <w:rFonts w:ascii="Arial" w:hAnsi="Arial" w:cs="Arial"/>
                <w:color w:val="000000"/>
                <w:sz w:val="18"/>
                <w:szCs w:val="18"/>
              </w:rPr>
              <w:t>16</w:t>
            </w:r>
          </w:p>
        </w:tc>
      </w:tr>
    </w:tbl>
    <w:p w14:paraId="14FC9200" w14:textId="0C07A29C" w:rsidR="00AC69A1" w:rsidRPr="00FE614C" w:rsidRDefault="00FE614C" w:rsidP="00AC69A1">
      <w:pPr>
        <w:spacing w:line="240" w:lineRule="auto"/>
        <w:rPr>
          <w:rFonts w:ascii="Arial" w:hAnsi="Arial" w:cs="Arial"/>
          <w:sz w:val="16"/>
          <w:szCs w:val="16"/>
        </w:rPr>
      </w:pPr>
      <w:r w:rsidRPr="00FE614C">
        <w:rPr>
          <w:rFonts w:ascii="Arial" w:hAnsi="Arial" w:cs="Arial"/>
          <w:sz w:val="16"/>
          <w:szCs w:val="16"/>
          <w:vertAlign w:val="superscript"/>
        </w:rPr>
        <w:t>1</w:t>
      </w:r>
      <w:r w:rsidRPr="00FE614C">
        <w:rPr>
          <w:rFonts w:ascii="Arial" w:hAnsi="Arial" w:cs="Arial"/>
          <w:sz w:val="16"/>
          <w:szCs w:val="16"/>
        </w:rPr>
        <w:t xml:space="preserve"> Data obtained from RCFC&amp;WCD, 2016. </w:t>
      </w:r>
    </w:p>
    <w:p w14:paraId="0C5378D9" w14:textId="77777777" w:rsidR="0095436D" w:rsidRDefault="00A47B82">
      <w:pPr>
        <w:spacing w:line="240" w:lineRule="auto"/>
        <w:sectPr w:rsidR="0095436D" w:rsidSect="00DF3266">
          <w:footerReference w:type="default" r:id="rId65"/>
          <w:pgSz w:w="12240" w:h="15840" w:code="1"/>
          <w:pgMar w:top="1440" w:right="1440" w:bottom="1440" w:left="1800" w:header="720" w:footer="720" w:gutter="0"/>
          <w:pgNumType w:start="1" w:chapStyle="1"/>
          <w:cols w:space="720"/>
          <w:docGrid w:linePitch="360"/>
        </w:sectPr>
      </w:pPr>
      <w:r>
        <w:br w:type="page"/>
      </w:r>
    </w:p>
    <w:p w14:paraId="68910740" w14:textId="366C660A" w:rsidR="00524F10" w:rsidRDefault="00D55AB5" w:rsidP="006962C7">
      <w:pPr>
        <w:pStyle w:val="Heading1"/>
      </w:pPr>
      <w:bookmarkStart w:id="151" w:name="_Toc217410172"/>
      <w:bookmarkEnd w:id="148"/>
      <w:r>
        <w:lastRenderedPageBreak/>
        <w:t xml:space="preserve">TMDL Implementation </w:t>
      </w:r>
      <w:r w:rsidR="00524F10">
        <w:t>Activities</w:t>
      </w:r>
      <w:bookmarkEnd w:id="151"/>
    </w:p>
    <w:p w14:paraId="74393A32" w14:textId="02C9E930" w:rsidR="0017141F" w:rsidRDefault="00524F10" w:rsidP="0017141F">
      <w:pPr>
        <w:pStyle w:val="BodyText"/>
        <w:spacing w:after="120"/>
      </w:pPr>
      <w:r>
        <w:t xml:space="preserve">The findings from previous prioritization analyses have provided the basis for the development and implementation of BMP projects in the subwatersheds with the highest priority rankings. </w:t>
      </w:r>
      <w:r w:rsidR="0017141F">
        <w:t xml:space="preserve">Implementation projects include </w:t>
      </w:r>
      <w:r w:rsidR="007872EA">
        <w:t>measures implemented to address MS4 and other non-point sources</w:t>
      </w:r>
      <w:r w:rsidR="006E3633">
        <w:t xml:space="preserve"> within the 2023-2025 period are </w:t>
      </w:r>
      <w:r w:rsidR="0017141F">
        <w:t xml:space="preserve">summarized in Sections 4.1 and 4.2, respectively. </w:t>
      </w:r>
      <w:bookmarkStart w:id="152" w:name="_Hlk62833859"/>
      <w:bookmarkEnd w:id="58"/>
    </w:p>
    <w:p w14:paraId="36ECD358" w14:textId="0197C41A" w:rsidR="007872EA" w:rsidRDefault="00A31B76" w:rsidP="00D55AB5">
      <w:pPr>
        <w:pStyle w:val="Heading2"/>
        <w:ind w:left="792"/>
      </w:pPr>
      <w:bookmarkStart w:id="153" w:name="_Toc217410173"/>
      <w:r>
        <w:t xml:space="preserve">CBRP Implementation for </w:t>
      </w:r>
      <w:r w:rsidR="007872EA">
        <w:t>MS4 Source</w:t>
      </w:r>
      <w:r>
        <w:t>s</w:t>
      </w:r>
      <w:bookmarkEnd w:id="153"/>
      <w:r>
        <w:t xml:space="preserve"> </w:t>
      </w:r>
    </w:p>
    <w:p w14:paraId="4C10B87F" w14:textId="7324F092" w:rsidR="00A31B76" w:rsidRPr="00A31B76" w:rsidRDefault="006E3633" w:rsidP="00A31B76">
      <w:pPr>
        <w:pStyle w:val="BodyText"/>
      </w:pPr>
      <w:r>
        <w:t>Detailed</w:t>
      </w:r>
      <w:r w:rsidR="00A31B76">
        <w:t xml:space="preserve"> summaries of MS4 program implementation</w:t>
      </w:r>
      <w:r>
        <w:t xml:space="preserve"> within the </w:t>
      </w:r>
      <w:r w:rsidR="00A31B76">
        <w:t xml:space="preserve">MSAR bacteria TMDL </w:t>
      </w:r>
      <w:r>
        <w:t xml:space="preserve">watershed area </w:t>
      </w:r>
      <w:r w:rsidR="00A31B76">
        <w:t>included in</w:t>
      </w:r>
      <w:r>
        <w:t xml:space="preserve"> annual countywide stormwater program reports. Several key highlights are reported below for work completed or underway in the 2023-2025 period. </w:t>
      </w:r>
      <w:r w:rsidR="00A31B76">
        <w:t xml:space="preserve"> </w:t>
      </w:r>
    </w:p>
    <w:p w14:paraId="412A124A" w14:textId="1B389459" w:rsidR="00EF2737" w:rsidRPr="00D55AB5" w:rsidRDefault="00EF2737" w:rsidP="00A31B76">
      <w:pPr>
        <w:pStyle w:val="Heading3"/>
      </w:pPr>
      <w:bookmarkStart w:id="154" w:name="_Toc217410174"/>
      <w:r w:rsidRPr="00D55AB5">
        <w:t>Mill Creek Wetlands</w:t>
      </w:r>
      <w:r w:rsidR="00E3046D">
        <w:t xml:space="preserve"> - Constructed</w:t>
      </w:r>
      <w:bookmarkEnd w:id="154"/>
    </w:p>
    <w:p w14:paraId="060C776E" w14:textId="1458BFD3" w:rsidR="00EF2737" w:rsidRDefault="00A31B76" w:rsidP="00A31B76">
      <w:pPr>
        <w:pStyle w:val="BodyText"/>
      </w:pPr>
      <w:r>
        <w:t xml:space="preserve">The RBMP has shown a steady decline in </w:t>
      </w:r>
      <w:r w:rsidRPr="009A1B4D">
        <w:rPr>
          <w:i/>
          <w:iCs/>
        </w:rPr>
        <w:t>E. coli</w:t>
      </w:r>
      <w:r>
        <w:t xml:space="preserve"> concentrations at the Mill-Cucamonga Creek compliance site (WW-M6). Data collected in the SBCFCD 10-week surveys shows that this may be largely attributable to effective bacteria removal in the Mill Creek Wetlands (MCW). </w:t>
      </w:r>
      <w:proofErr w:type="gramStart"/>
      <w:r>
        <w:t xml:space="preserve">The </w:t>
      </w:r>
      <w:r w:rsidR="003509F8">
        <w:t>MCW</w:t>
      </w:r>
      <w:proofErr w:type="gramEnd"/>
      <w:r w:rsidR="00EF2737" w:rsidRPr="007B163C">
        <w:t xml:space="preserve"> is a seven cell, </w:t>
      </w:r>
      <w:r w:rsidR="00A53564">
        <w:t>52</w:t>
      </w:r>
      <w:r w:rsidR="00673E08">
        <w:t xml:space="preserve"> </w:t>
      </w:r>
      <w:r w:rsidR="00EF2737" w:rsidRPr="007B163C">
        <w:t xml:space="preserve">acre, surface wetland complex that treats a portion of dry and wet weather runoff from Cucamonga Creek. A diversion structure in the west bank sidewall of </w:t>
      </w:r>
      <w:r w:rsidR="00EF2737">
        <w:t>Mill-</w:t>
      </w:r>
      <w:r w:rsidR="00EF2737" w:rsidRPr="007B163C">
        <w:t xml:space="preserve">Cucamonga Creek captures a portion of the total flow, while </w:t>
      </w:r>
      <w:r w:rsidR="00EF2737">
        <w:t>the un</w:t>
      </w:r>
      <w:r>
        <w:t>-</w:t>
      </w:r>
      <w:r w:rsidR="00EF2737">
        <w:t>diverted</w:t>
      </w:r>
      <w:r w:rsidR="00EF2737" w:rsidRPr="007B163C">
        <w:t xml:space="preserve"> flow remains </w:t>
      </w:r>
      <w:r w:rsidR="00EF2737" w:rsidRPr="00281958">
        <w:t>within the mainstem of Mill-Cucamonga Creek to support riparian habitat (</w:t>
      </w:r>
      <w:r w:rsidR="00EF2737" w:rsidRPr="00281958">
        <w:rPr>
          <w:b/>
          <w:bCs/>
        </w:rPr>
        <w:t xml:space="preserve">Figure </w:t>
      </w:r>
      <w:r w:rsidR="00CF6D47">
        <w:rPr>
          <w:b/>
          <w:bCs/>
        </w:rPr>
        <w:t>4-1</w:t>
      </w:r>
      <w:r w:rsidR="00EF2737" w:rsidRPr="00281958">
        <w:t>). Tie</w:t>
      </w:r>
      <w:r w:rsidR="00EF2737" w:rsidRPr="007B163C">
        <w:t xml:space="preserve">r 2 sampling sites are located at the inflow and outflow from the MCW as well as upstream and downstream of the diversion.  </w:t>
      </w:r>
    </w:p>
    <w:p w14:paraId="0D8A0A5B" w14:textId="5C750713" w:rsidR="0023167A" w:rsidRPr="007B163C" w:rsidRDefault="0023167A" w:rsidP="0023167A">
      <w:pPr>
        <w:pStyle w:val="BodyText"/>
        <w:spacing w:after="0"/>
      </w:pPr>
      <w:r>
        <w:rPr>
          <w:rFonts w:ascii="Cambria" w:hAnsi="Cambria"/>
          <w:noProof/>
        </w:rPr>
        <w:drawing>
          <wp:inline distT="0" distB="0" distL="0" distR="0" wp14:anchorId="109D38E0" wp14:editId="690E3714">
            <wp:extent cx="3528333" cy="2943225"/>
            <wp:effectExtent l="0" t="0" r="0" b="0"/>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41072" cy="2953851"/>
                    </a:xfrm>
                    <a:prstGeom prst="rect">
                      <a:avLst/>
                    </a:prstGeom>
                  </pic:spPr>
                </pic:pic>
              </a:graphicData>
            </a:graphic>
          </wp:inline>
        </w:drawing>
      </w:r>
    </w:p>
    <w:p w14:paraId="2AA6EF45" w14:textId="33CC35FE" w:rsidR="0023167A" w:rsidRDefault="0023167A" w:rsidP="0023167A">
      <w:pPr>
        <w:pStyle w:val="Caption"/>
      </w:pPr>
      <w:bookmarkStart w:id="155" w:name="_Toc217394585"/>
      <w:bookmarkStart w:id="156" w:name="_Toc217394780"/>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w:t>
      </w:r>
      <w:r>
        <w:fldChar w:fldCharType="end"/>
      </w:r>
      <w:r>
        <w:t xml:space="preserve">. </w:t>
      </w:r>
      <w:r w:rsidRPr="0023167A">
        <w:t>Sampling Locations to Assess Effectiveness of the Mill Creek Wetlands</w:t>
      </w:r>
      <w:bookmarkEnd w:id="155"/>
      <w:bookmarkEnd w:id="156"/>
    </w:p>
    <w:p w14:paraId="6BE8B4AF" w14:textId="4C54047C" w:rsidR="00CF7D64" w:rsidRDefault="00CF7D64" w:rsidP="00CF7D64">
      <w:pPr>
        <w:pStyle w:val="BodyText"/>
      </w:pPr>
      <w:r>
        <w:lastRenderedPageBreak/>
        <w:t>Downstream of Hellman Avenue, a portion of DWF is diverted to the Mill Creek Wetlands for treatment. The remainder is required to stay within Mill-Cucamonga Creek to support riparian habitat. The diversion flow restrictions are documented in a streambed alteration agreement. This agreement is based on older DWF records during a period when RP1 discharge rates were 5-10 times greater than current conditions. Curren</w:t>
      </w:r>
      <w:r w:rsidRPr="00B5168E">
        <w:t>tly, diversions to the M</w:t>
      </w:r>
      <w:r w:rsidR="00A31B76">
        <w:t>CWs</w:t>
      </w:r>
      <w:r w:rsidRPr="00B5168E">
        <w:t xml:space="preserve"> occur on a regular basis, but no continuous metering is conducted on this flow split; therefore, it is challenging to balance upstream and downstream volumes.</w:t>
      </w:r>
      <w:r>
        <w:t xml:space="preserve"> </w:t>
      </w:r>
    </w:p>
    <w:p w14:paraId="50CF6AB3" w14:textId="405DD549" w:rsidR="007B163C" w:rsidRPr="007B163C" w:rsidRDefault="006E3633" w:rsidP="007B163C">
      <w:pPr>
        <w:pStyle w:val="BodyText"/>
      </w:pPr>
      <w:r>
        <w:t>Extensive m</w:t>
      </w:r>
      <w:r w:rsidRPr="007B163C">
        <w:t>onitoring</w:t>
      </w:r>
      <w:r w:rsidR="007B163C" w:rsidRPr="007B163C">
        <w:t xml:space="preserve"> </w:t>
      </w:r>
      <w:r>
        <w:t xml:space="preserve">data (n=70) from </w:t>
      </w:r>
      <w:r w:rsidR="007B163C" w:rsidRPr="007B163C">
        <w:t xml:space="preserve">the influent and effluent flows and </w:t>
      </w:r>
      <w:r w:rsidR="00880EFA">
        <w:t xml:space="preserve">bacterial </w:t>
      </w:r>
      <w:r w:rsidR="007B163C" w:rsidRPr="007B163C">
        <w:t xml:space="preserve">loads demonstrated </w:t>
      </w:r>
      <w:r w:rsidR="00880EFA">
        <w:t xml:space="preserve">an </w:t>
      </w:r>
      <w:r w:rsidR="007B163C" w:rsidRPr="007B163C">
        <w:t>over 9</w:t>
      </w:r>
      <w:r>
        <w:t>0</w:t>
      </w:r>
      <w:r w:rsidR="007B163C" w:rsidRPr="007B163C">
        <w:t xml:space="preserve"> percent reduction in </w:t>
      </w:r>
      <w:r w:rsidR="007B163C" w:rsidRPr="00880EFA">
        <w:rPr>
          <w:i/>
          <w:iCs/>
        </w:rPr>
        <w:t>E. coli</w:t>
      </w:r>
      <w:r w:rsidR="007B163C" w:rsidRPr="007B163C">
        <w:t xml:space="preserve"> load within </w:t>
      </w:r>
      <w:r w:rsidR="007B163C" w:rsidRPr="003C3194">
        <w:t>MCW (</w:t>
      </w:r>
      <w:r w:rsidR="007B163C" w:rsidRPr="003C3194">
        <w:rPr>
          <w:b/>
          <w:bCs/>
        </w:rPr>
        <w:t>Table 3-</w:t>
      </w:r>
      <w:r w:rsidR="003C3194" w:rsidRPr="003C3194">
        <w:rPr>
          <w:b/>
          <w:bCs/>
        </w:rPr>
        <w:t>6</w:t>
      </w:r>
      <w:r w:rsidR="007B163C" w:rsidRPr="003C3194">
        <w:t>). Some</w:t>
      </w:r>
      <w:r w:rsidR="007B163C" w:rsidRPr="007B163C">
        <w:t xml:space="preserve"> of the achieved </w:t>
      </w:r>
      <w:r w:rsidR="00880EFA" w:rsidRPr="00880EFA">
        <w:rPr>
          <w:i/>
          <w:iCs/>
        </w:rPr>
        <w:t>E. coli</w:t>
      </w:r>
      <w:r w:rsidR="00880EFA">
        <w:t xml:space="preserve"> </w:t>
      </w:r>
      <w:r w:rsidR="007B163C" w:rsidRPr="007B163C">
        <w:t xml:space="preserve">load reduction is associated with volume mitigation from losses associated with infiltration or evapotranspiration. A reduction in the concentration </w:t>
      </w:r>
      <w:proofErr w:type="gramStart"/>
      <w:r w:rsidR="007B163C" w:rsidRPr="007B163C">
        <w:t>in</w:t>
      </w:r>
      <w:proofErr w:type="gramEnd"/>
      <w:r w:rsidR="007B163C" w:rsidRPr="007B163C">
        <w:t xml:space="preserve"> the outflows to levels below the TMDL WLAs were consistently observed. This return of </w:t>
      </w:r>
      <w:r w:rsidR="00880EFA">
        <w:t xml:space="preserve">treated </w:t>
      </w:r>
      <w:r w:rsidR="007B163C" w:rsidRPr="007B163C">
        <w:t xml:space="preserve">effluent with lower </w:t>
      </w:r>
      <w:r w:rsidR="007B163C" w:rsidRPr="00880EFA">
        <w:rPr>
          <w:i/>
          <w:iCs/>
        </w:rPr>
        <w:t>E. coli</w:t>
      </w:r>
      <w:r w:rsidR="007B163C" w:rsidRPr="007B163C">
        <w:t xml:space="preserve"> concentration helps to reduce concentrations within Mill-Cucamonga Creek at the compliance monitoring </w:t>
      </w:r>
      <w:r w:rsidR="00CF6D47" w:rsidRPr="00EF2737">
        <w:t>location and</w:t>
      </w:r>
      <w:r w:rsidR="007B163C" w:rsidRPr="00EF2737">
        <w:t xml:space="preserve"> has resulted in improved water quality at WW-M6 in recent </w:t>
      </w:r>
      <w:r w:rsidR="007B163C" w:rsidRPr="00A47B82">
        <w:t>years (</w:t>
      </w:r>
      <w:r w:rsidR="00EF2737" w:rsidRPr="009B59A3">
        <w:t xml:space="preserve">e.g., </w:t>
      </w:r>
      <w:r w:rsidR="007B163C" w:rsidRPr="009B59A3">
        <w:t xml:space="preserve">see </w:t>
      </w:r>
      <w:r w:rsidR="00EF2737" w:rsidRPr="009B59A3">
        <w:t>Figure 2-2</w:t>
      </w:r>
      <w:r w:rsidR="007B163C" w:rsidRPr="00A47B82">
        <w:t>).</w:t>
      </w:r>
      <w:r w:rsidR="007B163C" w:rsidRPr="007B163C">
        <w:t xml:space="preserve"> Further reductions toward the concentration based WLA could be achieved by maximizing the amount of </w:t>
      </w:r>
      <w:r w:rsidR="00880EFA">
        <w:t>DWF</w:t>
      </w:r>
      <w:r w:rsidR="007B163C" w:rsidRPr="007B163C">
        <w:t xml:space="preserve"> that can be </w:t>
      </w:r>
      <w:r w:rsidR="00880EFA">
        <w:t xml:space="preserve">diverted and </w:t>
      </w:r>
      <w:r w:rsidR="007B163C" w:rsidRPr="007B163C">
        <w:t xml:space="preserve">treated in </w:t>
      </w:r>
      <w:r w:rsidR="00880EFA">
        <w:t>the wetlands.</w:t>
      </w:r>
      <w:r w:rsidR="007B163C" w:rsidRPr="00880EFA">
        <w:rPr>
          <w:rStyle w:val="FootnoteReference"/>
        </w:rPr>
        <w:footnoteReference w:id="25"/>
      </w:r>
    </w:p>
    <w:tbl>
      <w:tblPr>
        <w:tblW w:w="8550" w:type="dxa"/>
        <w:tblLayout w:type="fixed"/>
        <w:tblLook w:val="04A0" w:firstRow="1" w:lastRow="0" w:firstColumn="1" w:lastColumn="0" w:noHBand="0" w:noVBand="1"/>
      </w:tblPr>
      <w:tblGrid>
        <w:gridCol w:w="3060"/>
        <w:gridCol w:w="1830"/>
        <w:gridCol w:w="1830"/>
        <w:gridCol w:w="1830"/>
      </w:tblGrid>
      <w:tr w:rsidR="00B25B04" w:rsidRPr="004A472F" w14:paraId="6A1138B5" w14:textId="77777777" w:rsidTr="006E176B">
        <w:trPr>
          <w:trHeight w:val="594"/>
        </w:trPr>
        <w:tc>
          <w:tcPr>
            <w:tcW w:w="8550" w:type="dxa"/>
            <w:gridSpan w:val="4"/>
            <w:tcBorders>
              <w:top w:val="nil"/>
              <w:left w:val="nil"/>
              <w:bottom w:val="single" w:sz="4" w:space="0" w:color="auto"/>
              <w:right w:val="nil"/>
            </w:tcBorders>
            <w:vAlign w:val="center"/>
          </w:tcPr>
          <w:p w14:paraId="3FEC5F4F" w14:textId="38520520" w:rsidR="00B25B04" w:rsidRPr="00A94C91" w:rsidRDefault="00D43F15" w:rsidP="00D43F15">
            <w:pPr>
              <w:pStyle w:val="Caption"/>
              <w:keepNext/>
            </w:pPr>
            <w:bookmarkStart w:id="157" w:name="_Toc217391773"/>
            <w:r>
              <w:t xml:space="preserve">Table </w:t>
            </w:r>
            <w:r w:rsidR="00FE614C">
              <w:fldChar w:fldCharType="begin"/>
            </w:r>
            <w:r w:rsidR="00FE614C">
              <w:instrText xml:space="preserve"> STYLEREF 1 \s </w:instrText>
            </w:r>
            <w:r w:rsidR="00FE614C">
              <w:fldChar w:fldCharType="separate"/>
            </w:r>
            <w:r w:rsidR="00FE614C">
              <w:rPr>
                <w:noProof/>
              </w:rPr>
              <w:t>4</w:t>
            </w:r>
            <w:r w:rsidR="00FE614C">
              <w:fldChar w:fldCharType="end"/>
            </w:r>
            <w:r w:rsidR="00FE614C">
              <w:noBreakHyphen/>
            </w:r>
            <w:r w:rsidR="00FE614C">
              <w:fldChar w:fldCharType="begin"/>
            </w:r>
            <w:r w:rsidR="00FE614C">
              <w:instrText xml:space="preserve"> SEQ Table \* ARABIC \s 1 </w:instrText>
            </w:r>
            <w:r w:rsidR="00FE614C">
              <w:fldChar w:fldCharType="separate"/>
            </w:r>
            <w:r w:rsidR="00FE614C">
              <w:rPr>
                <w:noProof/>
              </w:rPr>
              <w:t>1</w:t>
            </w:r>
            <w:r w:rsidR="00FE614C">
              <w:fldChar w:fldCharType="end"/>
            </w:r>
            <w:r>
              <w:t xml:space="preserve">. </w:t>
            </w:r>
            <w:r w:rsidR="007B163C" w:rsidRPr="00A94C91">
              <w:t xml:space="preserve">Estimate of Reduction in E. coli Load </w:t>
            </w:r>
            <w:r w:rsidR="00880EFA" w:rsidRPr="00A94C91">
              <w:t xml:space="preserve">Resulting from Implementation of the </w:t>
            </w:r>
            <w:r w:rsidR="00B25B04" w:rsidRPr="00A94C91">
              <w:t>Mill Creek Wetlands</w:t>
            </w:r>
            <w:r w:rsidR="00880EFA" w:rsidRPr="00A94C91">
              <w:t xml:space="preserve"> BMP, 2017-202</w:t>
            </w:r>
            <w:r w:rsidR="00400C52" w:rsidRPr="00A94C91">
              <w:t>5</w:t>
            </w:r>
            <w:bookmarkEnd w:id="157"/>
          </w:p>
        </w:tc>
      </w:tr>
      <w:tr w:rsidR="00FB1AA2" w:rsidRPr="00FB1AA2" w14:paraId="467E0C4F" w14:textId="77777777" w:rsidTr="006E176B">
        <w:trPr>
          <w:trHeight w:val="791"/>
        </w:trPr>
        <w:tc>
          <w:tcPr>
            <w:tcW w:w="30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B95DE2" w14:textId="3C15A47B" w:rsidR="00B25B04" w:rsidRPr="00D43F15" w:rsidRDefault="00B25B04" w:rsidP="00987A0C">
            <w:pPr>
              <w:spacing w:line="240" w:lineRule="auto"/>
              <w:jc w:val="center"/>
              <w:rPr>
                <w:rFonts w:ascii="Arial" w:hAnsi="Arial" w:cs="Arial"/>
                <w:b/>
                <w:bCs/>
                <w:sz w:val="18"/>
                <w:szCs w:val="18"/>
              </w:rPr>
            </w:pPr>
            <w:r w:rsidRPr="00D43F15">
              <w:rPr>
                <w:rFonts w:ascii="Arial" w:hAnsi="Arial" w:cs="Arial"/>
                <w:b/>
                <w:bCs/>
                <w:sz w:val="18"/>
                <w:szCs w:val="18"/>
              </w:rPr>
              <w:t>Mill Creek Wetlands</w:t>
            </w:r>
          </w:p>
        </w:tc>
        <w:tc>
          <w:tcPr>
            <w:tcW w:w="18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5370AF" w14:textId="7B758847" w:rsidR="00B25B04" w:rsidRPr="00D43F15" w:rsidRDefault="00636CB5" w:rsidP="00987A0C">
            <w:pPr>
              <w:spacing w:line="240" w:lineRule="auto"/>
              <w:jc w:val="center"/>
              <w:rPr>
                <w:rFonts w:ascii="Arial" w:hAnsi="Arial" w:cs="Arial"/>
                <w:b/>
                <w:bCs/>
                <w:sz w:val="18"/>
                <w:szCs w:val="18"/>
              </w:rPr>
            </w:pPr>
            <w:r w:rsidRPr="00D43F15">
              <w:rPr>
                <w:rFonts w:ascii="Arial" w:hAnsi="Arial" w:cs="Arial"/>
                <w:b/>
                <w:bCs/>
                <w:sz w:val="18"/>
                <w:szCs w:val="18"/>
              </w:rPr>
              <w:t xml:space="preserve">Median </w:t>
            </w:r>
            <w:r w:rsidR="00B25B04" w:rsidRPr="00D43F15">
              <w:rPr>
                <w:rFonts w:ascii="Arial" w:hAnsi="Arial" w:cs="Arial"/>
                <w:b/>
                <w:bCs/>
                <w:sz w:val="18"/>
                <w:szCs w:val="18"/>
              </w:rPr>
              <w:t>Flow</w:t>
            </w:r>
            <w:r w:rsidR="00880EFA" w:rsidRPr="00D43F15">
              <w:rPr>
                <w:rFonts w:ascii="Arial" w:hAnsi="Arial" w:cs="Arial"/>
                <w:b/>
                <w:bCs/>
                <w:sz w:val="18"/>
                <w:szCs w:val="18"/>
              </w:rPr>
              <w:br/>
            </w:r>
            <w:r w:rsidR="00B25B04" w:rsidRPr="00D43F15">
              <w:rPr>
                <w:rFonts w:ascii="Arial" w:hAnsi="Arial" w:cs="Arial"/>
                <w:b/>
                <w:bCs/>
                <w:sz w:val="18"/>
                <w:szCs w:val="18"/>
              </w:rPr>
              <w:t>(cfs)</w:t>
            </w:r>
          </w:p>
        </w:tc>
        <w:tc>
          <w:tcPr>
            <w:tcW w:w="18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16AB4A" w14:textId="3F210B76" w:rsidR="00B25B04" w:rsidRPr="00D43F15" w:rsidRDefault="00B25B04" w:rsidP="00987A0C">
            <w:pPr>
              <w:spacing w:line="240" w:lineRule="auto"/>
              <w:jc w:val="center"/>
              <w:rPr>
                <w:rFonts w:ascii="Arial" w:hAnsi="Arial" w:cs="Arial"/>
                <w:b/>
                <w:bCs/>
                <w:sz w:val="18"/>
                <w:szCs w:val="18"/>
              </w:rPr>
            </w:pPr>
            <w:r w:rsidRPr="00D43F15">
              <w:rPr>
                <w:rFonts w:ascii="Arial" w:hAnsi="Arial" w:cs="Arial"/>
                <w:b/>
                <w:bCs/>
                <w:i/>
                <w:iCs/>
                <w:sz w:val="18"/>
                <w:szCs w:val="18"/>
              </w:rPr>
              <w:t>E. coli</w:t>
            </w:r>
            <w:r w:rsidR="00220868" w:rsidRPr="00D43F15">
              <w:rPr>
                <w:rFonts w:ascii="Arial" w:hAnsi="Arial" w:cs="Arial"/>
                <w:b/>
                <w:bCs/>
                <w:i/>
                <w:iCs/>
                <w:sz w:val="18"/>
                <w:szCs w:val="18"/>
              </w:rPr>
              <w:t xml:space="preserve"> </w:t>
            </w:r>
            <w:r w:rsidR="00636CB5" w:rsidRPr="00D43F15">
              <w:rPr>
                <w:rFonts w:ascii="Arial" w:hAnsi="Arial" w:cs="Arial"/>
                <w:b/>
                <w:bCs/>
                <w:i/>
                <w:iCs/>
                <w:sz w:val="18"/>
                <w:szCs w:val="18"/>
              </w:rPr>
              <w:t xml:space="preserve">Geomean </w:t>
            </w:r>
            <w:r w:rsidR="00220868" w:rsidRPr="00D43F15">
              <w:rPr>
                <w:rFonts w:ascii="Arial" w:hAnsi="Arial" w:cs="Arial"/>
                <w:b/>
                <w:bCs/>
                <w:sz w:val="18"/>
                <w:szCs w:val="18"/>
              </w:rPr>
              <w:t>Concentration</w:t>
            </w:r>
            <w:r w:rsidR="00880EFA" w:rsidRPr="00D43F15">
              <w:rPr>
                <w:rFonts w:ascii="Arial" w:hAnsi="Arial" w:cs="Arial"/>
                <w:b/>
                <w:bCs/>
                <w:sz w:val="18"/>
                <w:szCs w:val="18"/>
              </w:rPr>
              <w:br/>
            </w:r>
            <w:r w:rsidRPr="00D43F15">
              <w:rPr>
                <w:rFonts w:ascii="Arial" w:hAnsi="Arial" w:cs="Arial"/>
                <w:b/>
                <w:bCs/>
                <w:sz w:val="18"/>
                <w:szCs w:val="18"/>
              </w:rPr>
              <w:t>(</w:t>
            </w:r>
            <w:r w:rsidR="00880EFA" w:rsidRPr="00D43F15">
              <w:rPr>
                <w:rFonts w:ascii="Arial" w:hAnsi="Arial" w:cs="Arial"/>
                <w:b/>
                <w:bCs/>
                <w:sz w:val="18"/>
                <w:szCs w:val="18"/>
              </w:rPr>
              <w:t>MPN</w:t>
            </w:r>
            <w:r w:rsidRPr="00D43F15">
              <w:rPr>
                <w:rFonts w:ascii="Arial" w:hAnsi="Arial" w:cs="Arial"/>
                <w:b/>
                <w:bCs/>
                <w:sz w:val="18"/>
                <w:szCs w:val="18"/>
              </w:rPr>
              <w:t>/100</w:t>
            </w:r>
            <w:r w:rsidR="00880EFA" w:rsidRPr="00D43F15">
              <w:rPr>
                <w:rFonts w:ascii="Arial" w:hAnsi="Arial" w:cs="Arial"/>
                <w:b/>
                <w:bCs/>
                <w:sz w:val="18"/>
                <w:szCs w:val="18"/>
              </w:rPr>
              <w:t xml:space="preserve"> </w:t>
            </w:r>
            <w:r w:rsidRPr="00D43F15">
              <w:rPr>
                <w:rFonts w:ascii="Arial" w:hAnsi="Arial" w:cs="Arial"/>
                <w:b/>
                <w:bCs/>
                <w:sz w:val="18"/>
                <w:szCs w:val="18"/>
              </w:rPr>
              <w:t>mL)</w:t>
            </w:r>
          </w:p>
        </w:tc>
        <w:tc>
          <w:tcPr>
            <w:tcW w:w="18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B5F4D3" w14:textId="5AC869AC" w:rsidR="00B25B04" w:rsidRPr="00D43F15" w:rsidRDefault="00B25B04" w:rsidP="00987A0C">
            <w:pPr>
              <w:spacing w:line="240" w:lineRule="auto"/>
              <w:jc w:val="center"/>
              <w:rPr>
                <w:rFonts w:ascii="Arial" w:hAnsi="Arial" w:cs="Arial"/>
                <w:b/>
                <w:bCs/>
                <w:sz w:val="18"/>
                <w:szCs w:val="18"/>
              </w:rPr>
            </w:pPr>
            <w:r w:rsidRPr="00D43F15">
              <w:rPr>
                <w:rFonts w:ascii="Arial" w:hAnsi="Arial" w:cs="Arial"/>
                <w:b/>
                <w:bCs/>
                <w:i/>
                <w:iCs/>
                <w:sz w:val="18"/>
                <w:szCs w:val="18"/>
              </w:rPr>
              <w:t>E. coli</w:t>
            </w:r>
            <w:r w:rsidR="00220868" w:rsidRPr="00D43F15">
              <w:rPr>
                <w:rFonts w:ascii="Arial" w:hAnsi="Arial" w:cs="Arial"/>
                <w:b/>
                <w:bCs/>
                <w:i/>
                <w:iCs/>
                <w:sz w:val="18"/>
                <w:szCs w:val="18"/>
              </w:rPr>
              <w:t xml:space="preserve"> </w:t>
            </w:r>
            <w:r w:rsidR="00220868" w:rsidRPr="00D43F15">
              <w:rPr>
                <w:rFonts w:ascii="Arial" w:hAnsi="Arial" w:cs="Arial"/>
                <w:b/>
                <w:bCs/>
                <w:sz w:val="18"/>
                <w:szCs w:val="18"/>
              </w:rPr>
              <w:t>Load</w:t>
            </w:r>
            <w:r w:rsidR="00880EFA" w:rsidRPr="00D43F15">
              <w:rPr>
                <w:rFonts w:ascii="Arial" w:hAnsi="Arial" w:cs="Arial"/>
                <w:b/>
                <w:bCs/>
                <w:sz w:val="18"/>
                <w:szCs w:val="18"/>
              </w:rPr>
              <w:br/>
            </w:r>
            <w:r w:rsidRPr="00D43F15">
              <w:rPr>
                <w:rFonts w:ascii="Arial" w:hAnsi="Arial" w:cs="Arial"/>
                <w:b/>
                <w:bCs/>
                <w:sz w:val="18"/>
                <w:szCs w:val="18"/>
              </w:rPr>
              <w:t>(</w:t>
            </w:r>
            <w:r w:rsidR="00880EFA" w:rsidRPr="00D43F15">
              <w:rPr>
                <w:rFonts w:ascii="Arial" w:hAnsi="Arial" w:cs="Arial"/>
                <w:b/>
                <w:bCs/>
                <w:sz w:val="18"/>
                <w:szCs w:val="18"/>
              </w:rPr>
              <w:t>B</w:t>
            </w:r>
            <w:r w:rsidRPr="00D43F15">
              <w:rPr>
                <w:rFonts w:ascii="Arial" w:hAnsi="Arial" w:cs="Arial"/>
                <w:b/>
                <w:bCs/>
                <w:sz w:val="18"/>
                <w:szCs w:val="18"/>
              </w:rPr>
              <w:t xml:space="preserve">illion </w:t>
            </w:r>
            <w:r w:rsidR="00880EFA" w:rsidRPr="00D43F15">
              <w:rPr>
                <w:rFonts w:ascii="Arial" w:hAnsi="Arial" w:cs="Arial"/>
                <w:b/>
                <w:bCs/>
                <w:sz w:val="18"/>
                <w:szCs w:val="18"/>
              </w:rPr>
              <w:t>MPN</w:t>
            </w:r>
            <w:r w:rsidRPr="00D43F15">
              <w:rPr>
                <w:rFonts w:ascii="Arial" w:hAnsi="Arial" w:cs="Arial"/>
                <w:b/>
                <w:bCs/>
                <w:sz w:val="18"/>
                <w:szCs w:val="18"/>
              </w:rPr>
              <w:t>/</w:t>
            </w:r>
            <w:r w:rsidR="00880EFA" w:rsidRPr="00D43F15">
              <w:rPr>
                <w:rFonts w:ascii="Arial" w:hAnsi="Arial" w:cs="Arial"/>
                <w:b/>
                <w:bCs/>
                <w:sz w:val="18"/>
                <w:szCs w:val="18"/>
              </w:rPr>
              <w:t>D</w:t>
            </w:r>
            <w:r w:rsidRPr="00D43F15">
              <w:rPr>
                <w:rFonts w:ascii="Arial" w:hAnsi="Arial" w:cs="Arial"/>
                <w:b/>
                <w:bCs/>
                <w:sz w:val="18"/>
                <w:szCs w:val="18"/>
              </w:rPr>
              <w:t>ay)</w:t>
            </w:r>
          </w:p>
        </w:tc>
      </w:tr>
      <w:tr w:rsidR="00B25B04" w:rsidRPr="00D340A4" w14:paraId="70ADB39F" w14:textId="77777777" w:rsidTr="006E176B">
        <w:trPr>
          <w:trHeight w:val="341"/>
        </w:trPr>
        <w:tc>
          <w:tcPr>
            <w:tcW w:w="3060" w:type="dxa"/>
            <w:tcBorders>
              <w:top w:val="single" w:sz="4" w:space="0" w:color="auto"/>
              <w:left w:val="single" w:sz="4" w:space="0" w:color="auto"/>
              <w:bottom w:val="single" w:sz="4" w:space="0" w:color="auto"/>
              <w:right w:val="single" w:sz="4" w:space="0" w:color="auto"/>
            </w:tcBorders>
            <w:noWrap/>
            <w:vAlign w:val="center"/>
            <w:hideMark/>
          </w:tcPr>
          <w:p w14:paraId="6CAAFB61" w14:textId="77777777" w:rsidR="00B25B04" w:rsidRPr="00D43F15" w:rsidRDefault="00B25B04" w:rsidP="00987A0C">
            <w:pPr>
              <w:spacing w:line="240" w:lineRule="auto"/>
              <w:rPr>
                <w:rFonts w:ascii="Arial" w:hAnsi="Arial" w:cs="Arial"/>
                <w:color w:val="000000"/>
                <w:sz w:val="18"/>
                <w:szCs w:val="18"/>
              </w:rPr>
            </w:pPr>
            <w:r w:rsidRPr="00D43F15">
              <w:rPr>
                <w:rFonts w:ascii="Arial" w:hAnsi="Arial" w:cs="Arial"/>
                <w:color w:val="000000"/>
                <w:sz w:val="18"/>
                <w:szCs w:val="18"/>
              </w:rPr>
              <w:t>Influent</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767A996B" w14:textId="5C877147" w:rsidR="00B25B04" w:rsidRPr="00D43F15" w:rsidRDefault="00B25B04"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2.</w:t>
            </w:r>
            <w:r w:rsidR="00400C52" w:rsidRPr="00D43F15">
              <w:rPr>
                <w:rFonts w:ascii="Arial" w:hAnsi="Arial" w:cs="Arial"/>
                <w:color w:val="000000"/>
                <w:sz w:val="18"/>
                <w:szCs w:val="18"/>
              </w:rPr>
              <w:t>1</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585C8E56" w14:textId="32E9DEE1" w:rsidR="00B25B04" w:rsidRPr="00D43F15" w:rsidRDefault="00400C52"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476</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71CD6BCE" w14:textId="3692AC46" w:rsidR="00B25B04" w:rsidRPr="00D43F15" w:rsidRDefault="00400C52"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24.8</w:t>
            </w:r>
          </w:p>
        </w:tc>
      </w:tr>
      <w:tr w:rsidR="00B25B04" w:rsidRPr="00D340A4" w14:paraId="2E563879" w14:textId="77777777" w:rsidTr="006E176B">
        <w:trPr>
          <w:trHeight w:val="359"/>
        </w:trPr>
        <w:tc>
          <w:tcPr>
            <w:tcW w:w="3060" w:type="dxa"/>
            <w:tcBorders>
              <w:top w:val="single" w:sz="4" w:space="0" w:color="auto"/>
              <w:left w:val="single" w:sz="4" w:space="0" w:color="auto"/>
              <w:bottom w:val="single" w:sz="4" w:space="0" w:color="auto"/>
              <w:right w:val="single" w:sz="4" w:space="0" w:color="auto"/>
            </w:tcBorders>
            <w:noWrap/>
            <w:vAlign w:val="center"/>
            <w:hideMark/>
          </w:tcPr>
          <w:p w14:paraId="52D0C948" w14:textId="77777777" w:rsidR="00B25B04" w:rsidRPr="00D43F15" w:rsidRDefault="00B25B04" w:rsidP="00987A0C">
            <w:pPr>
              <w:spacing w:line="240" w:lineRule="auto"/>
              <w:rPr>
                <w:rFonts w:ascii="Arial" w:hAnsi="Arial" w:cs="Arial"/>
                <w:color w:val="000000"/>
                <w:sz w:val="18"/>
                <w:szCs w:val="18"/>
              </w:rPr>
            </w:pPr>
            <w:r w:rsidRPr="00D43F15">
              <w:rPr>
                <w:rFonts w:ascii="Arial" w:hAnsi="Arial" w:cs="Arial"/>
                <w:color w:val="000000"/>
                <w:sz w:val="18"/>
                <w:szCs w:val="18"/>
              </w:rPr>
              <w:t>Effluent</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2EC6A600" w14:textId="77777777" w:rsidR="00B25B04" w:rsidRPr="00D43F15" w:rsidRDefault="00B25B04"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0.7</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15DB157C" w14:textId="14207AD9" w:rsidR="00B25B04" w:rsidRPr="00D43F15" w:rsidRDefault="00400C52"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101</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10D3F477" w14:textId="5DBDE577" w:rsidR="00B25B04" w:rsidRPr="00D43F15" w:rsidRDefault="00B25B04"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1.</w:t>
            </w:r>
            <w:r w:rsidR="00400C52" w:rsidRPr="00D43F15">
              <w:rPr>
                <w:rFonts w:ascii="Arial" w:hAnsi="Arial" w:cs="Arial"/>
                <w:color w:val="000000"/>
                <w:sz w:val="18"/>
                <w:szCs w:val="18"/>
              </w:rPr>
              <w:t>6</w:t>
            </w:r>
          </w:p>
        </w:tc>
      </w:tr>
      <w:tr w:rsidR="00B25B04" w:rsidRPr="00D340A4" w14:paraId="4AB54CE2" w14:textId="77777777" w:rsidTr="006E176B">
        <w:trPr>
          <w:trHeight w:val="432"/>
        </w:trPr>
        <w:tc>
          <w:tcPr>
            <w:tcW w:w="3060" w:type="dxa"/>
            <w:tcBorders>
              <w:top w:val="single" w:sz="4" w:space="0" w:color="auto"/>
              <w:left w:val="single" w:sz="4" w:space="0" w:color="auto"/>
              <w:bottom w:val="single" w:sz="4" w:space="0" w:color="auto"/>
              <w:right w:val="single" w:sz="4" w:space="0" w:color="auto"/>
            </w:tcBorders>
            <w:noWrap/>
            <w:vAlign w:val="center"/>
            <w:hideMark/>
          </w:tcPr>
          <w:p w14:paraId="3CC1391F" w14:textId="6599A5FA" w:rsidR="00B25B04" w:rsidRPr="00D43F15" w:rsidRDefault="00B25B04" w:rsidP="00987A0C">
            <w:pPr>
              <w:spacing w:line="240" w:lineRule="auto"/>
              <w:rPr>
                <w:rFonts w:ascii="Arial" w:hAnsi="Arial" w:cs="Arial"/>
                <w:color w:val="000000"/>
                <w:sz w:val="18"/>
                <w:szCs w:val="18"/>
              </w:rPr>
            </w:pPr>
            <w:r w:rsidRPr="00D43F15">
              <w:rPr>
                <w:rFonts w:ascii="Arial" w:hAnsi="Arial" w:cs="Arial"/>
                <w:color w:val="000000"/>
                <w:sz w:val="18"/>
                <w:szCs w:val="18"/>
              </w:rPr>
              <w:t xml:space="preserve">Median Removal </w:t>
            </w:r>
            <w:r w:rsidR="00880EFA" w:rsidRPr="00D43F15">
              <w:rPr>
                <w:rFonts w:ascii="Arial" w:hAnsi="Arial" w:cs="Arial"/>
                <w:color w:val="000000"/>
                <w:sz w:val="18"/>
                <w:szCs w:val="18"/>
              </w:rPr>
              <w:t xml:space="preserve">(%) </w:t>
            </w:r>
            <w:r w:rsidRPr="00D43F15">
              <w:rPr>
                <w:rFonts w:ascii="Arial" w:hAnsi="Arial" w:cs="Arial"/>
                <w:color w:val="000000"/>
                <w:sz w:val="18"/>
                <w:szCs w:val="18"/>
              </w:rPr>
              <w:t>in MCW</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5BB938D2" w14:textId="29A0F2FF" w:rsidR="00B25B04" w:rsidRPr="00D43F15" w:rsidRDefault="00400C52"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69</w:t>
            </w:r>
            <w:r w:rsidR="00B25B04" w:rsidRPr="00D43F15">
              <w:rPr>
                <w:rFonts w:ascii="Arial" w:hAnsi="Arial" w:cs="Arial"/>
                <w:color w:val="000000"/>
                <w:sz w:val="18"/>
                <w:szCs w:val="18"/>
              </w:rPr>
              <w:t>%</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6BC5B2F8" w14:textId="2B06D0A4" w:rsidR="00B25B04" w:rsidRPr="00D43F15" w:rsidRDefault="00400C52"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79</w:t>
            </w:r>
            <w:r w:rsidR="00B25B04" w:rsidRPr="00D43F15">
              <w:rPr>
                <w:rFonts w:ascii="Arial" w:hAnsi="Arial" w:cs="Arial"/>
                <w:color w:val="000000"/>
                <w:sz w:val="18"/>
                <w:szCs w:val="18"/>
              </w:rPr>
              <w:t>%</w:t>
            </w:r>
          </w:p>
        </w:tc>
        <w:tc>
          <w:tcPr>
            <w:tcW w:w="1830" w:type="dxa"/>
            <w:tcBorders>
              <w:top w:val="single" w:sz="4" w:space="0" w:color="auto"/>
              <w:left w:val="single" w:sz="4" w:space="0" w:color="auto"/>
              <w:bottom w:val="single" w:sz="4" w:space="0" w:color="auto"/>
              <w:right w:val="single" w:sz="4" w:space="0" w:color="auto"/>
            </w:tcBorders>
            <w:noWrap/>
            <w:vAlign w:val="center"/>
            <w:hideMark/>
          </w:tcPr>
          <w:p w14:paraId="1A6FB667" w14:textId="2A8CA1E2" w:rsidR="00B25B04" w:rsidRPr="00D43F15" w:rsidRDefault="00636CB5" w:rsidP="00987A0C">
            <w:pPr>
              <w:spacing w:line="240" w:lineRule="auto"/>
              <w:jc w:val="center"/>
              <w:rPr>
                <w:rFonts w:ascii="Arial" w:hAnsi="Arial" w:cs="Arial"/>
                <w:color w:val="000000"/>
                <w:sz w:val="18"/>
                <w:szCs w:val="18"/>
              </w:rPr>
            </w:pPr>
            <w:r w:rsidRPr="00D43F15">
              <w:rPr>
                <w:rFonts w:ascii="Arial" w:hAnsi="Arial" w:cs="Arial"/>
                <w:color w:val="000000"/>
                <w:sz w:val="18"/>
                <w:szCs w:val="18"/>
              </w:rPr>
              <w:t>9</w:t>
            </w:r>
            <w:r w:rsidR="00400C52" w:rsidRPr="00D43F15">
              <w:rPr>
                <w:rFonts w:ascii="Arial" w:hAnsi="Arial" w:cs="Arial"/>
                <w:color w:val="000000"/>
                <w:sz w:val="18"/>
                <w:szCs w:val="18"/>
              </w:rPr>
              <w:t>3</w:t>
            </w:r>
            <w:r w:rsidR="00B25B04" w:rsidRPr="00D43F15">
              <w:rPr>
                <w:rFonts w:ascii="Arial" w:hAnsi="Arial" w:cs="Arial"/>
                <w:color w:val="000000"/>
                <w:sz w:val="18"/>
                <w:szCs w:val="18"/>
              </w:rPr>
              <w:t>%</w:t>
            </w:r>
          </w:p>
        </w:tc>
      </w:tr>
    </w:tbl>
    <w:p w14:paraId="487AF43E" w14:textId="2F36268F" w:rsidR="00761DE7" w:rsidRPr="00D43F15" w:rsidRDefault="00D43F15" w:rsidP="00D43F15">
      <w:pPr>
        <w:pStyle w:val="BodyText"/>
        <w:ind w:firstLine="180"/>
        <w:rPr>
          <w:rStyle w:val="Strong"/>
          <w:rFonts w:ascii="Arial" w:hAnsi="Arial" w:cs="Arial"/>
          <w:b w:val="0"/>
          <w:bCs w:val="0"/>
          <w:sz w:val="16"/>
          <w:szCs w:val="16"/>
        </w:rPr>
      </w:pPr>
      <w:r w:rsidRPr="00D43F15">
        <w:rPr>
          <w:rStyle w:val="Strong"/>
          <w:rFonts w:ascii="Arial" w:hAnsi="Arial" w:cs="Arial"/>
          <w:b w:val="0"/>
          <w:bCs w:val="0"/>
          <w:sz w:val="16"/>
          <w:szCs w:val="16"/>
        </w:rPr>
        <w:t>Note: n = 70</w:t>
      </w:r>
    </w:p>
    <w:p w14:paraId="74B72E55" w14:textId="7854FA40" w:rsidR="00D55AB5" w:rsidRPr="00D55AB5" w:rsidRDefault="00D55AB5" w:rsidP="00D55AB5">
      <w:pPr>
        <w:pStyle w:val="Heading3"/>
      </w:pPr>
      <w:bookmarkStart w:id="158" w:name="_Toc217410175"/>
      <w:r>
        <w:t>Phoenix Storm Drain Diversion</w:t>
      </w:r>
      <w:r w:rsidR="00E3046D">
        <w:t xml:space="preserve"> - Constructed</w:t>
      </w:r>
      <w:bookmarkEnd w:id="158"/>
    </w:p>
    <w:p w14:paraId="5952E036" w14:textId="2920A35A" w:rsidR="00D55AB5" w:rsidRDefault="00D55AB5" w:rsidP="00D55AB5">
      <w:pPr>
        <w:pStyle w:val="CDMLetterBULLET"/>
        <w:numPr>
          <w:ilvl w:val="0"/>
          <w:numId w:val="0"/>
        </w:numPr>
        <w:spacing w:after="120" w:line="264" w:lineRule="auto"/>
        <w:jc w:val="both"/>
        <w:rPr>
          <w:rFonts w:ascii="Times New Roman" w:hAnsi="Times New Roman"/>
          <w:sz w:val="24"/>
          <w:szCs w:val="24"/>
        </w:rPr>
      </w:pPr>
      <w:r>
        <w:rPr>
          <w:rFonts w:ascii="Times New Roman" w:eastAsiaTheme="minorHAnsi" w:hAnsi="Times New Roman"/>
          <w:sz w:val="24"/>
          <w:szCs w:val="24"/>
        </w:rPr>
        <w:t xml:space="preserve">The </w:t>
      </w:r>
      <w:r w:rsidRPr="003D5EE1">
        <w:rPr>
          <w:rFonts w:ascii="Times New Roman" w:hAnsi="Times New Roman"/>
          <w:sz w:val="24"/>
          <w:szCs w:val="24"/>
        </w:rPr>
        <w:t xml:space="preserve">Phoenix Avenue </w:t>
      </w:r>
      <w:r>
        <w:rPr>
          <w:rFonts w:ascii="Times New Roman" w:hAnsi="Times New Roman"/>
          <w:sz w:val="24"/>
          <w:szCs w:val="24"/>
        </w:rPr>
        <w:t>S</w:t>
      </w:r>
      <w:r w:rsidRPr="003D5EE1">
        <w:rPr>
          <w:rFonts w:ascii="Times New Roman" w:hAnsi="Times New Roman"/>
          <w:sz w:val="24"/>
          <w:szCs w:val="24"/>
        </w:rPr>
        <w:t xml:space="preserve">torm </w:t>
      </w:r>
      <w:r>
        <w:rPr>
          <w:rFonts w:ascii="Times New Roman" w:hAnsi="Times New Roman"/>
          <w:sz w:val="24"/>
          <w:szCs w:val="24"/>
        </w:rPr>
        <w:t>D</w:t>
      </w:r>
      <w:r w:rsidRPr="003D5EE1">
        <w:rPr>
          <w:rFonts w:ascii="Times New Roman" w:hAnsi="Times New Roman"/>
          <w:sz w:val="24"/>
          <w:szCs w:val="24"/>
        </w:rPr>
        <w:t>rain-to-</w:t>
      </w:r>
      <w:r>
        <w:rPr>
          <w:rFonts w:ascii="Times New Roman" w:hAnsi="Times New Roman"/>
          <w:sz w:val="24"/>
          <w:szCs w:val="24"/>
        </w:rPr>
        <w:t>S</w:t>
      </w:r>
      <w:r w:rsidRPr="003D5EE1">
        <w:rPr>
          <w:rFonts w:ascii="Times New Roman" w:hAnsi="Times New Roman"/>
          <w:sz w:val="24"/>
          <w:szCs w:val="24"/>
        </w:rPr>
        <w:t xml:space="preserve">ewer </w:t>
      </w:r>
      <w:r>
        <w:rPr>
          <w:rFonts w:ascii="Times New Roman" w:hAnsi="Times New Roman"/>
          <w:sz w:val="24"/>
          <w:szCs w:val="24"/>
        </w:rPr>
        <w:t>D</w:t>
      </w:r>
      <w:r w:rsidRPr="003D5EE1">
        <w:rPr>
          <w:rFonts w:ascii="Times New Roman" w:hAnsi="Times New Roman"/>
          <w:sz w:val="24"/>
          <w:szCs w:val="24"/>
        </w:rPr>
        <w:t xml:space="preserve">iversion </w:t>
      </w:r>
      <w:r>
        <w:rPr>
          <w:rFonts w:ascii="Times New Roman" w:hAnsi="Times New Roman"/>
          <w:sz w:val="24"/>
          <w:szCs w:val="24"/>
        </w:rPr>
        <w:t>P</w:t>
      </w:r>
      <w:r w:rsidRPr="003D5EE1">
        <w:rPr>
          <w:rFonts w:ascii="Times New Roman" w:hAnsi="Times New Roman"/>
          <w:sz w:val="24"/>
          <w:szCs w:val="24"/>
        </w:rPr>
        <w:t xml:space="preserve">roject was completed in July 2021 and operational as of September 9, 2021.  This project </w:t>
      </w:r>
      <w:r>
        <w:rPr>
          <w:rFonts w:ascii="Times New Roman" w:hAnsi="Times New Roman"/>
          <w:sz w:val="24"/>
          <w:szCs w:val="24"/>
        </w:rPr>
        <w:t>wa</w:t>
      </w:r>
      <w:r w:rsidRPr="003D5EE1">
        <w:rPr>
          <w:rFonts w:ascii="Times New Roman" w:hAnsi="Times New Roman"/>
          <w:sz w:val="24"/>
          <w:szCs w:val="24"/>
        </w:rPr>
        <w:t xml:space="preserve">s the first stormwater-diversion-to-sewer project in Riverside County and serves as a pilot project for future diversions that will be able to address the MSAR TMDL. </w:t>
      </w:r>
    </w:p>
    <w:p w14:paraId="5926156B" w14:textId="27778C3E" w:rsidR="007D6C09" w:rsidRPr="00D55AB5" w:rsidRDefault="007D6C09" w:rsidP="007D6C09">
      <w:pPr>
        <w:pStyle w:val="Heading3"/>
      </w:pPr>
      <w:bookmarkStart w:id="159" w:name="_Toc217410176"/>
      <w:r w:rsidRPr="007D6C09">
        <w:rPr>
          <w:szCs w:val="24"/>
        </w:rPr>
        <w:lastRenderedPageBreak/>
        <w:t>Sunnyslope Trash Retrofit Project</w:t>
      </w:r>
      <w:r w:rsidR="00E3046D">
        <w:rPr>
          <w:szCs w:val="24"/>
        </w:rPr>
        <w:t xml:space="preserve"> - Planned</w:t>
      </w:r>
      <w:bookmarkEnd w:id="159"/>
    </w:p>
    <w:p w14:paraId="791F6AEF" w14:textId="62CD55E3" w:rsidR="007D6C09" w:rsidRDefault="007D6C09" w:rsidP="00D55AB5">
      <w:pPr>
        <w:pStyle w:val="CDMLetterBULLET"/>
        <w:numPr>
          <w:ilvl w:val="0"/>
          <w:numId w:val="0"/>
        </w:numPr>
        <w:spacing w:after="120" w:line="264" w:lineRule="auto"/>
        <w:jc w:val="both"/>
        <w:rPr>
          <w:rFonts w:ascii="Times New Roman" w:hAnsi="Times New Roman"/>
          <w:sz w:val="24"/>
          <w:szCs w:val="28"/>
        </w:rPr>
      </w:pPr>
      <w:r w:rsidRPr="007D6C09">
        <w:rPr>
          <w:rFonts w:ascii="Times New Roman" w:hAnsi="Times New Roman"/>
          <w:sz w:val="24"/>
          <w:szCs w:val="28"/>
        </w:rPr>
        <w:t>The Sunnyslope Trash Retrofit Project is located near the Rubidoux Nature Center. The project proposes to retrofit the old channel by placing metal trash grates at the downstream end of the channel. The trapezoidal channel will be modified to a rectangular channel near the two most downstream channel access ramps. The metal grates will be designed within the rectangular channel in a way that they will hinge open with the force of the flows to avoid compromising the channel capacity during a 100-year storm event. The channel trash retrofit will help meet objectives to prevent trash and associated bacteria from getting into the Santa Ana River. This will also benefit the critical habitat of the vulnerable Santa Ana Sucker fish. RCFC&amp;WCD will be responsible for operation and maintenance of the trash screening devices and removal of collected material. This project is funded and scheduled for construction in 2026-27.</w:t>
      </w:r>
    </w:p>
    <w:p w14:paraId="0EC70F9F" w14:textId="4188E15F" w:rsidR="0095640A" w:rsidRPr="007D6C09" w:rsidRDefault="0095640A" w:rsidP="0095640A">
      <w:pPr>
        <w:pStyle w:val="Heading3"/>
      </w:pPr>
      <w:bookmarkStart w:id="160" w:name="_Toc217410177"/>
      <w:r w:rsidRPr="007D6C09">
        <w:t>MSAR Multi-Benefit Water Quality Strategy</w:t>
      </w:r>
      <w:bookmarkEnd w:id="160"/>
    </w:p>
    <w:p w14:paraId="05AEF599" w14:textId="5C016949" w:rsidR="0095640A" w:rsidRDefault="0095640A" w:rsidP="0095640A">
      <w:pPr>
        <w:pStyle w:val="CDMLetterBULLET"/>
        <w:numPr>
          <w:ilvl w:val="0"/>
          <w:numId w:val="0"/>
        </w:numPr>
        <w:spacing w:after="120" w:line="264" w:lineRule="auto"/>
        <w:jc w:val="both"/>
        <w:rPr>
          <w:rFonts w:ascii="Times New Roman" w:eastAsiaTheme="minorHAnsi" w:hAnsi="Times New Roman"/>
          <w:sz w:val="24"/>
          <w:szCs w:val="24"/>
        </w:rPr>
      </w:pPr>
      <w:r w:rsidRPr="007D6C09">
        <w:rPr>
          <w:rFonts w:ascii="Times New Roman" w:eastAsiaTheme="minorHAnsi" w:hAnsi="Times New Roman"/>
          <w:sz w:val="24"/>
          <w:szCs w:val="24"/>
        </w:rPr>
        <w:t xml:space="preserve">RCFC&amp;WCD and the MSAR MS4 Permittees created a broad strategy </w:t>
      </w:r>
      <w:r>
        <w:rPr>
          <w:rFonts w:ascii="Times New Roman" w:eastAsiaTheme="minorHAnsi" w:hAnsi="Times New Roman"/>
          <w:sz w:val="24"/>
          <w:szCs w:val="24"/>
        </w:rPr>
        <w:t xml:space="preserve">specific to Reach 3 of the SAR </w:t>
      </w:r>
      <w:r w:rsidRPr="007D6C09">
        <w:rPr>
          <w:rFonts w:ascii="Times New Roman" w:eastAsiaTheme="minorHAnsi" w:hAnsi="Times New Roman"/>
          <w:sz w:val="24"/>
          <w:szCs w:val="24"/>
        </w:rPr>
        <w:t xml:space="preserve">entitled “Toward a Middle Santa Ana River Multi-Benefit Water Quality Strategy”. The goal of this effort is to define an equitable vision for stakeholders to achieve progress towards the beneficial uses of the </w:t>
      </w:r>
      <w:r>
        <w:rPr>
          <w:rFonts w:ascii="Times New Roman" w:eastAsiaTheme="minorHAnsi" w:hAnsi="Times New Roman"/>
          <w:sz w:val="24"/>
          <w:szCs w:val="24"/>
        </w:rPr>
        <w:t>SAR Reach 3</w:t>
      </w:r>
      <w:r w:rsidRPr="007D6C09">
        <w:rPr>
          <w:rFonts w:ascii="Times New Roman" w:eastAsiaTheme="minorHAnsi" w:hAnsi="Times New Roman"/>
          <w:sz w:val="24"/>
          <w:szCs w:val="24"/>
        </w:rPr>
        <w:t>, improve water quality, enhance recreation, improve ecological function, attract waterfront development, increase access to parks, open spaces and greenways. This long term vision brings together multiple considerations including beneficial uses, flood control and groundwater recharge considerations, economic considerations for waterfront development, recreation for walking, running and cycling, and habitat protection and restoration. Rather than starting from scratch, this vision document seeks to integrate multiple individual efforts by stakeholders into a common framework for collective action.</w:t>
      </w:r>
      <w:r>
        <w:rPr>
          <w:rFonts w:ascii="Times New Roman" w:eastAsiaTheme="minorHAnsi" w:hAnsi="Times New Roman"/>
          <w:sz w:val="24"/>
          <w:szCs w:val="24"/>
        </w:rPr>
        <w:t xml:space="preserve"> </w:t>
      </w:r>
      <w:r w:rsidRPr="007D6C09">
        <w:rPr>
          <w:rFonts w:ascii="Times New Roman" w:eastAsiaTheme="minorHAnsi" w:hAnsi="Times New Roman"/>
          <w:b/>
          <w:bCs/>
          <w:sz w:val="24"/>
          <w:szCs w:val="24"/>
        </w:rPr>
        <w:t>Figure 3-12</w:t>
      </w:r>
      <w:r>
        <w:rPr>
          <w:rFonts w:ascii="Times New Roman" w:eastAsiaTheme="minorHAnsi" w:hAnsi="Times New Roman"/>
          <w:sz w:val="24"/>
          <w:szCs w:val="24"/>
        </w:rPr>
        <w:t xml:space="preserve"> provides an initial vision for the project.  </w:t>
      </w:r>
    </w:p>
    <w:p w14:paraId="1BD99163" w14:textId="2F523467" w:rsidR="0023167A" w:rsidRPr="007D6C09" w:rsidRDefault="0023167A" w:rsidP="0095640A">
      <w:pPr>
        <w:pStyle w:val="CDMLetterBULLET"/>
        <w:numPr>
          <w:ilvl w:val="0"/>
          <w:numId w:val="0"/>
        </w:numPr>
        <w:spacing w:after="120" w:line="264" w:lineRule="auto"/>
        <w:jc w:val="both"/>
        <w:rPr>
          <w:rFonts w:ascii="Times New Roman" w:eastAsiaTheme="minorHAnsi" w:hAnsi="Times New Roman"/>
          <w:sz w:val="24"/>
          <w:szCs w:val="24"/>
        </w:rPr>
      </w:pPr>
      <w:r w:rsidRPr="007D6C09">
        <w:rPr>
          <w:rFonts w:ascii="Times New Roman" w:eastAsiaTheme="minorHAnsi" w:hAnsi="Times New Roman"/>
          <w:noProof/>
          <w:sz w:val="24"/>
          <w:szCs w:val="24"/>
        </w:rPr>
        <w:drawing>
          <wp:inline distT="0" distB="0" distL="0" distR="0" wp14:anchorId="7FB12636" wp14:editId="4A13DACE">
            <wp:extent cx="4750435" cy="3004185"/>
            <wp:effectExtent l="0" t="0" r="0" b="5715"/>
            <wp:docPr id="377165081" name="Picture 1"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65081" name="Picture 1" descr="A map of a route&#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50435" cy="3004185"/>
                    </a:xfrm>
                    <a:prstGeom prst="rect">
                      <a:avLst/>
                    </a:prstGeom>
                  </pic:spPr>
                </pic:pic>
              </a:graphicData>
            </a:graphic>
          </wp:inline>
        </w:drawing>
      </w:r>
    </w:p>
    <w:p w14:paraId="76A334B1" w14:textId="4DA1584F" w:rsidR="0023167A" w:rsidRDefault="0023167A" w:rsidP="0023167A">
      <w:pPr>
        <w:pStyle w:val="Caption"/>
      </w:pPr>
      <w:bookmarkStart w:id="161" w:name="_Toc217394586"/>
      <w:bookmarkStart w:id="162" w:name="_Toc21739478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w:t>
      </w:r>
      <w:r>
        <w:fldChar w:fldCharType="end"/>
      </w:r>
      <w:r>
        <w:t xml:space="preserve">. </w:t>
      </w:r>
      <w:r w:rsidRPr="0023167A">
        <w:t>Strategic Vision for a Multi-Benefit Water Quality Strategy in the MSAR</w:t>
      </w:r>
      <w:bookmarkEnd w:id="161"/>
      <w:bookmarkEnd w:id="162"/>
    </w:p>
    <w:p w14:paraId="24108FDA" w14:textId="1E1A0A3B" w:rsidR="0095640A" w:rsidRPr="007B163C" w:rsidRDefault="0095640A" w:rsidP="0095640A">
      <w:pPr>
        <w:pStyle w:val="Caption"/>
      </w:pPr>
      <w:r>
        <w:lastRenderedPageBreak/>
        <w:t>.</w:t>
      </w:r>
    </w:p>
    <w:p w14:paraId="3CCD34D1" w14:textId="5EDA7676" w:rsidR="00E3046D" w:rsidRDefault="00E3046D" w:rsidP="007D6C09">
      <w:pPr>
        <w:pStyle w:val="Heading3"/>
      </w:pPr>
      <w:bookmarkStart w:id="163" w:name="_Toc217410178"/>
      <w:r>
        <w:t>Bacteria Source Tracking in MS4 Drainage Areas</w:t>
      </w:r>
      <w:bookmarkEnd w:id="163"/>
    </w:p>
    <w:p w14:paraId="112AE4C2" w14:textId="33387629" w:rsidR="00E3046D" w:rsidRPr="00E3046D" w:rsidRDefault="00E3046D" w:rsidP="00E3046D">
      <w:pPr>
        <w:pStyle w:val="BodyText"/>
      </w:pPr>
      <w:r>
        <w:t xml:space="preserve">A key focus of the CBRPs is to implement an inspection program to identify and eliminate sources of controllable fecal bacteria from MS4 drainage areas. </w:t>
      </w:r>
      <w:r w:rsidR="007872EA">
        <w:t xml:space="preserve">Section 3 above summarizes the implementation of bacteria source evaluation over the 2023-2025 period. These results will be used by the MS4 </w:t>
      </w:r>
      <w:r w:rsidR="00CF6D47">
        <w:t>stakeholder</w:t>
      </w:r>
      <w:r w:rsidR="007872EA">
        <w:t xml:space="preserve"> group to support investigations within MS4 networks to identify and eliminate sources. Implementation will be accomplished through enhancement to existing IDDE programs. </w:t>
      </w:r>
    </w:p>
    <w:p w14:paraId="5A929BA6" w14:textId="51D7B91E" w:rsidR="00EE6B29" w:rsidRDefault="006E3633" w:rsidP="006E3633">
      <w:pPr>
        <w:pStyle w:val="Heading2"/>
        <w:ind w:left="792"/>
      </w:pPr>
      <w:bookmarkStart w:id="164" w:name="_Toc217410179"/>
      <w:r>
        <w:t xml:space="preserve">TMDL Implementation by </w:t>
      </w:r>
      <w:r w:rsidR="00EE6B29" w:rsidRPr="007F01F3">
        <w:t>Agriculture Discharger</w:t>
      </w:r>
      <w:r w:rsidR="002A04B6">
        <w:t>s</w:t>
      </w:r>
      <w:bookmarkEnd w:id="164"/>
    </w:p>
    <w:p w14:paraId="3B831B26" w14:textId="15D4E4F3" w:rsidR="00915FD3" w:rsidRDefault="006E3633" w:rsidP="00915FD3">
      <w:pPr>
        <w:pStyle w:val="BodyText"/>
      </w:pPr>
      <w:bookmarkStart w:id="165" w:name="_Hlk121295836"/>
      <w:r>
        <w:t xml:space="preserve">Prior to this reporting period, required tasks in the TMDL associated with </w:t>
      </w:r>
      <w:r w:rsidR="00915FD3">
        <w:t xml:space="preserve">agricultural sources </w:t>
      </w:r>
      <w:r>
        <w:t xml:space="preserve">were completed including development and </w:t>
      </w:r>
      <w:r w:rsidR="00915FD3">
        <w:t>implementation</w:t>
      </w:r>
      <w:r>
        <w:t xml:space="preserve"> of an</w:t>
      </w:r>
      <w:r w:rsidRPr="00915FD3">
        <w:t xml:space="preserve"> </w:t>
      </w:r>
      <w:r w:rsidR="00915FD3" w:rsidRPr="00915FD3">
        <w:t>Agricultural Source Evaluation Plan</w:t>
      </w:r>
      <w:r w:rsidR="00915FD3">
        <w:t xml:space="preserve"> (</w:t>
      </w:r>
      <w:proofErr w:type="spellStart"/>
      <w:r w:rsidR="00915FD3">
        <w:t>AgSEP</w:t>
      </w:r>
      <w:proofErr w:type="spellEnd"/>
      <w:r w:rsidR="00915FD3">
        <w:t xml:space="preserve">), </w:t>
      </w:r>
      <w:r w:rsidR="00915FD3">
        <w:rPr>
          <w:rFonts w:cstheme="minorHAnsi"/>
        </w:rPr>
        <w:t xml:space="preserve">approved on April 18, 2008 (Resolution No. R8-2008-0044) and </w:t>
      </w:r>
      <w:r w:rsidR="00915FD3" w:rsidRPr="00531B87">
        <w:rPr>
          <w:iCs/>
        </w:rPr>
        <w:t>Bacterial Indicator Agricultural Source Management Plan</w:t>
      </w:r>
      <w:r w:rsidR="00915FD3">
        <w:t xml:space="preserve"> (BASMP), a final BASMP was submitted to the Santa Ana Water Board in December 2014 (</w:t>
      </w:r>
      <w:bookmarkStart w:id="166" w:name="_Hlk120874145"/>
      <w:r w:rsidR="00915FD3">
        <w:t>CBW Agricultural Pool 2014</w:t>
      </w:r>
      <w:bookmarkEnd w:id="166"/>
      <w:r w:rsidR="00915FD3">
        <w:t>). This document was prepared on behalf of all a</w:t>
      </w:r>
      <w:r w:rsidR="00915FD3" w:rsidRPr="00953967">
        <w:t xml:space="preserve">gricultural </w:t>
      </w:r>
      <w:r w:rsidR="00915FD3">
        <w:t xml:space="preserve">operators in the MSAR watershed except “citrus growers and nurseries in the Arlington Greenbelt Area, with the exception of Altman Plants” (CBW Agricultural Pool 2014, see section prior to the table of contents). Per the BASMP, the agricultural operators not covered by the BASMP would comply with TMDL requirements separately from the other agricultural operators in the watershed. </w:t>
      </w:r>
    </w:p>
    <w:p w14:paraId="4145EC56" w14:textId="6F711960" w:rsidR="00915FD3" w:rsidRDefault="00915FD3" w:rsidP="00915FD3">
      <w:pPr>
        <w:pStyle w:val="Heading3"/>
      </w:pPr>
      <w:bookmarkStart w:id="167" w:name="_Toc217410180"/>
      <w:r>
        <w:t>CAFOs</w:t>
      </w:r>
      <w:bookmarkEnd w:id="167"/>
    </w:p>
    <w:p w14:paraId="3A4FFF5B" w14:textId="5D8B17A9" w:rsidR="00FB1AA2" w:rsidRDefault="006E3633" w:rsidP="006E3633">
      <w:pPr>
        <w:pStyle w:val="BodyText"/>
      </w:pPr>
      <w:r>
        <w:t>For CAFOs, compliance with the dry weather condition WLAs is accomplished through implementation of the prohibition against discharge of any DWF from a permitted facility (see BASMP Section 2.3.1; CBW Agricultural Pool 2014). Per the current CAFO General Order these discharge prohibitions are found in Section II.A (Santa Ana Water Board 2018; R8-2018-0001).</w:t>
      </w:r>
      <w:r w:rsidR="00915FD3">
        <w:t xml:space="preserve"> Moreover, t</w:t>
      </w:r>
      <w:r w:rsidR="009E2BAA">
        <w:t>he number of CAFOs has been declining steadily since the adoption of the TMDL</w:t>
      </w:r>
      <w:r w:rsidR="007E5EA5">
        <w:t>s</w:t>
      </w:r>
      <w:r w:rsidR="009E2BAA">
        <w:t xml:space="preserve"> in 2005</w:t>
      </w:r>
      <w:r w:rsidR="002C0943">
        <w:t xml:space="preserve"> </w:t>
      </w:r>
      <w:r w:rsidR="002C0943" w:rsidRPr="003C3194">
        <w:t>(</w:t>
      </w:r>
      <w:r w:rsidR="002C0943" w:rsidRPr="003C3194">
        <w:rPr>
          <w:b/>
          <w:bCs/>
        </w:rPr>
        <w:t xml:space="preserve">Table </w:t>
      </w:r>
      <w:r w:rsidR="00A94C91">
        <w:rPr>
          <w:b/>
          <w:bCs/>
        </w:rPr>
        <w:t>4</w:t>
      </w:r>
      <w:r w:rsidR="002C0943" w:rsidRPr="003C3194">
        <w:rPr>
          <w:b/>
          <w:bCs/>
        </w:rPr>
        <w:t>-</w:t>
      </w:r>
      <w:r w:rsidR="00A94C91">
        <w:rPr>
          <w:b/>
          <w:bCs/>
        </w:rPr>
        <w:t>2</w:t>
      </w:r>
      <w:r w:rsidR="002C0943" w:rsidRPr="003C3194">
        <w:t>)</w:t>
      </w:r>
      <w:r w:rsidR="009E2BAA" w:rsidRPr="003C3194">
        <w:t>. When</w:t>
      </w:r>
      <w:r w:rsidR="009E2BAA">
        <w:t xml:space="preserve"> the TMDL</w:t>
      </w:r>
      <w:r w:rsidR="007E5EA5">
        <w:t>s were</w:t>
      </w:r>
      <w:r w:rsidR="009E2BAA">
        <w:t xml:space="preserve"> adopted the TMDL Staff Report stated that Chino Dairy Preserve in the MSAR watershed had more than 300,000</w:t>
      </w:r>
      <w:r w:rsidR="002C0943">
        <w:t xml:space="preserve"> animal units</w:t>
      </w:r>
      <w:r w:rsidR="009E2BAA">
        <w:t xml:space="preserve"> (Santa Ana Water Board 2005a)</w:t>
      </w:r>
      <w:r w:rsidR="002C0943">
        <w:t xml:space="preserve">, down from the 320,000 reported in the 1999 </w:t>
      </w:r>
      <w:r w:rsidR="002C0943" w:rsidRPr="00A47B82">
        <w:t>CAFO General Order</w:t>
      </w:r>
      <w:r w:rsidR="00915FD3" w:rsidRPr="00A47B82">
        <w:t xml:space="preserve"> </w:t>
      </w:r>
      <w:r w:rsidR="002C0943" w:rsidRPr="00A47B82">
        <w:t>(</w:t>
      </w:r>
      <w:r w:rsidR="002C0943" w:rsidRPr="00A94C91">
        <w:rPr>
          <w:b/>
          <w:bCs/>
        </w:rPr>
        <w:t xml:space="preserve">Table </w:t>
      </w:r>
      <w:r w:rsidR="00A94C91" w:rsidRPr="00A94C91">
        <w:rPr>
          <w:b/>
          <w:bCs/>
        </w:rPr>
        <w:t>4</w:t>
      </w:r>
      <w:r w:rsidR="002C0943" w:rsidRPr="00A94C91">
        <w:rPr>
          <w:b/>
          <w:bCs/>
        </w:rPr>
        <w:t>-</w:t>
      </w:r>
      <w:r w:rsidR="00A94C91" w:rsidRPr="00A94C91">
        <w:rPr>
          <w:b/>
          <w:bCs/>
        </w:rPr>
        <w:t>2</w:t>
      </w:r>
      <w:r w:rsidR="002C0943" w:rsidRPr="00A47B82">
        <w:t>)</w:t>
      </w:r>
      <w:r w:rsidR="009E2BAA" w:rsidRPr="00A47B82">
        <w:t xml:space="preserve">. </w:t>
      </w:r>
      <w:commentRangeStart w:id="168"/>
      <w:r w:rsidR="009E2BAA" w:rsidRPr="00A47B82">
        <w:t xml:space="preserve">As of </w:t>
      </w:r>
      <w:r w:rsidR="009E2BAA" w:rsidRPr="009B59A3">
        <w:t>2021 the number of animal units</w:t>
      </w:r>
      <w:r w:rsidR="002C0943" w:rsidRPr="009B59A3">
        <w:t xml:space="preserve"> had declined to approximately 54,000, a </w:t>
      </w:r>
      <w:r w:rsidR="00FF3BDD" w:rsidRPr="009B59A3">
        <w:t>reduction</w:t>
      </w:r>
      <w:r w:rsidR="002C0943" w:rsidRPr="009B59A3">
        <w:t xml:space="preserve"> of more than 80%</w:t>
      </w:r>
      <w:r w:rsidR="009E2BAA" w:rsidRPr="009B59A3">
        <w:t>.</w:t>
      </w:r>
      <w:r w:rsidR="009E2BAA" w:rsidRPr="00A47B82">
        <w:t xml:space="preserve"> The number of dairies is expected to continue to decline in the future (Pat Boldt, personal communication, </w:t>
      </w:r>
      <w:r w:rsidR="009E2BAA" w:rsidRPr="009B59A3">
        <w:t>November 2022</w:t>
      </w:r>
      <w:r w:rsidR="009E2BAA" w:rsidRPr="00A47B82">
        <w:t>).</w:t>
      </w:r>
      <w:commentRangeEnd w:id="168"/>
      <w:r w:rsidR="00A47B82" w:rsidRPr="00A47B82">
        <w:rPr>
          <w:rStyle w:val="CommentReference"/>
        </w:rPr>
        <w:commentReference w:id="168"/>
      </w:r>
    </w:p>
    <w:p w14:paraId="30F11456" w14:textId="77777777" w:rsidR="00FB1AA2" w:rsidRDefault="00FB1AA2">
      <w:pPr>
        <w:spacing w:line="240" w:lineRule="auto"/>
      </w:pPr>
      <w:r>
        <w:br w:type="page"/>
      </w:r>
    </w:p>
    <w:tbl>
      <w:tblPr>
        <w:tblStyle w:val="TableGrid"/>
        <w:tblW w:w="0" w:type="auto"/>
        <w:tblLook w:val="04A0" w:firstRow="1" w:lastRow="0" w:firstColumn="1" w:lastColumn="0" w:noHBand="0" w:noVBand="1"/>
      </w:tblPr>
      <w:tblGrid>
        <w:gridCol w:w="1260"/>
        <w:gridCol w:w="1710"/>
        <w:gridCol w:w="2070"/>
        <w:gridCol w:w="3950"/>
      </w:tblGrid>
      <w:tr w:rsidR="00DA3E8A" w:rsidRPr="00CF4511" w14:paraId="4D2188AE" w14:textId="77777777" w:rsidTr="009B59A3">
        <w:trPr>
          <w:trHeight w:val="540"/>
          <w:tblHeader/>
        </w:trPr>
        <w:tc>
          <w:tcPr>
            <w:tcW w:w="8990" w:type="dxa"/>
            <w:gridSpan w:val="4"/>
            <w:tcBorders>
              <w:top w:val="nil"/>
              <w:left w:val="nil"/>
              <w:bottom w:val="single" w:sz="4" w:space="0" w:color="auto"/>
              <w:right w:val="nil"/>
            </w:tcBorders>
          </w:tcPr>
          <w:p w14:paraId="7FD5EE3D" w14:textId="4EB42E3C" w:rsidR="00DA3E8A" w:rsidRDefault="00FE614C" w:rsidP="00FE614C">
            <w:pPr>
              <w:pStyle w:val="Caption"/>
              <w:keepNext/>
            </w:pPr>
            <w:bookmarkStart w:id="169" w:name="_Toc217391774"/>
            <w:r>
              <w:lastRenderedPageBreak/>
              <w:t xml:space="preserve">Table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Table \* ARABIC \s 1 </w:instrText>
            </w:r>
            <w:r>
              <w:fldChar w:fldCharType="separate"/>
            </w:r>
            <w:r>
              <w:rPr>
                <w:noProof/>
              </w:rPr>
              <w:t>2</w:t>
            </w:r>
            <w:r>
              <w:fldChar w:fldCharType="end"/>
            </w:r>
            <w:r>
              <w:t>.</w:t>
            </w:r>
            <w:r w:rsidR="00DA3E8A" w:rsidRPr="003C3194">
              <w:t xml:space="preserve"> Changes</w:t>
            </w:r>
            <w:r w:rsidR="00DA3E8A">
              <w:t xml:space="preserve"> in Number of Dairies and Animal Units in Chino Basin Area of the Santa Ana Region, 1999 – 2021</w:t>
            </w:r>
            <w:bookmarkEnd w:id="169"/>
          </w:p>
        </w:tc>
      </w:tr>
      <w:tr w:rsidR="00DA3E8A" w:rsidRPr="00CF4511" w14:paraId="4365528D" w14:textId="77777777" w:rsidTr="009B59A3">
        <w:trPr>
          <w:trHeight w:val="432"/>
          <w:tblHeader/>
        </w:trPr>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85520E" w14:textId="77777777" w:rsidR="00DA3E8A" w:rsidRPr="002714B2" w:rsidRDefault="00DA3E8A" w:rsidP="005778BA">
            <w:pPr>
              <w:pStyle w:val="BodyText"/>
              <w:spacing w:after="0" w:line="240" w:lineRule="auto"/>
              <w:jc w:val="center"/>
              <w:rPr>
                <w:rFonts w:ascii="Arial" w:hAnsi="Arial" w:cs="Arial"/>
                <w:b/>
                <w:bCs/>
                <w:sz w:val="18"/>
                <w:szCs w:val="18"/>
              </w:rPr>
            </w:pPr>
            <w:r w:rsidRPr="002714B2">
              <w:rPr>
                <w:rFonts w:ascii="Arial" w:hAnsi="Arial" w:cs="Arial"/>
                <w:b/>
                <w:bCs/>
                <w:sz w:val="18"/>
                <w:szCs w:val="18"/>
              </w:rPr>
              <w:t>Year</w:t>
            </w:r>
          </w:p>
        </w:tc>
        <w:tc>
          <w:tcPr>
            <w:tcW w:w="1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A9AA92" w14:textId="77777777" w:rsidR="00DA3E8A" w:rsidRPr="002714B2" w:rsidRDefault="00DA3E8A" w:rsidP="005778BA">
            <w:pPr>
              <w:pStyle w:val="BodyText"/>
              <w:spacing w:after="0" w:line="240" w:lineRule="auto"/>
              <w:jc w:val="center"/>
              <w:rPr>
                <w:rFonts w:ascii="Arial" w:hAnsi="Arial" w:cs="Arial"/>
                <w:b/>
                <w:bCs/>
                <w:sz w:val="18"/>
                <w:szCs w:val="18"/>
              </w:rPr>
            </w:pPr>
            <w:r w:rsidRPr="002714B2">
              <w:rPr>
                <w:rFonts w:ascii="Arial" w:hAnsi="Arial" w:cs="Arial"/>
                <w:b/>
                <w:bCs/>
                <w:sz w:val="18"/>
                <w:szCs w:val="18"/>
              </w:rPr>
              <w:t>Dairies</w:t>
            </w:r>
          </w:p>
        </w:tc>
        <w:tc>
          <w:tcPr>
            <w:tcW w:w="20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016175" w14:textId="77777777" w:rsidR="00DA3E8A" w:rsidRPr="002714B2" w:rsidRDefault="00DA3E8A" w:rsidP="005778BA">
            <w:pPr>
              <w:pStyle w:val="BodyText"/>
              <w:spacing w:after="0" w:line="240" w:lineRule="auto"/>
              <w:jc w:val="center"/>
              <w:rPr>
                <w:rFonts w:ascii="Arial" w:hAnsi="Arial" w:cs="Arial"/>
                <w:b/>
                <w:bCs/>
                <w:sz w:val="18"/>
                <w:szCs w:val="18"/>
              </w:rPr>
            </w:pPr>
            <w:r w:rsidRPr="002714B2">
              <w:rPr>
                <w:rFonts w:ascii="Arial" w:hAnsi="Arial" w:cs="Arial"/>
                <w:b/>
                <w:bCs/>
                <w:sz w:val="18"/>
                <w:szCs w:val="18"/>
              </w:rPr>
              <w:t>Animal Units</w:t>
            </w:r>
          </w:p>
        </w:tc>
        <w:tc>
          <w:tcPr>
            <w:tcW w:w="3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484BF" w14:textId="77777777" w:rsidR="00DA3E8A" w:rsidRPr="002714B2" w:rsidRDefault="00DA3E8A" w:rsidP="005778BA">
            <w:pPr>
              <w:pStyle w:val="BodyText"/>
              <w:spacing w:after="0" w:line="240" w:lineRule="auto"/>
              <w:jc w:val="center"/>
              <w:rPr>
                <w:rFonts w:ascii="Arial" w:hAnsi="Arial" w:cs="Arial"/>
                <w:b/>
                <w:bCs/>
                <w:sz w:val="18"/>
                <w:szCs w:val="18"/>
              </w:rPr>
            </w:pPr>
            <w:r w:rsidRPr="002714B2">
              <w:rPr>
                <w:rFonts w:ascii="Arial" w:hAnsi="Arial" w:cs="Arial"/>
                <w:b/>
                <w:bCs/>
                <w:sz w:val="18"/>
                <w:szCs w:val="18"/>
              </w:rPr>
              <w:t>Source</w:t>
            </w:r>
          </w:p>
        </w:tc>
      </w:tr>
      <w:tr w:rsidR="00DA3E8A" w:rsidRPr="00CF4511" w14:paraId="07AFA103" w14:textId="77777777" w:rsidTr="009B59A3">
        <w:trPr>
          <w:trHeight w:val="504"/>
        </w:trPr>
        <w:tc>
          <w:tcPr>
            <w:tcW w:w="1260" w:type="dxa"/>
            <w:tcBorders>
              <w:top w:val="single" w:sz="4" w:space="0" w:color="auto"/>
            </w:tcBorders>
            <w:vAlign w:val="center"/>
          </w:tcPr>
          <w:p w14:paraId="211CC9C9"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1999</w:t>
            </w:r>
          </w:p>
        </w:tc>
        <w:tc>
          <w:tcPr>
            <w:tcW w:w="1710" w:type="dxa"/>
            <w:tcBorders>
              <w:top w:val="single" w:sz="4" w:space="0" w:color="auto"/>
            </w:tcBorders>
            <w:vAlign w:val="center"/>
          </w:tcPr>
          <w:p w14:paraId="6875E056"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297</w:t>
            </w:r>
          </w:p>
        </w:tc>
        <w:tc>
          <w:tcPr>
            <w:tcW w:w="2070" w:type="dxa"/>
            <w:tcBorders>
              <w:top w:val="single" w:sz="4" w:space="0" w:color="auto"/>
            </w:tcBorders>
            <w:vAlign w:val="center"/>
          </w:tcPr>
          <w:p w14:paraId="0D2C258D"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320,000</w:t>
            </w:r>
          </w:p>
        </w:tc>
        <w:tc>
          <w:tcPr>
            <w:tcW w:w="3950" w:type="dxa"/>
            <w:tcBorders>
              <w:top w:val="single" w:sz="4" w:space="0" w:color="auto"/>
            </w:tcBorders>
            <w:vAlign w:val="center"/>
          </w:tcPr>
          <w:p w14:paraId="71A951AF" w14:textId="77777777"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Santa Ana Water Board 1999; Order 99-11</w:t>
            </w:r>
          </w:p>
        </w:tc>
      </w:tr>
      <w:tr w:rsidR="00DA3E8A" w:rsidRPr="00CF4511" w14:paraId="7EC1E1F4" w14:textId="77777777" w:rsidTr="00DA3E8A">
        <w:trPr>
          <w:trHeight w:val="504"/>
        </w:trPr>
        <w:tc>
          <w:tcPr>
            <w:tcW w:w="1260" w:type="dxa"/>
            <w:vAlign w:val="center"/>
          </w:tcPr>
          <w:p w14:paraId="77C09C12"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2005</w:t>
            </w:r>
          </w:p>
        </w:tc>
        <w:tc>
          <w:tcPr>
            <w:tcW w:w="1710" w:type="dxa"/>
            <w:vAlign w:val="center"/>
          </w:tcPr>
          <w:p w14:paraId="33305048"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N/A</w:t>
            </w:r>
          </w:p>
        </w:tc>
        <w:tc>
          <w:tcPr>
            <w:tcW w:w="2070" w:type="dxa"/>
            <w:vAlign w:val="center"/>
          </w:tcPr>
          <w:p w14:paraId="5F84A9CE"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300,000</w:t>
            </w:r>
          </w:p>
        </w:tc>
        <w:tc>
          <w:tcPr>
            <w:tcW w:w="3950" w:type="dxa"/>
            <w:vAlign w:val="center"/>
          </w:tcPr>
          <w:p w14:paraId="7F7320E5" w14:textId="77777777"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TMDL Staff Report (Santa Ana Water Board 2005a)</w:t>
            </w:r>
          </w:p>
        </w:tc>
      </w:tr>
      <w:tr w:rsidR="00DA3E8A" w:rsidRPr="00CF4511" w14:paraId="11BE563F" w14:textId="77777777" w:rsidTr="00DA3E8A">
        <w:trPr>
          <w:trHeight w:val="504"/>
        </w:trPr>
        <w:tc>
          <w:tcPr>
            <w:tcW w:w="1260" w:type="dxa"/>
            <w:vAlign w:val="center"/>
          </w:tcPr>
          <w:p w14:paraId="6F065C14"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2007</w:t>
            </w:r>
          </w:p>
        </w:tc>
        <w:tc>
          <w:tcPr>
            <w:tcW w:w="1710" w:type="dxa"/>
            <w:vAlign w:val="center"/>
          </w:tcPr>
          <w:p w14:paraId="620750A4"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137</w:t>
            </w:r>
          </w:p>
        </w:tc>
        <w:tc>
          <w:tcPr>
            <w:tcW w:w="2070" w:type="dxa"/>
            <w:vAlign w:val="center"/>
          </w:tcPr>
          <w:p w14:paraId="4DAD9AA3"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185,000</w:t>
            </w:r>
          </w:p>
        </w:tc>
        <w:tc>
          <w:tcPr>
            <w:tcW w:w="3950" w:type="dxa"/>
            <w:vAlign w:val="center"/>
          </w:tcPr>
          <w:p w14:paraId="1812511C" w14:textId="77777777"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Santa Ana Water Board 2007; General Order (R8-2007-0001)</w:t>
            </w:r>
          </w:p>
        </w:tc>
      </w:tr>
      <w:tr w:rsidR="00DA3E8A" w:rsidRPr="00CF4511" w14:paraId="7540EC31" w14:textId="77777777" w:rsidTr="00DA3E8A">
        <w:trPr>
          <w:trHeight w:val="504"/>
        </w:trPr>
        <w:tc>
          <w:tcPr>
            <w:tcW w:w="1260" w:type="dxa"/>
            <w:vAlign w:val="center"/>
          </w:tcPr>
          <w:p w14:paraId="4DFF75C5"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2010</w:t>
            </w:r>
          </w:p>
        </w:tc>
        <w:tc>
          <w:tcPr>
            <w:tcW w:w="1710" w:type="dxa"/>
            <w:vAlign w:val="center"/>
          </w:tcPr>
          <w:p w14:paraId="5C55D9F6"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116</w:t>
            </w:r>
          </w:p>
        </w:tc>
        <w:tc>
          <w:tcPr>
            <w:tcW w:w="2070" w:type="dxa"/>
            <w:vAlign w:val="center"/>
          </w:tcPr>
          <w:p w14:paraId="64979293"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135,560</w:t>
            </w:r>
          </w:p>
        </w:tc>
        <w:tc>
          <w:tcPr>
            <w:tcW w:w="3950" w:type="dxa"/>
            <w:vAlign w:val="center"/>
          </w:tcPr>
          <w:p w14:paraId="25DEF3EF" w14:textId="77777777"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Personal communication, Pat Boldt (November 2022)</w:t>
            </w:r>
          </w:p>
        </w:tc>
      </w:tr>
      <w:tr w:rsidR="00DA3E8A" w:rsidRPr="00CF4511" w14:paraId="65A3C36B" w14:textId="77777777" w:rsidTr="00DA3E8A">
        <w:trPr>
          <w:trHeight w:val="504"/>
        </w:trPr>
        <w:tc>
          <w:tcPr>
            <w:tcW w:w="1260" w:type="dxa"/>
            <w:vAlign w:val="center"/>
          </w:tcPr>
          <w:p w14:paraId="56B201DF"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2013</w:t>
            </w:r>
          </w:p>
        </w:tc>
        <w:tc>
          <w:tcPr>
            <w:tcW w:w="1710" w:type="dxa"/>
            <w:vAlign w:val="center"/>
          </w:tcPr>
          <w:p w14:paraId="05FE9B69"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99</w:t>
            </w:r>
          </w:p>
        </w:tc>
        <w:tc>
          <w:tcPr>
            <w:tcW w:w="2070" w:type="dxa"/>
            <w:vAlign w:val="center"/>
          </w:tcPr>
          <w:p w14:paraId="139CC4FE"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116,000</w:t>
            </w:r>
          </w:p>
        </w:tc>
        <w:tc>
          <w:tcPr>
            <w:tcW w:w="3950" w:type="dxa"/>
            <w:vAlign w:val="center"/>
          </w:tcPr>
          <w:p w14:paraId="003E0072" w14:textId="77777777"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Santa Ana Water Board 2013; General Order R8-2013-0001</w:t>
            </w:r>
          </w:p>
        </w:tc>
      </w:tr>
      <w:tr w:rsidR="00DA3E8A" w:rsidRPr="00CF4511" w14:paraId="009252B8" w14:textId="77777777" w:rsidTr="00DA3E8A">
        <w:trPr>
          <w:trHeight w:val="504"/>
        </w:trPr>
        <w:tc>
          <w:tcPr>
            <w:tcW w:w="1260" w:type="dxa"/>
            <w:vAlign w:val="center"/>
          </w:tcPr>
          <w:p w14:paraId="568CCDF1"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2018</w:t>
            </w:r>
          </w:p>
        </w:tc>
        <w:tc>
          <w:tcPr>
            <w:tcW w:w="1710" w:type="dxa"/>
            <w:vAlign w:val="center"/>
          </w:tcPr>
          <w:p w14:paraId="72C57841"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84</w:t>
            </w:r>
          </w:p>
        </w:tc>
        <w:tc>
          <w:tcPr>
            <w:tcW w:w="2070" w:type="dxa"/>
            <w:vAlign w:val="center"/>
          </w:tcPr>
          <w:p w14:paraId="1CA3506C"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78,000</w:t>
            </w:r>
          </w:p>
        </w:tc>
        <w:tc>
          <w:tcPr>
            <w:tcW w:w="3950" w:type="dxa"/>
            <w:vAlign w:val="center"/>
          </w:tcPr>
          <w:p w14:paraId="40510DFC" w14:textId="3C1787DC"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Santa Ana Water Board 2018; General Order R8-2018-0001</w:t>
            </w:r>
          </w:p>
        </w:tc>
      </w:tr>
      <w:tr w:rsidR="00DA3E8A" w:rsidRPr="00CF4511" w14:paraId="7A36526B" w14:textId="77777777" w:rsidTr="00DA3E8A">
        <w:trPr>
          <w:trHeight w:val="504"/>
        </w:trPr>
        <w:tc>
          <w:tcPr>
            <w:tcW w:w="1260" w:type="dxa"/>
            <w:vAlign w:val="center"/>
          </w:tcPr>
          <w:p w14:paraId="087C0BFA"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2020</w:t>
            </w:r>
          </w:p>
        </w:tc>
        <w:tc>
          <w:tcPr>
            <w:tcW w:w="1710" w:type="dxa"/>
            <w:vAlign w:val="center"/>
          </w:tcPr>
          <w:p w14:paraId="19E432F7"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68</w:t>
            </w:r>
          </w:p>
        </w:tc>
        <w:tc>
          <w:tcPr>
            <w:tcW w:w="2070" w:type="dxa"/>
            <w:vAlign w:val="center"/>
          </w:tcPr>
          <w:p w14:paraId="6283F519"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67,946</w:t>
            </w:r>
          </w:p>
        </w:tc>
        <w:tc>
          <w:tcPr>
            <w:tcW w:w="3950" w:type="dxa"/>
            <w:vAlign w:val="center"/>
          </w:tcPr>
          <w:p w14:paraId="7B5EAD96" w14:textId="77777777"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Personal communication, Pat Boldt (November 2022)</w:t>
            </w:r>
          </w:p>
        </w:tc>
      </w:tr>
      <w:tr w:rsidR="00DA3E8A" w:rsidRPr="00CF4511" w14:paraId="3DE37611" w14:textId="77777777" w:rsidTr="00DA3E8A">
        <w:trPr>
          <w:trHeight w:val="504"/>
        </w:trPr>
        <w:tc>
          <w:tcPr>
            <w:tcW w:w="1260" w:type="dxa"/>
            <w:vAlign w:val="center"/>
          </w:tcPr>
          <w:p w14:paraId="1104C7B0"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2021</w:t>
            </w:r>
          </w:p>
        </w:tc>
        <w:tc>
          <w:tcPr>
            <w:tcW w:w="1710" w:type="dxa"/>
            <w:vAlign w:val="center"/>
          </w:tcPr>
          <w:p w14:paraId="7F6D654E"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56</w:t>
            </w:r>
          </w:p>
        </w:tc>
        <w:tc>
          <w:tcPr>
            <w:tcW w:w="2070" w:type="dxa"/>
            <w:vAlign w:val="center"/>
          </w:tcPr>
          <w:p w14:paraId="22D44E49" w14:textId="77777777" w:rsidR="00DA3E8A" w:rsidRPr="002714B2" w:rsidRDefault="00DA3E8A" w:rsidP="005778BA">
            <w:pPr>
              <w:pStyle w:val="BodyText"/>
              <w:spacing w:after="0" w:line="240" w:lineRule="auto"/>
              <w:jc w:val="center"/>
              <w:rPr>
                <w:rFonts w:ascii="Arial" w:hAnsi="Arial" w:cs="Arial"/>
                <w:sz w:val="18"/>
                <w:szCs w:val="18"/>
              </w:rPr>
            </w:pPr>
            <w:r w:rsidRPr="002714B2">
              <w:rPr>
                <w:rFonts w:ascii="Arial" w:hAnsi="Arial" w:cs="Arial"/>
                <w:sz w:val="18"/>
                <w:szCs w:val="18"/>
              </w:rPr>
              <w:t>54,117</w:t>
            </w:r>
          </w:p>
        </w:tc>
        <w:tc>
          <w:tcPr>
            <w:tcW w:w="3950" w:type="dxa"/>
            <w:vAlign w:val="center"/>
          </w:tcPr>
          <w:p w14:paraId="45CBFE31" w14:textId="77777777" w:rsidR="00DA3E8A" w:rsidRPr="002714B2" w:rsidRDefault="00DA3E8A" w:rsidP="005778BA">
            <w:pPr>
              <w:pStyle w:val="BodyText"/>
              <w:spacing w:after="0" w:line="240" w:lineRule="auto"/>
              <w:rPr>
                <w:rFonts w:ascii="Arial" w:hAnsi="Arial" w:cs="Arial"/>
                <w:sz w:val="18"/>
                <w:szCs w:val="18"/>
              </w:rPr>
            </w:pPr>
            <w:r w:rsidRPr="002714B2">
              <w:rPr>
                <w:rFonts w:ascii="Arial" w:hAnsi="Arial" w:cs="Arial"/>
                <w:sz w:val="18"/>
                <w:szCs w:val="18"/>
              </w:rPr>
              <w:t>Personal communication, Pat Boldt (November 2022)</w:t>
            </w:r>
          </w:p>
        </w:tc>
      </w:tr>
      <w:tr w:rsidR="00915FD3" w:rsidRPr="00CF4511" w14:paraId="5A8F5602" w14:textId="77777777" w:rsidTr="00DA3E8A">
        <w:trPr>
          <w:trHeight w:val="504"/>
        </w:trPr>
        <w:tc>
          <w:tcPr>
            <w:tcW w:w="1260" w:type="dxa"/>
            <w:vAlign w:val="center"/>
          </w:tcPr>
          <w:p w14:paraId="1B59ECD6" w14:textId="3DF2553C" w:rsidR="00915FD3" w:rsidRPr="002714B2" w:rsidRDefault="00915FD3" w:rsidP="005778BA">
            <w:pPr>
              <w:pStyle w:val="BodyText"/>
              <w:spacing w:after="0" w:line="240" w:lineRule="auto"/>
              <w:jc w:val="center"/>
              <w:rPr>
                <w:rFonts w:ascii="Arial" w:hAnsi="Arial" w:cs="Arial"/>
                <w:sz w:val="18"/>
                <w:szCs w:val="18"/>
              </w:rPr>
            </w:pPr>
            <w:r w:rsidRPr="002714B2">
              <w:rPr>
                <w:rFonts w:ascii="Arial" w:hAnsi="Arial" w:cs="Arial"/>
                <w:sz w:val="18"/>
                <w:szCs w:val="18"/>
              </w:rPr>
              <w:t>2022</w:t>
            </w:r>
          </w:p>
        </w:tc>
        <w:tc>
          <w:tcPr>
            <w:tcW w:w="1710" w:type="dxa"/>
            <w:vAlign w:val="center"/>
          </w:tcPr>
          <w:p w14:paraId="63DF948C" w14:textId="77777777" w:rsidR="00915FD3" w:rsidRPr="002714B2" w:rsidRDefault="00915FD3" w:rsidP="005778BA">
            <w:pPr>
              <w:pStyle w:val="BodyText"/>
              <w:spacing w:after="0" w:line="240" w:lineRule="auto"/>
              <w:jc w:val="center"/>
              <w:rPr>
                <w:rFonts w:ascii="Arial" w:hAnsi="Arial" w:cs="Arial"/>
                <w:sz w:val="18"/>
                <w:szCs w:val="18"/>
              </w:rPr>
            </w:pPr>
          </w:p>
        </w:tc>
        <w:tc>
          <w:tcPr>
            <w:tcW w:w="2070" w:type="dxa"/>
            <w:vAlign w:val="center"/>
          </w:tcPr>
          <w:p w14:paraId="1352B1A7" w14:textId="77777777" w:rsidR="00915FD3" w:rsidRPr="002714B2" w:rsidRDefault="00915FD3" w:rsidP="005778BA">
            <w:pPr>
              <w:pStyle w:val="BodyText"/>
              <w:spacing w:after="0" w:line="240" w:lineRule="auto"/>
              <w:jc w:val="center"/>
              <w:rPr>
                <w:rFonts w:ascii="Arial" w:hAnsi="Arial" w:cs="Arial"/>
                <w:sz w:val="18"/>
                <w:szCs w:val="18"/>
              </w:rPr>
            </w:pPr>
          </w:p>
        </w:tc>
        <w:tc>
          <w:tcPr>
            <w:tcW w:w="3950" w:type="dxa"/>
            <w:vAlign w:val="center"/>
          </w:tcPr>
          <w:p w14:paraId="667611A2" w14:textId="77777777" w:rsidR="00915FD3" w:rsidRPr="002714B2" w:rsidRDefault="00915FD3" w:rsidP="005778BA">
            <w:pPr>
              <w:pStyle w:val="BodyText"/>
              <w:spacing w:after="0" w:line="240" w:lineRule="auto"/>
              <w:rPr>
                <w:rFonts w:ascii="Arial" w:hAnsi="Arial" w:cs="Arial"/>
                <w:sz w:val="18"/>
                <w:szCs w:val="18"/>
              </w:rPr>
            </w:pPr>
          </w:p>
        </w:tc>
      </w:tr>
      <w:tr w:rsidR="00915FD3" w:rsidRPr="00CF4511" w14:paraId="03FE86A0" w14:textId="77777777" w:rsidTr="00DA3E8A">
        <w:trPr>
          <w:trHeight w:val="504"/>
        </w:trPr>
        <w:tc>
          <w:tcPr>
            <w:tcW w:w="1260" w:type="dxa"/>
            <w:vAlign w:val="center"/>
          </w:tcPr>
          <w:p w14:paraId="4E0D0D87" w14:textId="542973AB" w:rsidR="00915FD3" w:rsidRPr="002714B2" w:rsidRDefault="00915FD3" w:rsidP="005778BA">
            <w:pPr>
              <w:pStyle w:val="BodyText"/>
              <w:spacing w:after="0" w:line="240" w:lineRule="auto"/>
              <w:jc w:val="center"/>
              <w:rPr>
                <w:rFonts w:ascii="Arial" w:hAnsi="Arial" w:cs="Arial"/>
                <w:sz w:val="18"/>
                <w:szCs w:val="18"/>
              </w:rPr>
            </w:pPr>
            <w:r w:rsidRPr="002714B2">
              <w:rPr>
                <w:rFonts w:ascii="Arial" w:hAnsi="Arial" w:cs="Arial"/>
                <w:sz w:val="18"/>
                <w:szCs w:val="18"/>
              </w:rPr>
              <w:t>2023</w:t>
            </w:r>
          </w:p>
        </w:tc>
        <w:tc>
          <w:tcPr>
            <w:tcW w:w="1710" w:type="dxa"/>
            <w:vAlign w:val="center"/>
          </w:tcPr>
          <w:p w14:paraId="65CCE1A9" w14:textId="77777777" w:rsidR="00915FD3" w:rsidRPr="002714B2" w:rsidRDefault="00915FD3" w:rsidP="005778BA">
            <w:pPr>
              <w:pStyle w:val="BodyText"/>
              <w:spacing w:after="0" w:line="240" w:lineRule="auto"/>
              <w:jc w:val="center"/>
              <w:rPr>
                <w:rFonts w:ascii="Arial" w:hAnsi="Arial" w:cs="Arial"/>
                <w:sz w:val="18"/>
                <w:szCs w:val="18"/>
              </w:rPr>
            </w:pPr>
          </w:p>
        </w:tc>
        <w:tc>
          <w:tcPr>
            <w:tcW w:w="2070" w:type="dxa"/>
            <w:vAlign w:val="center"/>
          </w:tcPr>
          <w:p w14:paraId="7FFA06A1" w14:textId="77777777" w:rsidR="00915FD3" w:rsidRPr="002714B2" w:rsidRDefault="00915FD3" w:rsidP="005778BA">
            <w:pPr>
              <w:pStyle w:val="BodyText"/>
              <w:spacing w:after="0" w:line="240" w:lineRule="auto"/>
              <w:jc w:val="center"/>
              <w:rPr>
                <w:rFonts w:ascii="Arial" w:hAnsi="Arial" w:cs="Arial"/>
                <w:sz w:val="18"/>
                <w:szCs w:val="18"/>
              </w:rPr>
            </w:pPr>
          </w:p>
        </w:tc>
        <w:tc>
          <w:tcPr>
            <w:tcW w:w="3950" w:type="dxa"/>
            <w:vAlign w:val="center"/>
          </w:tcPr>
          <w:p w14:paraId="35DD4075" w14:textId="77777777" w:rsidR="00915FD3" w:rsidRPr="002714B2" w:rsidRDefault="00915FD3" w:rsidP="005778BA">
            <w:pPr>
              <w:pStyle w:val="BodyText"/>
              <w:spacing w:after="0" w:line="240" w:lineRule="auto"/>
              <w:rPr>
                <w:rFonts w:ascii="Arial" w:hAnsi="Arial" w:cs="Arial"/>
                <w:sz w:val="18"/>
                <w:szCs w:val="18"/>
              </w:rPr>
            </w:pPr>
          </w:p>
        </w:tc>
      </w:tr>
      <w:tr w:rsidR="00915FD3" w:rsidRPr="00CF4511" w14:paraId="0594D42A" w14:textId="77777777" w:rsidTr="00DA3E8A">
        <w:trPr>
          <w:trHeight w:val="504"/>
        </w:trPr>
        <w:tc>
          <w:tcPr>
            <w:tcW w:w="1260" w:type="dxa"/>
            <w:vAlign w:val="center"/>
          </w:tcPr>
          <w:p w14:paraId="0F7DBCB1" w14:textId="6A3432DB" w:rsidR="00915FD3" w:rsidRPr="002714B2" w:rsidRDefault="00915FD3" w:rsidP="005778BA">
            <w:pPr>
              <w:pStyle w:val="BodyText"/>
              <w:spacing w:after="0" w:line="240" w:lineRule="auto"/>
              <w:jc w:val="center"/>
              <w:rPr>
                <w:rFonts w:ascii="Arial" w:hAnsi="Arial" w:cs="Arial"/>
                <w:sz w:val="18"/>
                <w:szCs w:val="18"/>
              </w:rPr>
            </w:pPr>
            <w:r w:rsidRPr="002714B2">
              <w:rPr>
                <w:rFonts w:ascii="Arial" w:hAnsi="Arial" w:cs="Arial"/>
                <w:sz w:val="18"/>
                <w:szCs w:val="18"/>
              </w:rPr>
              <w:t>2024</w:t>
            </w:r>
          </w:p>
        </w:tc>
        <w:tc>
          <w:tcPr>
            <w:tcW w:w="1710" w:type="dxa"/>
            <w:vAlign w:val="center"/>
          </w:tcPr>
          <w:p w14:paraId="65BC8FD1" w14:textId="77777777" w:rsidR="00915FD3" w:rsidRPr="002714B2" w:rsidRDefault="00915FD3" w:rsidP="005778BA">
            <w:pPr>
              <w:pStyle w:val="BodyText"/>
              <w:spacing w:after="0" w:line="240" w:lineRule="auto"/>
              <w:jc w:val="center"/>
              <w:rPr>
                <w:rFonts w:ascii="Arial" w:hAnsi="Arial" w:cs="Arial"/>
                <w:sz w:val="18"/>
                <w:szCs w:val="18"/>
              </w:rPr>
            </w:pPr>
          </w:p>
        </w:tc>
        <w:tc>
          <w:tcPr>
            <w:tcW w:w="2070" w:type="dxa"/>
            <w:vAlign w:val="center"/>
          </w:tcPr>
          <w:p w14:paraId="0DE63202" w14:textId="77777777" w:rsidR="00915FD3" w:rsidRPr="002714B2" w:rsidRDefault="00915FD3" w:rsidP="005778BA">
            <w:pPr>
              <w:pStyle w:val="BodyText"/>
              <w:spacing w:after="0" w:line="240" w:lineRule="auto"/>
              <w:jc w:val="center"/>
              <w:rPr>
                <w:rFonts w:ascii="Arial" w:hAnsi="Arial" w:cs="Arial"/>
                <w:sz w:val="18"/>
                <w:szCs w:val="18"/>
              </w:rPr>
            </w:pPr>
          </w:p>
        </w:tc>
        <w:tc>
          <w:tcPr>
            <w:tcW w:w="3950" w:type="dxa"/>
            <w:vAlign w:val="center"/>
          </w:tcPr>
          <w:p w14:paraId="53191DB0" w14:textId="77777777" w:rsidR="00915FD3" w:rsidRPr="002714B2" w:rsidRDefault="00915FD3" w:rsidP="005778BA">
            <w:pPr>
              <w:pStyle w:val="BodyText"/>
              <w:spacing w:after="0" w:line="240" w:lineRule="auto"/>
              <w:rPr>
                <w:rFonts w:ascii="Arial" w:hAnsi="Arial" w:cs="Arial"/>
                <w:sz w:val="18"/>
                <w:szCs w:val="18"/>
              </w:rPr>
            </w:pPr>
          </w:p>
        </w:tc>
      </w:tr>
    </w:tbl>
    <w:p w14:paraId="10C43854" w14:textId="1739957F" w:rsidR="00FE614C" w:rsidRPr="00FE614C" w:rsidRDefault="00FE614C" w:rsidP="00FE614C">
      <w:pPr>
        <w:pStyle w:val="BodyText"/>
        <w:rPr>
          <w:rFonts w:ascii="Arial" w:hAnsi="Arial" w:cs="Arial"/>
          <w:sz w:val="16"/>
          <w:szCs w:val="16"/>
        </w:rPr>
      </w:pPr>
      <w:r w:rsidRPr="00FE614C">
        <w:rPr>
          <w:rFonts w:ascii="Arial" w:hAnsi="Arial" w:cs="Arial"/>
          <w:sz w:val="16"/>
          <w:szCs w:val="16"/>
        </w:rPr>
        <w:t>NA = not available</w:t>
      </w:r>
    </w:p>
    <w:p w14:paraId="221A32FA" w14:textId="67A71B03" w:rsidR="009E2BAA" w:rsidRPr="00DD0997" w:rsidRDefault="009E2BAA" w:rsidP="009B59A3">
      <w:pPr>
        <w:pStyle w:val="BodyText"/>
        <w:spacing w:before="240"/>
      </w:pPr>
      <w:r w:rsidRPr="00DD0997">
        <w:t xml:space="preserve">For wet weather conditions, </w:t>
      </w:r>
      <w:proofErr w:type="gramStart"/>
      <w:r w:rsidRPr="00DD0997">
        <w:t>the Section</w:t>
      </w:r>
      <w:proofErr w:type="gramEnd"/>
      <w:r w:rsidRPr="00DD0997">
        <w:t xml:space="preserve"> II.B.1 of the </w:t>
      </w:r>
      <w:r w:rsidR="004504F4">
        <w:t xml:space="preserve">CAFO </w:t>
      </w:r>
      <w:r w:rsidRPr="00DD0997">
        <w:t xml:space="preserve">General Order establishes Technology-based Effluent Limitations that limit the discharge of stormwater from dairy facilities. In particular, </w:t>
      </w:r>
      <w:r w:rsidR="00FF3BDD">
        <w:t xml:space="preserve">CAFO </w:t>
      </w:r>
      <w:r w:rsidRPr="00DD0997">
        <w:t xml:space="preserve">General Order requires that discharges of waste in stormwater runoff from production areas </w:t>
      </w:r>
      <w:r>
        <w:t xml:space="preserve">(as defined in Attachment G of the Order) </w:t>
      </w:r>
      <w:r w:rsidRPr="00DD0997">
        <w:t>and in process wastewater are authorized only under the following conditions (II.B.1.b): Containment structures have been designed, constructed, operated and maintained to contain all manure, litter, process wastewater, and the runoff and the direct precipitation from all rainfall events up to and including a 25-year, 24-hour rainfall event from the production area.</w:t>
      </w:r>
    </w:p>
    <w:p w14:paraId="43AC45EF" w14:textId="77777777" w:rsidR="002714B2" w:rsidRDefault="002714B2">
      <w:pPr>
        <w:spacing w:line="240" w:lineRule="auto"/>
        <w:rPr>
          <w:rFonts w:ascii="Arial" w:hAnsi="Arial" w:cs="Arial"/>
          <w:b/>
          <w:bCs/>
          <w:i/>
          <w:sz w:val="26"/>
          <w:szCs w:val="26"/>
          <w:highlight w:val="lightGray"/>
        </w:rPr>
      </w:pPr>
      <w:r>
        <w:rPr>
          <w:highlight w:val="lightGray"/>
        </w:rPr>
        <w:br w:type="page"/>
      </w:r>
    </w:p>
    <w:p w14:paraId="1DC221B4" w14:textId="458CBFF0" w:rsidR="00F00080" w:rsidRDefault="00F00080" w:rsidP="002714B2">
      <w:pPr>
        <w:pStyle w:val="Heading3"/>
        <w:numPr>
          <w:ilvl w:val="0"/>
          <w:numId w:val="0"/>
        </w:numPr>
      </w:pPr>
      <w:bookmarkStart w:id="170" w:name="_Toc217410181"/>
      <w:r>
        <w:lastRenderedPageBreak/>
        <w:t>Non-CAFOs</w:t>
      </w:r>
      <w:bookmarkEnd w:id="170"/>
    </w:p>
    <w:p w14:paraId="51BBB5DA" w14:textId="6A6C71FD" w:rsidR="009E2BAA" w:rsidRDefault="009E2BAA" w:rsidP="009E2BAA">
      <w:pPr>
        <w:pStyle w:val="BodyText"/>
      </w:pPr>
      <w:r>
        <w:t xml:space="preserve">The BASMP provided an analysis of non-CAFO agricultural land use in the MSAR watershed, </w:t>
      </w:r>
      <w:proofErr w:type="gramStart"/>
      <w:r>
        <w:t>in particular in</w:t>
      </w:r>
      <w:proofErr w:type="gramEnd"/>
      <w:r>
        <w:t xml:space="preserve"> relation to </w:t>
      </w:r>
      <w:r w:rsidR="004504F4">
        <w:t xml:space="preserve">the </w:t>
      </w:r>
      <w:r>
        <w:t>potential discharge of DWF to receiving waters (</w:t>
      </w:r>
      <w:bookmarkStart w:id="171" w:name="_Hlk120775108"/>
      <w:r>
        <w:t>CBW Agricultural Pool 2014</w:t>
      </w:r>
      <w:bookmarkEnd w:id="171"/>
      <w:r>
        <w:t xml:space="preserve">). </w:t>
      </w:r>
      <w:commentRangeStart w:id="172"/>
      <w:r>
        <w:t xml:space="preserve">Based on 2012 land use data, the analysis found that </w:t>
      </w:r>
      <w:r w:rsidR="004504F4">
        <w:t xml:space="preserve">the </w:t>
      </w:r>
      <w:r>
        <w:t>total effective acreage</w:t>
      </w:r>
      <w:r>
        <w:rPr>
          <w:rStyle w:val="FootnoteReference"/>
        </w:rPr>
        <w:footnoteReference w:id="26"/>
      </w:r>
      <w:r>
        <w:t xml:space="preserve"> of non-CAFO agricultural land use in the MSAR watershed was approximately 9,200 acres or just 1.9 percent of the total MSAR watershed (746 </w:t>
      </w:r>
      <w:r w:rsidR="00786CDE">
        <w:t>square miles</w:t>
      </w:r>
      <w:r>
        <w:t>)</w:t>
      </w:r>
      <w:commentRangeEnd w:id="172"/>
      <w:r w:rsidR="00915FD3">
        <w:rPr>
          <w:rStyle w:val="CommentReference"/>
        </w:rPr>
        <w:commentReference w:id="172"/>
      </w:r>
      <w:r>
        <w:t xml:space="preserve">. Of the remaining effective acreage of non-CAFO agricultural land use in the MSAR watershed, about half is located within the Inland Empire Utilities Agency (IEUA) management boundary and half is located outside. Areas within the IEUA boundary are more likely to continue to transition to urban land uses in the future because much of this acreage is owned by developers and only being leased for agricultural use. </w:t>
      </w:r>
    </w:p>
    <w:p w14:paraId="072406C8" w14:textId="207EABCF" w:rsidR="009E2BAA" w:rsidRDefault="009E2BAA" w:rsidP="009E2BAA">
      <w:pPr>
        <w:pStyle w:val="BodyText"/>
      </w:pPr>
      <w:r>
        <w:t xml:space="preserve">Non-CAFO agricultural operators in coordination with dairy industry representatives (MPC and CBW) completed the relevant required Phase 1 TMDL implementation tasks in a timely manner (Task 5.1 – </w:t>
      </w:r>
      <w:proofErr w:type="spellStart"/>
      <w:r>
        <w:t>AgSEP</w:t>
      </w:r>
      <w:proofErr w:type="spellEnd"/>
      <w:r>
        <w:t xml:space="preserve">; Task 5.2 - BASMP). As noted above, </w:t>
      </w:r>
      <w:r w:rsidR="004504F4">
        <w:t xml:space="preserve">the </w:t>
      </w:r>
      <w:r>
        <w:t>BASMP was prepared on behalf of all a</w:t>
      </w:r>
      <w:r w:rsidRPr="00953967">
        <w:t xml:space="preserve">gricultural </w:t>
      </w:r>
      <w:r>
        <w:t xml:space="preserve">operators in the MSAR watershed except “citrus growers and nurseries in the Arlington Greenbelt Area, with the exception of Altman Plants” (CBW Agricultural Pool 2014). </w:t>
      </w:r>
      <w:r w:rsidR="0095640A">
        <w:t>In 2017 the</w:t>
      </w:r>
      <w:r w:rsidR="0095640A" w:rsidRPr="00EA3C00">
        <w:t xml:space="preserve"> </w:t>
      </w:r>
      <w:r w:rsidR="0095640A">
        <w:t xml:space="preserve">MSAR </w:t>
      </w:r>
      <w:r w:rsidR="0095640A" w:rsidRPr="00EA3C00">
        <w:t xml:space="preserve">Task Force conducted a preliminary bacteria and flow source investigation in the Arlington </w:t>
      </w:r>
      <w:r w:rsidR="0095640A">
        <w:t xml:space="preserve">Greenbelt </w:t>
      </w:r>
      <w:r w:rsidR="0095640A" w:rsidRPr="00EA3C00">
        <w:t xml:space="preserve">Area </w:t>
      </w:r>
      <w:r w:rsidR="0095640A">
        <w:t xml:space="preserve">of Riverside County. </w:t>
      </w:r>
      <w:r w:rsidR="0095640A" w:rsidRPr="006876FF">
        <w:t xml:space="preserve">This study </w:t>
      </w:r>
      <w:r w:rsidR="0095640A">
        <w:t>found</w:t>
      </w:r>
      <w:r w:rsidR="0095640A" w:rsidRPr="006876FF">
        <w:t xml:space="preserve"> that </w:t>
      </w:r>
      <w:r w:rsidR="0095640A">
        <w:t xml:space="preserve">furrow </w:t>
      </w:r>
      <w:r w:rsidR="0095640A" w:rsidRPr="006876FF">
        <w:t xml:space="preserve">irrigation </w:t>
      </w:r>
      <w:r w:rsidR="0095640A">
        <w:t xml:space="preserve">practices </w:t>
      </w:r>
      <w:r w:rsidR="0095640A" w:rsidRPr="006876FF">
        <w:t xml:space="preserve">from agricultural land uses </w:t>
      </w:r>
      <w:r w:rsidR="0095640A">
        <w:t>in the Arlington Greenbelt area contributed</w:t>
      </w:r>
      <w:r w:rsidR="0095640A" w:rsidRPr="006876FF">
        <w:t xml:space="preserve"> </w:t>
      </w:r>
      <w:r w:rsidR="0095640A">
        <w:t xml:space="preserve">a significant part of the </w:t>
      </w:r>
      <w:r w:rsidR="0095640A" w:rsidRPr="006876FF">
        <w:t xml:space="preserve">flow and bacteria to the MS4 </w:t>
      </w:r>
      <w:r w:rsidR="0095640A">
        <w:t>in the drainage system that outfalls to Reach 3 of the SAR at T1-ANZA (SAWPA 2018; also see Appendix B.6).</w:t>
      </w:r>
    </w:p>
    <w:p w14:paraId="4C24BD70" w14:textId="77777777" w:rsidR="00E02F7C" w:rsidRPr="007D6C09" w:rsidRDefault="00E02F7C" w:rsidP="00E02F7C">
      <w:pPr>
        <w:pStyle w:val="Heading3"/>
      </w:pPr>
      <w:bookmarkStart w:id="173" w:name="_Toc217410182"/>
      <w:r>
        <w:t>Unsheltered Populations</w:t>
      </w:r>
      <w:bookmarkEnd w:id="173"/>
    </w:p>
    <w:p w14:paraId="05726606" w14:textId="77777777" w:rsidR="0095436D" w:rsidRDefault="00E02F7C" w:rsidP="00AA315A">
      <w:pPr>
        <w:pStyle w:val="CDMLetterBULLET"/>
        <w:numPr>
          <w:ilvl w:val="0"/>
          <w:numId w:val="0"/>
        </w:numPr>
        <w:spacing w:after="120" w:line="264" w:lineRule="auto"/>
        <w:rPr>
          <w:rFonts w:ascii="Times New Roman" w:hAnsi="Times New Roman"/>
          <w:sz w:val="24"/>
          <w:szCs w:val="24"/>
          <w:shd w:val="clear" w:color="auto" w:fill="FFFFFF"/>
        </w:rPr>
        <w:sectPr w:rsidR="0095436D" w:rsidSect="00DF3266">
          <w:footerReference w:type="default" r:id="rId68"/>
          <w:pgSz w:w="12240" w:h="15840" w:code="1"/>
          <w:pgMar w:top="1440" w:right="1440" w:bottom="1440" w:left="1800" w:header="720" w:footer="720" w:gutter="0"/>
          <w:pgNumType w:start="1" w:chapStyle="1"/>
          <w:cols w:space="720"/>
          <w:docGrid w:linePitch="360"/>
        </w:sectPr>
      </w:pPr>
      <w:r w:rsidRPr="009B59A3">
        <w:rPr>
          <w:rFonts w:ascii="Times New Roman" w:eastAsiaTheme="minorHAnsi" w:hAnsi="Times New Roman"/>
          <w:sz w:val="24"/>
          <w:szCs w:val="24"/>
        </w:rPr>
        <w:t>The MSAR MS4 Permittees continue to actively engage with multiple internal and external agencies regarding the needs of the unsheltered population and related water quality issues from their habitation in the Santa Ana River</w:t>
      </w:r>
      <w:r w:rsidR="00AA315A">
        <w:rPr>
          <w:rFonts w:ascii="Times New Roman" w:eastAsiaTheme="minorHAnsi" w:hAnsi="Times New Roman"/>
          <w:sz w:val="24"/>
          <w:szCs w:val="24"/>
        </w:rPr>
        <w:t>. E</w:t>
      </w:r>
      <w:r w:rsidRPr="009B59A3">
        <w:rPr>
          <w:rFonts w:ascii="Times New Roman" w:hAnsi="Times New Roman"/>
          <w:sz w:val="24"/>
          <w:szCs w:val="24"/>
          <w:shd w:val="clear" w:color="auto" w:fill="FFFFFF"/>
        </w:rPr>
        <w:t xml:space="preserve">fforts have led to housing former unsheltered individuals, engaged unsheltered individuals with housing resources, providing a path to public benefits for unsheltered individuals, providing mental health resources, and legal services. Additionally, an extensive amount of trash has been removed from the Santa Ana River.  Some of these actions have included the removal of potentially dangerous shelters constructed by unsheltered populations within the </w:t>
      </w:r>
      <w:proofErr w:type="gramStart"/>
      <w:r w:rsidRPr="009B59A3">
        <w:rPr>
          <w:rFonts w:ascii="Times New Roman" w:hAnsi="Times New Roman"/>
          <w:sz w:val="24"/>
          <w:szCs w:val="24"/>
          <w:shd w:val="clear" w:color="auto" w:fill="FFFFFF"/>
        </w:rPr>
        <w:t>River</w:t>
      </w:r>
      <w:proofErr w:type="gramEnd"/>
      <w:r w:rsidRPr="009B59A3">
        <w:rPr>
          <w:rFonts w:ascii="Times New Roman" w:hAnsi="Times New Roman"/>
          <w:sz w:val="24"/>
          <w:szCs w:val="24"/>
          <w:shd w:val="clear" w:color="auto" w:fill="FFFFFF"/>
        </w:rPr>
        <w:t xml:space="preserve"> </w:t>
      </w:r>
      <w:proofErr w:type="gramStart"/>
      <w:r w:rsidRPr="009B59A3">
        <w:rPr>
          <w:rFonts w:ascii="Times New Roman" w:hAnsi="Times New Roman"/>
          <w:sz w:val="24"/>
          <w:szCs w:val="24"/>
          <w:shd w:val="clear" w:color="auto" w:fill="FFFFFF"/>
        </w:rPr>
        <w:t>bottom</w:t>
      </w:r>
      <w:proofErr w:type="gramEnd"/>
      <w:r w:rsidRPr="009B59A3">
        <w:rPr>
          <w:rFonts w:ascii="Times New Roman" w:hAnsi="Times New Roman"/>
          <w:sz w:val="24"/>
          <w:szCs w:val="24"/>
          <w:shd w:val="clear" w:color="auto" w:fill="FFFFFF"/>
        </w:rPr>
        <w:t>.</w:t>
      </w:r>
    </w:p>
    <w:p w14:paraId="12470FC3" w14:textId="7BB63B23" w:rsidR="00E17410" w:rsidRDefault="007040B8" w:rsidP="00085DD9">
      <w:pPr>
        <w:pStyle w:val="Heading1"/>
      </w:pPr>
      <w:bookmarkStart w:id="174" w:name="_Toc205886762"/>
      <w:bookmarkStart w:id="175" w:name="_Toc205886917"/>
      <w:bookmarkStart w:id="176" w:name="_Toc217410183"/>
      <w:bookmarkEnd w:id="152"/>
      <w:bookmarkEnd w:id="165"/>
      <w:bookmarkEnd w:id="174"/>
      <w:bookmarkEnd w:id="175"/>
      <w:r>
        <w:lastRenderedPageBreak/>
        <w:t>TMDL Implementation - Next Steps</w:t>
      </w:r>
      <w:bookmarkEnd w:id="176"/>
    </w:p>
    <w:p w14:paraId="3354F1AE" w14:textId="4055E2E4" w:rsidR="00FB4090" w:rsidRPr="00FB4090" w:rsidRDefault="002F5340" w:rsidP="00FB4090">
      <w:pPr>
        <w:pStyle w:val="BodyText"/>
      </w:pPr>
      <w:bookmarkStart w:id="177" w:name="_Hlk62848536"/>
      <w:r>
        <w:t>This report highlights findings from an extensive series of Tier 1 studies, Tier 2 source investigation</w:t>
      </w:r>
      <w:r w:rsidR="000617BE">
        <w:t>s</w:t>
      </w:r>
      <w:r>
        <w:t>, special studies</w:t>
      </w:r>
      <w:r w:rsidR="000617BE">
        <w:t xml:space="preserve"> </w:t>
      </w:r>
      <w:r>
        <w:t xml:space="preserve">and targeted monitoring to evaluate the effectiveness of regional treatment projects. As demonstrated by studies conducted in the Chino Creek and Mill-Cucamonga Creek subwatersheds, substantial progress has been made towards meeting </w:t>
      </w:r>
      <w:r w:rsidR="000617BE">
        <w:t xml:space="preserve">the </w:t>
      </w:r>
      <w:r>
        <w:t>TMDL</w:t>
      </w:r>
      <w:r w:rsidR="000617BE">
        <w:t>s</w:t>
      </w:r>
      <w:r>
        <w:t xml:space="preserve"> WLA</w:t>
      </w:r>
      <w:r w:rsidR="000617BE">
        <w:t>s</w:t>
      </w:r>
      <w:r>
        <w:t xml:space="preserve"> and LA</w:t>
      </w:r>
      <w:r w:rsidR="000617BE">
        <w:t xml:space="preserve">s applicable to dry </w:t>
      </w:r>
      <w:r w:rsidR="00AA315A">
        <w:t xml:space="preserve">season </w:t>
      </w:r>
      <w:r w:rsidR="000617BE">
        <w:t>conditions</w:t>
      </w:r>
      <w:r>
        <w:t>. Given the</w:t>
      </w:r>
      <w:r w:rsidR="000617BE">
        <w:t xml:space="preserve"> </w:t>
      </w:r>
      <w:r>
        <w:t>findings</w:t>
      </w:r>
      <w:r w:rsidR="000617BE">
        <w:t xml:space="preserve"> from these various efforts and </w:t>
      </w:r>
      <w:r w:rsidR="00E40E10">
        <w:t xml:space="preserve">potential implementation requirements in the anticipated revision of the MSAR </w:t>
      </w:r>
      <w:r w:rsidR="000617BE">
        <w:t>TMDL</w:t>
      </w:r>
      <w:r w:rsidR="008B4A53">
        <w:t xml:space="preserve"> (see Phase 2 program of implementation in draft TMDL Technical Report)</w:t>
      </w:r>
      <w:r w:rsidR="000617BE">
        <w:t>, the following sections identify next steps for TMDL implementation.</w:t>
      </w:r>
    </w:p>
    <w:p w14:paraId="20D3FD63" w14:textId="204F3B98" w:rsidR="00E610B8" w:rsidRDefault="00FF18AF" w:rsidP="00AA315A">
      <w:pPr>
        <w:pStyle w:val="Heading2"/>
        <w:ind w:left="792"/>
      </w:pPr>
      <w:bookmarkStart w:id="178" w:name="_Toc217410184"/>
      <w:bookmarkEnd w:id="177"/>
      <w:r>
        <w:t>Dry Weather TMDL Implementation</w:t>
      </w:r>
      <w:bookmarkEnd w:id="178"/>
    </w:p>
    <w:p w14:paraId="33804F30" w14:textId="762FF286" w:rsidR="00FC106B" w:rsidRDefault="00FC106B" w:rsidP="00FC106B">
      <w:pPr>
        <w:pStyle w:val="BodyText"/>
      </w:pPr>
      <w:r>
        <w:t xml:space="preserve">Recommendations for </w:t>
      </w:r>
      <w:r w:rsidR="002F5340">
        <w:t xml:space="preserve">additional studies to be implemented </w:t>
      </w:r>
      <w:r w:rsidR="00FF18AF">
        <w:t xml:space="preserve">during dry weather </w:t>
      </w:r>
      <w:r w:rsidR="002F5340">
        <w:t>to support MSAR TMDL</w:t>
      </w:r>
      <w:r w:rsidR="007E5EA5">
        <w:t>s</w:t>
      </w:r>
      <w:r w:rsidR="002F5340">
        <w:t xml:space="preserve"> implementation include</w:t>
      </w:r>
      <w:r>
        <w:t>:</w:t>
      </w:r>
    </w:p>
    <w:p w14:paraId="4F0103F6" w14:textId="3508C788" w:rsidR="00837CD0" w:rsidRDefault="007A1EF2" w:rsidP="00E25105">
      <w:pPr>
        <w:pStyle w:val="ListBullet"/>
      </w:pPr>
      <w:r w:rsidRPr="006453BC">
        <w:rPr>
          <w:i/>
          <w:iCs/>
        </w:rPr>
        <w:t xml:space="preserve">Updated </w:t>
      </w:r>
      <w:r w:rsidR="00FC106B" w:rsidRPr="006453BC">
        <w:rPr>
          <w:i/>
          <w:iCs/>
        </w:rPr>
        <w:t>Comprehensive Tier 1 Source Evaluation</w:t>
      </w:r>
      <w:r w:rsidR="00FC106B">
        <w:t xml:space="preserve"> – Tier 1 source evaluations </w:t>
      </w:r>
      <w:r w:rsidR="000617BE">
        <w:t xml:space="preserve">that include a </w:t>
      </w:r>
      <w:r w:rsidR="00FC106B">
        <w:t>comprehensive synoptic sampling and analysis of</w:t>
      </w:r>
      <w:r>
        <w:t xml:space="preserve"> DWF and</w:t>
      </w:r>
      <w:r w:rsidR="00FC106B">
        <w:t xml:space="preserve"> </w:t>
      </w:r>
      <w:r w:rsidR="00FC106B" w:rsidRPr="00695C19">
        <w:rPr>
          <w:i/>
          <w:iCs/>
        </w:rPr>
        <w:t>E. coli</w:t>
      </w:r>
      <w:r w:rsidR="00FC106B">
        <w:t xml:space="preserve"> at MS4 outfalls </w:t>
      </w:r>
      <w:r>
        <w:t xml:space="preserve">to impaired waters </w:t>
      </w:r>
      <w:r w:rsidR="00FC106B">
        <w:t xml:space="preserve">have been conducted by the </w:t>
      </w:r>
      <w:r>
        <w:t xml:space="preserve">MSAR </w:t>
      </w:r>
      <w:r w:rsidR="00FC106B">
        <w:t xml:space="preserve">Task Force about </w:t>
      </w:r>
      <w:r w:rsidR="00837CD0">
        <w:t xml:space="preserve">once </w:t>
      </w:r>
      <w:r w:rsidR="00FC106B">
        <w:t>every 5-7 years (2007, 2012</w:t>
      </w:r>
      <w:r w:rsidR="00CB1B6A">
        <w:t>,</w:t>
      </w:r>
      <w:r>
        <w:t xml:space="preserve"> </w:t>
      </w:r>
      <w:r w:rsidR="00FC106B">
        <w:t>2019</w:t>
      </w:r>
      <w:r w:rsidR="00CB1B6A">
        <w:t>, and 2025</w:t>
      </w:r>
      <w:r w:rsidR="00FC106B">
        <w:t xml:space="preserve">). </w:t>
      </w:r>
      <w:r>
        <w:t xml:space="preserve">In addition, since 2017 SBCFCD has collected data </w:t>
      </w:r>
      <w:r w:rsidR="00FC106B">
        <w:t xml:space="preserve">annually </w:t>
      </w:r>
      <w:r w:rsidR="00CB1B6A">
        <w:t xml:space="preserve">from multiple sites within </w:t>
      </w:r>
      <w:r w:rsidR="00FC106B">
        <w:t>Chino Creek and Cucamonga Creek</w:t>
      </w:r>
      <w:r>
        <w:t xml:space="preserve">. </w:t>
      </w:r>
      <w:proofErr w:type="gramStart"/>
      <w:r w:rsidR="00490B0B">
        <w:t>T</w:t>
      </w:r>
      <w:r>
        <w:t>hese</w:t>
      </w:r>
      <w:proofErr w:type="gramEnd"/>
      <w:r>
        <w:t xml:space="preserve"> data have provided an important update on </w:t>
      </w:r>
      <w:r w:rsidR="00837CD0">
        <w:t xml:space="preserve">status of </w:t>
      </w:r>
      <w:r>
        <w:t>bacteria loads to impaired waters for this Triennial Report</w:t>
      </w:r>
      <w:r w:rsidR="00490B0B">
        <w:t>.</w:t>
      </w:r>
      <w:r>
        <w:t xml:space="preserve"> </w:t>
      </w:r>
      <w:r w:rsidR="00027133">
        <w:t>Going forward, i</w:t>
      </w:r>
      <w:r w:rsidR="00FD7D46">
        <w:t>t</w:t>
      </w:r>
      <w:r w:rsidR="00837CD0">
        <w:t xml:space="preserve"> is recommended that: </w:t>
      </w:r>
    </w:p>
    <w:p w14:paraId="3DAA00EE" w14:textId="210935AC" w:rsidR="00837CD0" w:rsidRPr="00837CD0" w:rsidRDefault="00837CD0" w:rsidP="00267EDD">
      <w:pPr>
        <w:pStyle w:val="ListBullet"/>
        <w:numPr>
          <w:ilvl w:val="1"/>
          <w:numId w:val="35"/>
        </w:numPr>
        <w:ind w:left="720"/>
      </w:pPr>
      <w:r w:rsidRPr="00837CD0">
        <w:t xml:space="preserve">MSAR Task Force consider implementing </w:t>
      </w:r>
      <w:r w:rsidR="00430DA8">
        <w:t>com</w:t>
      </w:r>
      <w:r w:rsidRPr="00837CD0">
        <w:t>prehensive Tier 1 source evaluation</w:t>
      </w:r>
      <w:r w:rsidR="00430DA8">
        <w:t>s</w:t>
      </w:r>
      <w:r w:rsidRPr="00837CD0">
        <w:t xml:space="preserve"> </w:t>
      </w:r>
      <w:r w:rsidR="00430DA8">
        <w:t xml:space="preserve">at least once in each </w:t>
      </w:r>
      <w:r w:rsidR="00B821B2">
        <w:t>t</w:t>
      </w:r>
      <w:r w:rsidR="00430DA8">
        <w:t xml:space="preserve">riennial </w:t>
      </w:r>
      <w:r w:rsidR="00B821B2">
        <w:t>reporting period.</w:t>
      </w:r>
      <w:r>
        <w:t xml:space="preserve"> This will provide a good data set to support </w:t>
      </w:r>
      <w:r w:rsidR="00D14812">
        <w:t xml:space="preserve">all future </w:t>
      </w:r>
      <w:r>
        <w:t>Triennial Report</w:t>
      </w:r>
      <w:r w:rsidR="00D14812">
        <w:t>s</w:t>
      </w:r>
      <w:r>
        <w:t>.</w:t>
      </w:r>
    </w:p>
    <w:p w14:paraId="5C6AC46B" w14:textId="58562887" w:rsidR="00FC106B" w:rsidRDefault="00837CD0" w:rsidP="00267EDD">
      <w:pPr>
        <w:pStyle w:val="ListBullet"/>
        <w:numPr>
          <w:ilvl w:val="1"/>
          <w:numId w:val="35"/>
        </w:numPr>
        <w:ind w:left="720"/>
      </w:pPr>
      <w:r>
        <w:t>F</w:t>
      </w:r>
      <w:r w:rsidR="007A1EF2">
        <w:t xml:space="preserve">uture Tier 1 source evaluation studies consider evaluation of </w:t>
      </w:r>
      <w:r>
        <w:t xml:space="preserve">other </w:t>
      </w:r>
      <w:r w:rsidR="007A1EF2">
        <w:t>factors that may influence bacteria loading estimates</w:t>
      </w:r>
      <w:r w:rsidR="00DC04E9">
        <w:t>,</w:t>
      </w:r>
      <w:r>
        <w:t xml:space="preserve"> e.g., (a) </w:t>
      </w:r>
      <w:r w:rsidR="007A1EF2">
        <w:t xml:space="preserve">to coordinate </w:t>
      </w:r>
      <w:r>
        <w:t xml:space="preserve">sample collection </w:t>
      </w:r>
      <w:r w:rsidR="00FC106B">
        <w:t>with operations at recharge basins and POTWs</w:t>
      </w:r>
      <w:r>
        <w:t>;</w:t>
      </w:r>
      <w:r w:rsidR="007A1EF2">
        <w:t xml:space="preserve"> and </w:t>
      </w:r>
      <w:r>
        <w:t xml:space="preserve">(b) to gather data to allow </w:t>
      </w:r>
      <w:r w:rsidR="00DC04E9">
        <w:t>evaluation</w:t>
      </w:r>
      <w:r>
        <w:t xml:space="preserve"> of </w:t>
      </w:r>
      <w:r w:rsidR="00DC04E9">
        <w:t xml:space="preserve">potential </w:t>
      </w:r>
      <w:r>
        <w:t>d</w:t>
      </w:r>
      <w:r w:rsidR="007A1EF2">
        <w:t>iurnal differences in bacteria concentrations</w:t>
      </w:r>
      <w:r w:rsidR="00FC106B">
        <w:t xml:space="preserve">. </w:t>
      </w:r>
    </w:p>
    <w:p w14:paraId="0488BC65" w14:textId="4ACEC7A6" w:rsidR="005D2BFB" w:rsidRDefault="005D2BFB" w:rsidP="00267EDD">
      <w:pPr>
        <w:pStyle w:val="ListBullet"/>
        <w:numPr>
          <w:ilvl w:val="1"/>
          <w:numId w:val="35"/>
        </w:numPr>
        <w:ind w:left="720"/>
      </w:pPr>
      <w:r>
        <w:t>Future Tier 1 source evaluation</w:t>
      </w:r>
      <w:r w:rsidR="005C5CD4">
        <w:t xml:space="preserve"> studies also </w:t>
      </w:r>
      <w:r>
        <w:t xml:space="preserve">include samples </w:t>
      </w:r>
      <w:r w:rsidR="005C5CD4">
        <w:t xml:space="preserve">collected </w:t>
      </w:r>
      <w:r>
        <w:t>at the compliance sampling locations</w:t>
      </w:r>
      <w:r w:rsidR="004D44AB">
        <w:t xml:space="preserve"> to support source contribution analysis</w:t>
      </w:r>
      <w:r w:rsidR="005542CC">
        <w:t>.</w:t>
      </w:r>
    </w:p>
    <w:p w14:paraId="1BCDD4A1" w14:textId="39729D6A" w:rsidR="00FF18AF" w:rsidRDefault="00FF18AF" w:rsidP="00FF18AF">
      <w:pPr>
        <w:pStyle w:val="ListBullet"/>
        <w:numPr>
          <w:ilvl w:val="0"/>
          <w:numId w:val="35"/>
        </w:numPr>
        <w:ind w:left="360"/>
      </w:pPr>
      <w:r>
        <w:t xml:space="preserve">Tier 2 Source Investigations – several Tier 1 MS4 outfalls were determined to be </w:t>
      </w:r>
      <w:r w:rsidR="002F71E4">
        <w:t xml:space="preserve">moderate or </w:t>
      </w:r>
      <w:r>
        <w:t xml:space="preserve">high priority </w:t>
      </w:r>
      <w:proofErr w:type="gramStart"/>
      <w:r>
        <w:t>with regard to</w:t>
      </w:r>
      <w:proofErr w:type="gramEnd"/>
      <w:r>
        <w:t xml:space="preserve"> impact to recreational use during dry weather conditions. </w:t>
      </w:r>
      <w:r w:rsidR="002F71E4">
        <w:t>Cities within these drainage areas can enhance current illicit discharge detection and elimination (IDDE) activities with the objective of identifying specific sources and taking actions to eliminate if sources are found to be controllable.</w:t>
      </w:r>
    </w:p>
    <w:p w14:paraId="31B43A67" w14:textId="65B2A6B6" w:rsidR="00F8779F" w:rsidRDefault="006453BC" w:rsidP="002F5340">
      <w:pPr>
        <w:pStyle w:val="ListBullet"/>
      </w:pPr>
      <w:r w:rsidRPr="006453BC">
        <w:rPr>
          <w:i/>
          <w:iCs/>
        </w:rPr>
        <w:t>Identification of In-stream Sources of Bacteria Loads</w:t>
      </w:r>
      <w:r>
        <w:t xml:space="preserve"> - </w:t>
      </w:r>
      <w:r w:rsidR="00F8779F">
        <w:t xml:space="preserve">The findings presented in this report have shown that in-stream sources of </w:t>
      </w:r>
      <w:r w:rsidR="00F8779F" w:rsidRPr="00837CD0">
        <w:rPr>
          <w:i/>
          <w:iCs/>
        </w:rPr>
        <w:t>E. coli</w:t>
      </w:r>
      <w:r w:rsidR="00F8779F">
        <w:t xml:space="preserve"> are a significant contributor to </w:t>
      </w:r>
      <w:r w:rsidR="00F8779F" w:rsidRPr="00837CD0">
        <w:rPr>
          <w:i/>
          <w:iCs/>
        </w:rPr>
        <w:t>E. coli</w:t>
      </w:r>
      <w:r w:rsidR="00F8779F">
        <w:t xml:space="preserve"> </w:t>
      </w:r>
      <w:r w:rsidR="00F8779F">
        <w:lastRenderedPageBreak/>
        <w:t>loads in downstream impaired waters</w:t>
      </w:r>
      <w:r w:rsidR="005542CC">
        <w:t>, especially near the transition from SAR Reach 4 to Reach 3</w:t>
      </w:r>
      <w:r w:rsidR="00F8779F">
        <w:t>. Understanding the origin of these sources is critical to compliance with the TMDL</w:t>
      </w:r>
      <w:r w:rsidR="00837CD0">
        <w:t xml:space="preserve"> targets applicable </w:t>
      </w:r>
      <w:r w:rsidR="00F8779F">
        <w:t xml:space="preserve">under dry </w:t>
      </w:r>
      <w:r w:rsidR="00837CD0">
        <w:t>summer</w:t>
      </w:r>
      <w:r w:rsidR="00F8779F">
        <w:t xml:space="preserve"> conditions. Specifically: </w:t>
      </w:r>
    </w:p>
    <w:p w14:paraId="11A92269" w14:textId="7F225AF1" w:rsidR="00277861" w:rsidRDefault="00A87850" w:rsidP="009B59A3">
      <w:pPr>
        <w:pStyle w:val="ListBullet"/>
        <w:numPr>
          <w:ilvl w:val="1"/>
          <w:numId w:val="35"/>
        </w:numPr>
        <w:ind w:left="720"/>
      </w:pPr>
      <w:r w:rsidRPr="00A87850">
        <w:t xml:space="preserve">The majority of </w:t>
      </w:r>
      <w:r w:rsidRPr="00A87850">
        <w:rPr>
          <w:i/>
          <w:iCs/>
        </w:rPr>
        <w:t>E. coli</w:t>
      </w:r>
      <w:r w:rsidRPr="00A87850">
        <w:t xml:space="preserve"> load observed within Reach 3 of the Santa Ana River has been demonstrated to come from in-stream sources upstream of Mission Boulevard in Santa Ana Reach 4. It is </w:t>
      </w:r>
      <w:proofErr w:type="gramStart"/>
      <w:r w:rsidRPr="00A87850">
        <w:t>plausible,</w:t>
      </w:r>
      <w:proofErr w:type="gramEnd"/>
      <w:r w:rsidRPr="00A87850">
        <w:t xml:space="preserve"> that a program that successfully identifies and eliminates the predominant source(s) of </w:t>
      </w:r>
      <w:proofErr w:type="gramStart"/>
      <w:r w:rsidRPr="00A87850">
        <w:t xml:space="preserve">these </w:t>
      </w:r>
      <w:r w:rsidRPr="00A87850">
        <w:rPr>
          <w:i/>
          <w:iCs/>
        </w:rPr>
        <w:t>E. coli</w:t>
      </w:r>
      <w:proofErr w:type="gramEnd"/>
      <w:r w:rsidRPr="00A87850">
        <w:t xml:space="preserve"> could have enough of an impact to bring Santa Ana River Reach 3 into attainment with water quality objectives. Based on studies conducted over several years, it is unlikely that sources of </w:t>
      </w:r>
      <w:r w:rsidRPr="00A87850">
        <w:rPr>
          <w:i/>
          <w:iCs/>
        </w:rPr>
        <w:t>E. coli</w:t>
      </w:r>
      <w:r w:rsidRPr="00A87850">
        <w:t xml:space="preserve"> derived from humans (including homeless encampments), feral pigs, dogs or horses can explain all observed </w:t>
      </w:r>
      <w:r w:rsidRPr="00A87850">
        <w:rPr>
          <w:i/>
          <w:iCs/>
        </w:rPr>
        <w:t>E. coli</w:t>
      </w:r>
      <w:r w:rsidRPr="00A87850">
        <w:t xml:space="preserve"> loads where Santa Ana River 4 transitions to Reach 3. However, to date analyses of different potential warm-blooded sources have been conducted independently rather than jointly</w:t>
      </w:r>
      <w:r>
        <w:t xml:space="preserve">, e.g., through implementation of </w:t>
      </w:r>
      <w:r w:rsidRPr="00A87850">
        <w:t xml:space="preserve">one comprehensive study. Given the importance of understanding the source(s) of these bacteria, it is recommended that the Task Force continue to implement special studies in the Santa Ana River segment upstream of Mission Boulevard Bridge, </w:t>
      </w:r>
      <w:r>
        <w:t xml:space="preserve">and, </w:t>
      </w:r>
      <w:proofErr w:type="gramStart"/>
      <w:r w:rsidRPr="00A87850">
        <w:t>in particular</w:t>
      </w:r>
      <w:r>
        <w:t>,</w:t>
      </w:r>
      <w:r w:rsidRPr="00A87850">
        <w:t xml:space="preserve"> implement</w:t>
      </w:r>
      <w:proofErr w:type="gramEnd"/>
      <w:r w:rsidRPr="00A87850">
        <w:t xml:space="preserve"> a </w:t>
      </w:r>
      <w:r>
        <w:t>comprehensive</w:t>
      </w:r>
      <w:r w:rsidRPr="00A87850">
        <w:t xml:space="preserve"> study that looks at multiple potential bacteria sources in water and sediment.</w:t>
      </w:r>
      <w:r w:rsidR="00AA315A">
        <w:t xml:space="preserve"> A framework for a study of in-stream sources in </w:t>
      </w:r>
      <w:proofErr w:type="gramStart"/>
      <w:r w:rsidR="00AA315A">
        <w:t>the SAR</w:t>
      </w:r>
      <w:proofErr w:type="gramEnd"/>
      <w:r w:rsidR="00AA315A">
        <w:t xml:space="preserve"> is presented in Figure 5-1. </w:t>
      </w:r>
    </w:p>
    <w:p w14:paraId="2434CF1D" w14:textId="26716594" w:rsidR="00AA315A" w:rsidRDefault="00AA315A" w:rsidP="00AA315A">
      <w:pPr>
        <w:pStyle w:val="ListBullet"/>
        <w:numPr>
          <w:ilvl w:val="0"/>
          <w:numId w:val="0"/>
        </w:numPr>
        <w:ind w:left="360" w:hanging="360"/>
      </w:pPr>
      <w:r>
        <w:rPr>
          <w:noProof/>
        </w:rPr>
        <w:drawing>
          <wp:inline distT="0" distB="0" distL="0" distR="0" wp14:anchorId="6752A319" wp14:editId="584DCDDF">
            <wp:extent cx="4986245" cy="2190816"/>
            <wp:effectExtent l="0" t="0" r="0" b="0"/>
            <wp:docPr id="483670401" name="Picture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70401" name="Picture 2" descr="A screenshot of a computer screen&#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10370" cy="2201416"/>
                    </a:xfrm>
                    <a:prstGeom prst="rect">
                      <a:avLst/>
                    </a:prstGeom>
                    <a:noFill/>
                  </pic:spPr>
                </pic:pic>
              </a:graphicData>
            </a:graphic>
          </wp:inline>
        </w:drawing>
      </w:r>
    </w:p>
    <w:p w14:paraId="2D4D6D44" w14:textId="028ECDDD" w:rsidR="00AA315A" w:rsidRDefault="0023167A" w:rsidP="0023167A">
      <w:pPr>
        <w:pStyle w:val="Caption"/>
        <w:spacing w:after="240"/>
      </w:pPr>
      <w:bookmarkStart w:id="179" w:name="_Toc217394587"/>
      <w:bookmarkStart w:id="180" w:name="_Toc217394782"/>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w:t>
      </w:r>
      <w:r>
        <w:fldChar w:fldCharType="end"/>
      </w:r>
      <w:r>
        <w:t xml:space="preserve">. </w:t>
      </w:r>
      <w:r w:rsidRPr="0023167A">
        <w:t>Framework for Study to Advance Understanding of In-Stream Fecal Bacteria Sources in Reach 3 of the SAR.</w:t>
      </w:r>
      <w:bookmarkEnd w:id="179"/>
      <w:bookmarkEnd w:id="180"/>
    </w:p>
    <w:p w14:paraId="1D04B728" w14:textId="23CD8597" w:rsidR="00963259" w:rsidRDefault="007040B8" w:rsidP="00FF18AF">
      <w:pPr>
        <w:pStyle w:val="Heading2"/>
        <w:tabs>
          <w:tab w:val="clear" w:pos="2322"/>
          <w:tab w:val="num" w:pos="810"/>
        </w:tabs>
        <w:ind w:hanging="2322"/>
      </w:pPr>
      <w:bookmarkStart w:id="181" w:name="_Toc217410185"/>
      <w:r>
        <w:t>Limited Revisions to MSAR TMDLs</w:t>
      </w:r>
      <w:bookmarkEnd w:id="181"/>
    </w:p>
    <w:p w14:paraId="1B2BC7D6" w14:textId="1ED12A4F" w:rsidR="00241B47" w:rsidRDefault="00FF18AF" w:rsidP="00BE07A6">
      <w:pPr>
        <w:pStyle w:val="BodyText"/>
      </w:pPr>
      <w:r>
        <w:t xml:space="preserve">The </w:t>
      </w:r>
      <w:r w:rsidR="007040B8">
        <w:t xml:space="preserve">MSAR Task Force in collaboration with the Santa Ana Water Board began the process to make limited revisions to the MSAR TMDL, primarily </w:t>
      </w:r>
      <w:r w:rsidR="00241B47">
        <w:t>to extend the wet winter condition compliance date. Extension of th</w:t>
      </w:r>
      <w:r w:rsidR="007040B8">
        <w:t>is</w:t>
      </w:r>
      <w:r w:rsidR="00241B47">
        <w:t xml:space="preserve"> compliance date </w:t>
      </w:r>
      <w:r w:rsidR="00B522A5">
        <w:t>is intended to</w:t>
      </w:r>
      <w:r w:rsidR="00241B47">
        <w:t xml:space="preserve"> provide opportunity for the MSAR Task Force to (a) identify and implement needed special studies; (b) develop a better understanding of wet weather sources of bacterial indicators; (c) allow time to develop and implement either an alternative Watershed Management Plan (an expected option under the </w:t>
      </w:r>
      <w:r w:rsidR="00241B47">
        <w:lastRenderedPageBreak/>
        <w:t>next Regional MS4 Permit</w:t>
      </w:r>
      <w:r w:rsidR="007040B8">
        <w:t xml:space="preserve"> – currently planned for adoption in 2023</w:t>
      </w:r>
      <w:r w:rsidR="00241B47">
        <w:t>) or Comprehensive Bacteria Reduction Plans for wet conditions.</w:t>
      </w:r>
    </w:p>
    <w:p w14:paraId="7FD19D68" w14:textId="148EE48D" w:rsidR="00744B54" w:rsidRDefault="007040B8" w:rsidP="00B26B45">
      <w:pPr>
        <w:pStyle w:val="BodyText"/>
        <w:spacing w:line="259" w:lineRule="auto"/>
      </w:pPr>
      <w:r>
        <w:t xml:space="preserve">The MSAR Task Force is currently working with the Santa Ana Water </w:t>
      </w:r>
      <w:r w:rsidR="00E25105">
        <w:t xml:space="preserve">Board </w:t>
      </w:r>
      <w:r w:rsidR="00BE07A6">
        <w:t xml:space="preserve">to develop the Technical Report and Substitute Environmental Document to support the Basin Plan amendment to make </w:t>
      </w:r>
      <w:r w:rsidR="00B522A5">
        <w:t xml:space="preserve">the proposed </w:t>
      </w:r>
      <w:r w:rsidR="00BE07A6">
        <w:t xml:space="preserve">limited TMDL revisions. </w:t>
      </w:r>
      <w:r w:rsidR="00241B47">
        <w:t>Elements planned for inclusion in the</w:t>
      </w:r>
      <w:r w:rsidR="00BE07A6">
        <w:t xml:space="preserve"> TMDL </w:t>
      </w:r>
      <w:r w:rsidR="00241B47">
        <w:t xml:space="preserve">revisions include: (a) revised wet winter conditions compliance date; (b) establishment of new tasks for implementation in the TMDLs consistent with the revised compliance date; and (c) </w:t>
      </w:r>
      <w:r w:rsidR="00BE07A6">
        <w:t xml:space="preserve">a </w:t>
      </w:r>
      <w:r w:rsidR="00241B47">
        <w:t>schedule for implementation of the planned new tasks</w:t>
      </w:r>
      <w:bookmarkStart w:id="182" w:name="_Hlk14765117"/>
      <w:r w:rsidR="00FF18AF">
        <w:t>. In the upcoming triennial period, MSAR Task Force tasks involving wet weather should be aligned with the tasks identified in the draft TMDL revision including:</w:t>
      </w:r>
    </w:p>
    <w:p w14:paraId="07C43AC4" w14:textId="77777777" w:rsidR="00FF18AF" w:rsidRPr="00FF18AF" w:rsidRDefault="00FF18AF" w:rsidP="00FF18AF">
      <w:pPr>
        <w:pStyle w:val="ListBullet"/>
        <w:numPr>
          <w:ilvl w:val="0"/>
          <w:numId w:val="35"/>
        </w:numPr>
        <w:spacing w:after="240"/>
        <w:ind w:left="360"/>
      </w:pPr>
      <w:r>
        <w:rPr>
          <w:i/>
          <w:iCs/>
        </w:rPr>
        <w:t>Evaluate Controllability of Wet Weather Source</w:t>
      </w:r>
    </w:p>
    <w:p w14:paraId="0E0F2FEC" w14:textId="77777777" w:rsidR="00FF18AF" w:rsidRPr="00FF18AF" w:rsidRDefault="00FF18AF" w:rsidP="00FF18AF">
      <w:pPr>
        <w:pStyle w:val="ListBullet"/>
        <w:numPr>
          <w:ilvl w:val="0"/>
          <w:numId w:val="35"/>
        </w:numPr>
        <w:spacing w:after="240"/>
        <w:ind w:left="360"/>
      </w:pPr>
      <w:r>
        <w:rPr>
          <w:i/>
          <w:iCs/>
        </w:rPr>
        <w:t>Evaluate Applicability of High Flow Suspension</w:t>
      </w:r>
    </w:p>
    <w:p w14:paraId="77AE257B" w14:textId="77777777" w:rsidR="00FF18AF" w:rsidRDefault="00FF18AF" w:rsidP="00FF18AF">
      <w:pPr>
        <w:pStyle w:val="ListBullet"/>
        <w:numPr>
          <w:ilvl w:val="0"/>
          <w:numId w:val="35"/>
        </w:numPr>
        <w:spacing w:after="240"/>
        <w:ind w:left="360"/>
      </w:pPr>
      <w:r>
        <w:rPr>
          <w:i/>
          <w:iCs/>
        </w:rPr>
        <w:t>Implement Preliminary Wet Weather Water Quality Controls</w:t>
      </w:r>
    </w:p>
    <w:p w14:paraId="2A67D8D4" w14:textId="7F7FB503" w:rsidR="00756290" w:rsidRDefault="00756290" w:rsidP="00FE06E4">
      <w:pPr>
        <w:pStyle w:val="BodyText"/>
        <w:spacing w:after="120"/>
        <w:jc w:val="both"/>
        <w:sectPr w:rsidR="00756290" w:rsidSect="00DF3266">
          <w:footerReference w:type="default" r:id="rId70"/>
          <w:pgSz w:w="12240" w:h="15840" w:code="1"/>
          <w:pgMar w:top="1440" w:right="1440" w:bottom="1440" w:left="1800" w:header="720" w:footer="720" w:gutter="0"/>
          <w:pgNumType w:start="1" w:chapStyle="1"/>
          <w:cols w:space="720"/>
          <w:docGrid w:linePitch="360"/>
        </w:sectPr>
      </w:pPr>
    </w:p>
    <w:p w14:paraId="42DFE3A3" w14:textId="1E1A6AE6" w:rsidR="0091448D" w:rsidRDefault="0091448D" w:rsidP="0091448D">
      <w:pPr>
        <w:pStyle w:val="Heading1"/>
      </w:pPr>
      <w:bookmarkStart w:id="183" w:name="_Hlk14165567"/>
      <w:bookmarkStart w:id="184" w:name="_Hlk14759573"/>
      <w:bookmarkStart w:id="185" w:name="_Toc217410186"/>
      <w:bookmarkEnd w:id="182"/>
      <w:r>
        <w:lastRenderedPageBreak/>
        <w:t>References</w:t>
      </w:r>
      <w:bookmarkEnd w:id="185"/>
    </w:p>
    <w:p w14:paraId="14DA0C85" w14:textId="77777777" w:rsidR="009758B3" w:rsidRDefault="009758B3" w:rsidP="0047512E">
      <w:pPr>
        <w:pStyle w:val="BodyText"/>
      </w:pPr>
      <w:bookmarkStart w:id="186" w:name="_Hlk62852218"/>
      <w:bookmarkEnd w:id="183"/>
      <w:r w:rsidRPr="009758B3">
        <w:t xml:space="preserve">Ahmed, W., B. Hughes and V.J. Harwood. 2016. </w:t>
      </w:r>
      <w:r w:rsidRPr="009758B3">
        <w:rPr>
          <w:i/>
          <w:iCs/>
        </w:rPr>
        <w:t>Current Status of Marker Genes of Bacteroides and Related Taxa for Identifying Sewage Pollution in Environmental Waters</w:t>
      </w:r>
      <w:r w:rsidRPr="009758B3">
        <w:t>. Integrative Biology Faculty and Staff Publications, University of South Florida. 360.</w:t>
      </w:r>
    </w:p>
    <w:p w14:paraId="5C6C9F30" w14:textId="1BF298AB" w:rsidR="008A7BA7" w:rsidRDefault="0067693E" w:rsidP="0047512E">
      <w:pPr>
        <w:pStyle w:val="BodyText"/>
      </w:pPr>
      <w:r>
        <w:t xml:space="preserve">Barry, E. 2017. </w:t>
      </w:r>
      <w:r w:rsidRPr="0067693E">
        <w:rPr>
          <w:i/>
          <w:iCs/>
        </w:rPr>
        <w:t>Spatial Variability and Implications of Surface Water Infiltration on Critical Habitat Along the Santa Ana River, California</w:t>
      </w:r>
      <w:r>
        <w:t>. Senior Thesis, Pomona College Geology Department. April 2017.</w:t>
      </w:r>
    </w:p>
    <w:p w14:paraId="44D7A991" w14:textId="6D42BB91" w:rsidR="00A861BD" w:rsidRDefault="00A861BD" w:rsidP="0047512E">
      <w:pPr>
        <w:pStyle w:val="BodyText"/>
      </w:pPr>
      <w:r>
        <w:t xml:space="preserve">Boehm, A.B., J.A. Soller. 2020. </w:t>
      </w:r>
      <w:r w:rsidRPr="00A861BD">
        <w:rPr>
          <w:i/>
          <w:iCs/>
        </w:rPr>
        <w:t xml:space="preserve">Refined Ambient Water Quality Thresholds for Human-associated Fecal Indicator HF183 for Recreational Waters with and without Co-occurring Gull Fecal Contamination. </w:t>
      </w:r>
      <w:r w:rsidRPr="00A861BD">
        <w:t>Microbial Risk Analysis.</w:t>
      </w:r>
      <w:r>
        <w:t xml:space="preserve"> Volume 16. 2020.</w:t>
      </w:r>
    </w:p>
    <w:p w14:paraId="26556CB1" w14:textId="0186A225" w:rsidR="000D02F3" w:rsidRDefault="00750C9F" w:rsidP="0040126B">
      <w:pPr>
        <w:pStyle w:val="BodyText"/>
      </w:pPr>
      <w:r>
        <w:t xml:space="preserve">Chino Basin Watermaster </w:t>
      </w:r>
      <w:r w:rsidR="00AE7A21">
        <w:t xml:space="preserve">(CBW) </w:t>
      </w:r>
      <w:r>
        <w:t xml:space="preserve">Agricultural Pool. 2014. </w:t>
      </w:r>
      <w:r w:rsidRPr="0067693E">
        <w:rPr>
          <w:i/>
          <w:iCs/>
        </w:rPr>
        <w:t>Bacterial Indicator Agricultural Source Management Plan</w:t>
      </w:r>
      <w:r>
        <w:t>. Prepared by CDM Smith on behalf of the CBW Agricultural Pool. December 2014.</w:t>
      </w:r>
    </w:p>
    <w:p w14:paraId="327CF42E" w14:textId="00D4B213" w:rsidR="0047512E" w:rsidRDefault="0047512E" w:rsidP="0040126B">
      <w:pPr>
        <w:pStyle w:val="BodyText"/>
      </w:pPr>
      <w:r>
        <w:t xml:space="preserve">City of Claremont. 2014. </w:t>
      </w:r>
      <w:r w:rsidRPr="0047512E">
        <w:rPr>
          <w:i/>
          <w:iCs/>
        </w:rPr>
        <w:t>Comprehensive Bacteria Reduction Plan</w:t>
      </w:r>
      <w:r>
        <w:t xml:space="preserve">. Prepared by CDM Smith on behalf of the City of Claremont. January 14, 2014. </w:t>
      </w:r>
    </w:p>
    <w:p w14:paraId="2786F7AD" w14:textId="1227CC61" w:rsidR="0047512E" w:rsidRDefault="0047512E" w:rsidP="0040126B">
      <w:pPr>
        <w:pStyle w:val="BodyText"/>
      </w:pPr>
      <w:r>
        <w:t xml:space="preserve">City of Pomona. 2014. </w:t>
      </w:r>
      <w:r w:rsidRPr="0047512E">
        <w:rPr>
          <w:i/>
          <w:iCs/>
        </w:rPr>
        <w:t>Comprehensive Bacteria Reduction Plan</w:t>
      </w:r>
      <w:r>
        <w:t>. Prepared by CDM Smith on behalf of the City of Claremont. January 14, 2014</w:t>
      </w:r>
      <w:r w:rsidR="00425401">
        <w:t>.</w:t>
      </w:r>
    </w:p>
    <w:p w14:paraId="1BD85F3C" w14:textId="480594BF" w:rsidR="00425401" w:rsidRPr="0023167A" w:rsidRDefault="00425401" w:rsidP="0040126B">
      <w:pPr>
        <w:pStyle w:val="BodyText"/>
        <w:rPr>
          <w:lang w:val="es-ES"/>
        </w:rPr>
      </w:pPr>
      <w:proofErr w:type="spellStart"/>
      <w:r>
        <w:t>Gedalanga</w:t>
      </w:r>
      <w:proofErr w:type="spellEnd"/>
      <w:r>
        <w:t xml:space="preserve">, P., L. Nguyen and C. Puga. 2019. </w:t>
      </w:r>
      <w:r w:rsidRPr="00425401">
        <w:rPr>
          <w:i/>
          <w:iCs/>
        </w:rPr>
        <w:t>Microbial Source Tracking at the Santa Ana Watershed.</w:t>
      </w:r>
      <w:r>
        <w:t xml:space="preserve"> California State University, Fullerton. </w:t>
      </w:r>
      <w:r w:rsidRPr="0023167A">
        <w:rPr>
          <w:lang w:val="es-ES"/>
        </w:rPr>
        <w:t>June 2019</w:t>
      </w:r>
    </w:p>
    <w:p w14:paraId="4A90C518" w14:textId="2955811E" w:rsidR="00F608FD" w:rsidRDefault="00F608FD" w:rsidP="0040126B">
      <w:pPr>
        <w:pStyle w:val="BodyText"/>
      </w:pPr>
      <w:proofErr w:type="spellStart"/>
      <w:r w:rsidRPr="0023167A">
        <w:rPr>
          <w:lang w:val="es-ES"/>
        </w:rPr>
        <w:t>Gitter</w:t>
      </w:r>
      <w:proofErr w:type="spellEnd"/>
      <w:r w:rsidRPr="0023167A">
        <w:rPr>
          <w:lang w:val="es-ES"/>
        </w:rPr>
        <w:t xml:space="preserve">, A., </w:t>
      </w:r>
      <w:proofErr w:type="spellStart"/>
      <w:r w:rsidRPr="0023167A">
        <w:rPr>
          <w:lang w:val="es-ES"/>
        </w:rPr>
        <w:t>Gidley</w:t>
      </w:r>
      <w:proofErr w:type="spellEnd"/>
      <w:r w:rsidRPr="0023167A">
        <w:rPr>
          <w:lang w:val="es-ES"/>
        </w:rPr>
        <w:t xml:space="preserve">, M., Mena, K. D., Ferguson, A., </w:t>
      </w:r>
      <w:proofErr w:type="spellStart"/>
      <w:r w:rsidRPr="0023167A">
        <w:rPr>
          <w:lang w:val="es-ES"/>
        </w:rPr>
        <w:t>Sinigalliano</w:t>
      </w:r>
      <w:proofErr w:type="spellEnd"/>
      <w:r w:rsidRPr="0023167A">
        <w:rPr>
          <w:lang w:val="es-ES"/>
        </w:rPr>
        <w:t xml:space="preserve">, C., </w:t>
      </w:r>
      <w:proofErr w:type="spellStart"/>
      <w:r w:rsidRPr="0023167A">
        <w:rPr>
          <w:lang w:val="es-ES"/>
        </w:rPr>
        <w:t>Bonacolta</w:t>
      </w:r>
      <w:proofErr w:type="spellEnd"/>
      <w:r w:rsidRPr="0023167A">
        <w:rPr>
          <w:lang w:val="es-ES"/>
        </w:rPr>
        <w:t xml:space="preserve">, A., &amp; Solo-Gabriele, H. (2023). </w:t>
      </w:r>
      <w:r w:rsidRPr="00F608FD">
        <w:t>Integrating microbial source tracking with quantitative microbial risk assessment to evaluate site specific risk based thresholds at two South Florida beaches. Frontiers in microbiology, 14, 1210192.</w:t>
      </w:r>
    </w:p>
    <w:p w14:paraId="749FF37E" w14:textId="366B3B9B" w:rsidR="00F608FD" w:rsidRDefault="00F608FD" w:rsidP="0040126B">
      <w:pPr>
        <w:pStyle w:val="BodyText"/>
      </w:pPr>
      <w:r w:rsidRPr="00F608FD">
        <w:t xml:space="preserve">Hart, J. J., Jamison, M. N., McNair, J. N., Woznicki, S. A., Jordan, B., &amp; Rediske, R. (2022). Using Watershed Characteristics for Improving Fecal Source Identification. </w:t>
      </w:r>
      <w:proofErr w:type="spellStart"/>
      <w:r w:rsidRPr="00F608FD">
        <w:t>bioRxiv</w:t>
      </w:r>
      <w:proofErr w:type="spellEnd"/>
      <w:r w:rsidRPr="00F608FD">
        <w:t>, 2022-06.</w:t>
      </w:r>
    </w:p>
    <w:p w14:paraId="5175A219" w14:textId="55C39712" w:rsidR="00F608FD" w:rsidRDefault="00F608FD" w:rsidP="0040126B">
      <w:pPr>
        <w:pStyle w:val="BodyText"/>
      </w:pPr>
      <w:r w:rsidRPr="00F608FD">
        <w:t>Li, J., Zhu, Y., Wu, X., &amp; Hoffmann, M. R. (2020). Rapid detection methods for bacterial pathogens in ambient waters at the point of sample collection: a brief review. Clinical Infectious Diseases, 71(Supplement_2), S84-S90.</w:t>
      </w:r>
    </w:p>
    <w:p w14:paraId="5FF48C61" w14:textId="77777777" w:rsidR="0014321E" w:rsidRDefault="0014321E" w:rsidP="0014321E">
      <w:pPr>
        <w:pStyle w:val="BodyText"/>
      </w:pPr>
      <w:r>
        <w:t xml:space="preserve">Los Angeles Regional Water Quality Control Board (Los Angeles Water Board). 2012. </w:t>
      </w:r>
      <w:r w:rsidRPr="0014321E">
        <w:rPr>
          <w:i/>
          <w:iCs/>
        </w:rPr>
        <w:t xml:space="preserve">Waste Discharge Requirements for Municipal Separate Storm Sewer Storm Sewer System (MS4) Discharges within the Coastal Watersheds of Los Angeles County, </w:t>
      </w:r>
      <w:proofErr w:type="gramStart"/>
      <w:r w:rsidRPr="0014321E">
        <w:rPr>
          <w:i/>
          <w:iCs/>
        </w:rPr>
        <w:t>Except</w:t>
      </w:r>
      <w:proofErr w:type="gramEnd"/>
      <w:r w:rsidRPr="0014321E">
        <w:rPr>
          <w:i/>
          <w:iCs/>
        </w:rPr>
        <w:t xml:space="preserve"> those </w:t>
      </w:r>
      <w:r w:rsidRPr="0014321E">
        <w:rPr>
          <w:i/>
          <w:iCs/>
        </w:rPr>
        <w:lastRenderedPageBreak/>
        <w:t>Discharges Originating from the City of Long Beach MS4</w:t>
      </w:r>
      <w:r>
        <w:t>. Order No. R4-2012-0175. NPDES Permit No. CAS004001. Los Angeles Water Board. November 8, 2012.</w:t>
      </w:r>
    </w:p>
    <w:p w14:paraId="5A7F40FA" w14:textId="1FA5AC96" w:rsidR="0047512E" w:rsidRDefault="0047512E" w:rsidP="0040126B">
      <w:pPr>
        <w:pStyle w:val="BodyText"/>
      </w:pPr>
      <w:r>
        <w:t xml:space="preserve">Riverside County. 2011. </w:t>
      </w:r>
      <w:r w:rsidRPr="0047512E">
        <w:rPr>
          <w:i/>
          <w:iCs/>
        </w:rPr>
        <w:t>Comprehensive Bacteria Reduction Plan</w:t>
      </w:r>
      <w:r>
        <w:t xml:space="preserve">. Prepared by CDM on behalf of the RCFC&amp;WCD. June 28, 2011. </w:t>
      </w:r>
    </w:p>
    <w:p w14:paraId="2C259A74" w14:textId="22FE30E6" w:rsidR="0047512E" w:rsidRDefault="0047512E" w:rsidP="0040126B">
      <w:pPr>
        <w:pStyle w:val="BodyText"/>
      </w:pPr>
      <w:r>
        <w:t xml:space="preserve">Riverside County Flood Control &amp; Water Conservation District (RCFC&amp;WCD). 2016. </w:t>
      </w:r>
      <w:r w:rsidRPr="0047512E">
        <w:rPr>
          <w:i/>
          <w:iCs/>
        </w:rPr>
        <w:t>Middle Santa Ana River Watershed: Uncontrollable Bacterial Sources Study</w:t>
      </w:r>
      <w:r>
        <w:t>. Prepared by CDM Smith on behalf of RCFC&amp;WCD. June 2016.</w:t>
      </w:r>
    </w:p>
    <w:p w14:paraId="015A20DD" w14:textId="77777777" w:rsidR="00814BA2" w:rsidRDefault="00814BA2" w:rsidP="00814BA2">
      <w:pPr>
        <w:pStyle w:val="BodyText"/>
      </w:pPr>
      <w:r>
        <w:t xml:space="preserve">San Bernardino County Flood Control District (SBCFCD). 2011. </w:t>
      </w:r>
      <w:r w:rsidRPr="0047512E">
        <w:rPr>
          <w:i/>
          <w:iCs/>
        </w:rPr>
        <w:t>Comprehensive Bacteria Reduction Plan</w:t>
      </w:r>
      <w:r>
        <w:t xml:space="preserve">. Prepared by CDM Smith on behalf of </w:t>
      </w:r>
      <w:proofErr w:type="gramStart"/>
      <w:r>
        <w:t>the SBCFCD</w:t>
      </w:r>
      <w:proofErr w:type="gramEnd"/>
      <w:r>
        <w:t>. June 28, 2011.</w:t>
      </w:r>
    </w:p>
    <w:p w14:paraId="6892BAEC" w14:textId="06410800" w:rsidR="00D551D3" w:rsidRDefault="00D551D3" w:rsidP="00B720E0">
      <w:pPr>
        <w:pStyle w:val="BodyText"/>
      </w:pPr>
      <w:r>
        <w:t xml:space="preserve">Santa Ana Regional Water Quality Control Board (Santa Ana Water Board). </w:t>
      </w:r>
      <w:r w:rsidR="0046641F">
        <w:t xml:space="preserve">1999. </w:t>
      </w:r>
      <w:r w:rsidR="0046641F" w:rsidRPr="0046641F">
        <w:rPr>
          <w:i/>
          <w:iCs/>
        </w:rPr>
        <w:t xml:space="preserve">General Waste Discharge Requirements for Concentrated Animal Feeding Operations (Dairies and Related Facilities) within the Santa Ana Region, Order No. 99-11, </w:t>
      </w:r>
      <w:r w:rsidRPr="0046641F">
        <w:rPr>
          <w:i/>
          <w:iCs/>
        </w:rPr>
        <w:t>NPDES N</w:t>
      </w:r>
      <w:r w:rsidR="0046641F" w:rsidRPr="0046641F">
        <w:rPr>
          <w:i/>
          <w:iCs/>
        </w:rPr>
        <w:t>o</w:t>
      </w:r>
      <w:r w:rsidRPr="0046641F">
        <w:rPr>
          <w:i/>
          <w:iCs/>
        </w:rPr>
        <w:t>. CAG018001</w:t>
      </w:r>
      <w:r w:rsidR="0046641F">
        <w:t>. Santa Ana Water Board Resolution 99-11. August 20, 1999.</w:t>
      </w:r>
    </w:p>
    <w:p w14:paraId="48AC6F80" w14:textId="5EC9EE3D" w:rsidR="00B720E0" w:rsidRDefault="00B56110" w:rsidP="00B720E0">
      <w:pPr>
        <w:pStyle w:val="BodyText"/>
      </w:pPr>
      <w:r>
        <w:t>Santa Ana Water Board</w:t>
      </w:r>
      <w:r w:rsidR="00B720E0">
        <w:t xml:space="preserve">. 2002a. </w:t>
      </w:r>
      <w:r w:rsidR="00B720E0" w:rsidRPr="00B720E0">
        <w:rPr>
          <w:i/>
          <w:iCs/>
        </w:rPr>
        <w:t xml:space="preserve">Waste Discharge Requirements for the </w:t>
      </w:r>
      <w:r w:rsidR="00B720E0">
        <w:rPr>
          <w:i/>
          <w:iCs/>
        </w:rPr>
        <w:t xml:space="preserve">San Bernardino County Flood Control District, the County of San Bernardino, and the Incorporated Cities of San Bernardino County </w:t>
      </w:r>
      <w:r w:rsidR="00B720E0" w:rsidRPr="00B720E0">
        <w:rPr>
          <w:i/>
          <w:iCs/>
        </w:rPr>
        <w:t>within the Santa Ana Region Area</w:t>
      </w:r>
      <w:r w:rsidR="00B720E0">
        <w:rPr>
          <w:i/>
          <w:iCs/>
        </w:rPr>
        <w:t>-W</w:t>
      </w:r>
      <w:r w:rsidR="00B720E0" w:rsidRPr="00B720E0">
        <w:rPr>
          <w:i/>
          <w:iCs/>
        </w:rPr>
        <w:t xml:space="preserve">ide Urban </w:t>
      </w:r>
      <w:r w:rsidR="00B720E0">
        <w:rPr>
          <w:i/>
          <w:iCs/>
        </w:rPr>
        <w:t xml:space="preserve">Storm Water </w:t>
      </w:r>
      <w:r w:rsidR="00B720E0" w:rsidRPr="00B720E0">
        <w:rPr>
          <w:i/>
          <w:iCs/>
        </w:rPr>
        <w:t>Runoff</w:t>
      </w:r>
      <w:r w:rsidR="00B720E0">
        <w:t>. Order No. R8-2002-001</w:t>
      </w:r>
      <w:r>
        <w:t>2</w:t>
      </w:r>
      <w:r w:rsidR="00B720E0">
        <w:t>. April 26, 2002.</w:t>
      </w:r>
    </w:p>
    <w:p w14:paraId="01BE6DBA" w14:textId="12326DC7" w:rsidR="00B720E0" w:rsidRDefault="00B720E0" w:rsidP="0040126B">
      <w:pPr>
        <w:pStyle w:val="BodyText"/>
      </w:pPr>
      <w:r>
        <w:t xml:space="preserve">Santa Ana Water Board. 2002b. </w:t>
      </w:r>
      <w:r w:rsidRPr="00B720E0">
        <w:rPr>
          <w:i/>
          <w:iCs/>
        </w:rPr>
        <w:t>Waste Discharge Requirements for the Riverside County Flood Control and Water Conservation District, the County of Riverside, and the Incorporated Cities of Riverside County within the Santa Ana Region Areawide Urban Runoff</w:t>
      </w:r>
      <w:r>
        <w:t>. Order No. R8-2002-0011. October 25, 2002.</w:t>
      </w:r>
    </w:p>
    <w:p w14:paraId="19CB8E36" w14:textId="57F60F2C" w:rsidR="00AE7A21" w:rsidRDefault="00AE7A21" w:rsidP="0040126B">
      <w:pPr>
        <w:pStyle w:val="BodyText"/>
      </w:pPr>
      <w:r>
        <w:t xml:space="preserve">Santa Ana Water Board. 2005a. </w:t>
      </w:r>
      <w:r w:rsidRPr="00AE7A21">
        <w:rPr>
          <w:i/>
          <w:iCs/>
        </w:rPr>
        <w:t>Staff Report on Bacterial Indicator Total Maximum Daily Loads in the Middle Santa Ana River Watershed</w:t>
      </w:r>
      <w:r>
        <w:t>. Santa Ana Water Board. February 3, 2005.</w:t>
      </w:r>
    </w:p>
    <w:p w14:paraId="6BF590BA" w14:textId="2F595057" w:rsidR="003A30AF" w:rsidRDefault="003A30AF" w:rsidP="0040126B">
      <w:pPr>
        <w:pStyle w:val="BodyText"/>
      </w:pPr>
      <w:r>
        <w:t>Santa Ana Water Board. 2005</w:t>
      </w:r>
      <w:r w:rsidR="00AE7A21">
        <w:t>b</w:t>
      </w:r>
      <w:r>
        <w:t xml:space="preserve">. </w:t>
      </w:r>
      <w:r w:rsidRPr="003A30AF">
        <w:rPr>
          <w:i/>
          <w:iCs/>
        </w:rPr>
        <w:t xml:space="preserve">Resolution Amending the Water Quality Control Plan for the Santa Ana River Basin to Incorporate Bacterial Indicator Total Maximum Daily Loads (TMDLs) for Middle Santa Ana </w:t>
      </w:r>
      <w:proofErr w:type="gramStart"/>
      <w:r w:rsidRPr="003A30AF">
        <w:rPr>
          <w:i/>
          <w:iCs/>
        </w:rPr>
        <w:t>River Watershed</w:t>
      </w:r>
      <w:proofErr w:type="gramEnd"/>
      <w:r w:rsidRPr="003A30AF">
        <w:rPr>
          <w:i/>
          <w:iCs/>
        </w:rPr>
        <w:t xml:space="preserve"> Waterbodies</w:t>
      </w:r>
      <w:r>
        <w:t>. Santa Ana Water Board Resolution R8-2005</w:t>
      </w:r>
      <w:r w:rsidRPr="00B720E0">
        <w:t>-0001.</w:t>
      </w:r>
      <w:r w:rsidR="00B720E0" w:rsidRPr="00B720E0">
        <w:t xml:space="preserve"> August 26, 2005.</w:t>
      </w:r>
    </w:p>
    <w:p w14:paraId="106BEEF4" w14:textId="62B89674" w:rsidR="004D3589" w:rsidRDefault="004D3589" w:rsidP="0040126B">
      <w:pPr>
        <w:pStyle w:val="BodyText"/>
      </w:pPr>
      <w:r>
        <w:t>Santa Ana Water Board. 2007.</w:t>
      </w:r>
      <w:r w:rsidR="00EC0FB6">
        <w:t xml:space="preserve"> </w:t>
      </w:r>
      <w:r w:rsidR="00EC0FB6" w:rsidRPr="00EC0FB6">
        <w:rPr>
          <w:i/>
          <w:iCs/>
        </w:rPr>
        <w:t xml:space="preserve">General Waste Discharge Requirements for Concentrated Animal Feeding Operations (Dairies and Related Facilities) within the Santa Ana Region, Order No. R8-2007-0001, NPDES No. CAG018001. </w:t>
      </w:r>
      <w:r w:rsidR="00EC0FB6">
        <w:t>Santa Ana Water Board. September 7, 2007.</w:t>
      </w:r>
    </w:p>
    <w:p w14:paraId="532929BA" w14:textId="7D856EFF" w:rsidR="00BD7901" w:rsidRDefault="00BD7901" w:rsidP="0040126B">
      <w:pPr>
        <w:pStyle w:val="BodyText"/>
      </w:pPr>
      <w:r>
        <w:t xml:space="preserve">Santa Ana Water Board. 2008. </w:t>
      </w:r>
      <w:r w:rsidRPr="00BD7901">
        <w:rPr>
          <w:i/>
          <w:iCs/>
        </w:rPr>
        <w:t xml:space="preserve">Resolution Approving Plans and Schedules Submitted by the Middle Santa Ana River Watershed TMDL Task Force Pursuant to the Middle Santa Ana River Watershed Bacterial Indicator Total Maximum Daily Loads Specified in the Water </w:t>
      </w:r>
      <w:r w:rsidRPr="00BD7901">
        <w:rPr>
          <w:i/>
          <w:iCs/>
        </w:rPr>
        <w:lastRenderedPageBreak/>
        <w:t>Quality Control Plan for the Santa Ana River Basin.</w:t>
      </w:r>
      <w:r>
        <w:t xml:space="preserve"> </w:t>
      </w:r>
      <w:r w:rsidRPr="00B56110">
        <w:t>Santa Water Board Resolution R8-20</w:t>
      </w:r>
      <w:r>
        <w:t>08</w:t>
      </w:r>
      <w:r w:rsidRPr="00B56110">
        <w:t>-00</w:t>
      </w:r>
      <w:r>
        <w:t>44</w:t>
      </w:r>
      <w:r w:rsidRPr="00B56110">
        <w:t>.</w:t>
      </w:r>
      <w:r>
        <w:rPr>
          <w:i/>
          <w:iCs/>
        </w:rPr>
        <w:t xml:space="preserve"> </w:t>
      </w:r>
      <w:r>
        <w:t>April 18, 2008.</w:t>
      </w:r>
    </w:p>
    <w:p w14:paraId="0B630D57" w14:textId="6112E8A6" w:rsidR="00B56110" w:rsidRPr="00B56110" w:rsidRDefault="00B56110" w:rsidP="0040126B">
      <w:pPr>
        <w:pStyle w:val="BodyText"/>
      </w:pPr>
      <w:r>
        <w:t xml:space="preserve">Santa Ana Water Board. 2010a. </w:t>
      </w:r>
      <w:r w:rsidRPr="00B56110">
        <w:rPr>
          <w:i/>
          <w:iCs/>
        </w:rPr>
        <w:t>National Pollutant Discharge Elimination System (NPDES) Permit and Waste Discharge Requirements for the</w:t>
      </w:r>
      <w:r>
        <w:t xml:space="preserve"> </w:t>
      </w:r>
      <w:r w:rsidRPr="00B720E0">
        <w:rPr>
          <w:i/>
          <w:iCs/>
        </w:rPr>
        <w:t>Riverside County Flood Control and Water Conservation District, the County of Riverside, and the Incorporated Cities of Riverside County within the Santa Ana Region Area</w:t>
      </w:r>
      <w:r>
        <w:rPr>
          <w:i/>
          <w:iCs/>
        </w:rPr>
        <w:t>-W</w:t>
      </w:r>
      <w:r w:rsidRPr="00B720E0">
        <w:rPr>
          <w:i/>
          <w:iCs/>
        </w:rPr>
        <w:t>ide</w:t>
      </w:r>
      <w:r>
        <w:rPr>
          <w:i/>
          <w:iCs/>
        </w:rPr>
        <w:t xml:space="preserve"> Urban Runoff Management Program. </w:t>
      </w:r>
      <w:r w:rsidRPr="00B56110">
        <w:t>Santa Water Board Resolution R8-2010-0033.</w:t>
      </w:r>
      <w:r>
        <w:rPr>
          <w:i/>
          <w:iCs/>
        </w:rPr>
        <w:t xml:space="preserve"> </w:t>
      </w:r>
      <w:r>
        <w:t>January 29, 2010.</w:t>
      </w:r>
    </w:p>
    <w:p w14:paraId="364A7262" w14:textId="5F11268A" w:rsidR="00B56110" w:rsidRPr="00B56110" w:rsidRDefault="00B56110" w:rsidP="00B56110">
      <w:pPr>
        <w:pStyle w:val="BodyText"/>
      </w:pPr>
      <w:r>
        <w:t xml:space="preserve">Santa Ana Water Board. 2010b. </w:t>
      </w:r>
      <w:r w:rsidRPr="00B56110">
        <w:rPr>
          <w:i/>
          <w:iCs/>
        </w:rPr>
        <w:t>National Pollutant Discharge Elimination System (NPDES) Permit and Waste Discharge Requirements for the</w:t>
      </w:r>
      <w:r>
        <w:t xml:space="preserve"> </w:t>
      </w:r>
      <w:r>
        <w:rPr>
          <w:i/>
          <w:iCs/>
        </w:rPr>
        <w:t xml:space="preserve">San Bernardino County Flood Control District, the County of San Bernardino, and the Incorporated Cities of San Bernardino County </w:t>
      </w:r>
      <w:r w:rsidRPr="00B720E0">
        <w:rPr>
          <w:i/>
          <w:iCs/>
        </w:rPr>
        <w:t>within the Santa Ana Region Area</w:t>
      </w:r>
      <w:r>
        <w:rPr>
          <w:i/>
          <w:iCs/>
        </w:rPr>
        <w:t>-W</w:t>
      </w:r>
      <w:r w:rsidRPr="00B720E0">
        <w:rPr>
          <w:i/>
          <w:iCs/>
        </w:rPr>
        <w:t xml:space="preserve">ide Urban </w:t>
      </w:r>
      <w:r>
        <w:rPr>
          <w:i/>
          <w:iCs/>
        </w:rPr>
        <w:t xml:space="preserve">Storm Water Runoff Management Program. </w:t>
      </w:r>
      <w:r w:rsidRPr="00B56110">
        <w:t>Santa Water Board Resolution R8-2010-003</w:t>
      </w:r>
      <w:r>
        <w:t>6</w:t>
      </w:r>
      <w:r w:rsidRPr="00B56110">
        <w:t>.</w:t>
      </w:r>
      <w:r>
        <w:rPr>
          <w:i/>
          <w:iCs/>
        </w:rPr>
        <w:t xml:space="preserve"> </w:t>
      </w:r>
      <w:r>
        <w:t>January 29, 2010.</w:t>
      </w:r>
    </w:p>
    <w:p w14:paraId="12EEF169" w14:textId="4FDCEDB6" w:rsidR="00B56110" w:rsidRDefault="00B56110" w:rsidP="0040126B">
      <w:pPr>
        <w:pStyle w:val="BodyText"/>
      </w:pPr>
      <w:r>
        <w:t xml:space="preserve">Santa Ana Water Board. 2012a. </w:t>
      </w:r>
      <w:r w:rsidRPr="00B56110">
        <w:rPr>
          <w:i/>
          <w:iCs/>
        </w:rPr>
        <w:t>Resolution Approving the Dry Weather Comprehensive Bacteria Reduction Plan Submitted Pursuant to the National Pollutant Discharge Elimination System (NPDES) Permit and Waste Discharge Requirements for the Riverside County Flood Control and Water Conservation District, the County of Riverside, and the Incorporated Cities of Riverside County within the Santa Ana Region, Order No. R8-2010-0033, NPDES No. CAS618033</w:t>
      </w:r>
      <w:r>
        <w:t>. Santa Ana Water Board Resolution R8-2012-0015. February 10, 2012.</w:t>
      </w:r>
    </w:p>
    <w:p w14:paraId="74432B31" w14:textId="3218ED47" w:rsidR="00B56110" w:rsidRDefault="00B56110" w:rsidP="00B56110">
      <w:pPr>
        <w:pStyle w:val="BodyText"/>
      </w:pPr>
      <w:r>
        <w:t xml:space="preserve">Santa Ana Water Board. 2012b. </w:t>
      </w:r>
      <w:r w:rsidRPr="00F56046">
        <w:rPr>
          <w:i/>
          <w:iCs/>
        </w:rPr>
        <w:t xml:space="preserve">Resolution Approving the Dry Weather Comprehensive Bacteria Reduction Plan Submitted Pursuant to the National Pollutant Discharge Elimination System (NPDES) Permit and Waste Discharge Requirements for the </w:t>
      </w:r>
      <w:r w:rsidR="00F56046" w:rsidRPr="00F56046">
        <w:rPr>
          <w:i/>
          <w:iCs/>
        </w:rPr>
        <w:t>San Bernardino County Flood Control District, the County of San Bernardino, and the Incorporated Cities of San Bernardino County within the Santa Ana Region, Order No. R8-2010-0036, NPDES No. CAS618036</w:t>
      </w:r>
      <w:r>
        <w:t>. Santa Ana Water Board Resolution R8-2012-001</w:t>
      </w:r>
      <w:r w:rsidR="00F56046">
        <w:t>6</w:t>
      </w:r>
      <w:r>
        <w:t>. February 10, 2012.</w:t>
      </w:r>
    </w:p>
    <w:p w14:paraId="52679437" w14:textId="33983C77" w:rsidR="00DE7942" w:rsidRDefault="00DE7942" w:rsidP="0040126B">
      <w:pPr>
        <w:pStyle w:val="BodyText"/>
      </w:pPr>
      <w:r w:rsidRPr="00B720E0">
        <w:t>Santa Ana Water Board. 2012</w:t>
      </w:r>
      <w:r w:rsidR="00F56046">
        <w:t>c</w:t>
      </w:r>
      <w:r w:rsidRPr="00B720E0">
        <w:t xml:space="preserve">. </w:t>
      </w:r>
      <w:r w:rsidRPr="00B720E0">
        <w:rPr>
          <w:i/>
          <w:iCs/>
        </w:rPr>
        <w:t>Resolution Approving Amendments to the Basin Plan Pertaining to Bacteria Quality Objectives and Implementation Strategies, Recreation Beneficial Uses, the Addition and Deletion of Certain Waters Listed in the Basin Plan and Designation of Appropriate Beneficial Uses, and Other Minor Modifications</w:t>
      </w:r>
      <w:r w:rsidRPr="00B720E0">
        <w:t xml:space="preserve">. Santa Ana Water Board Resolution R8-2012-0001. </w:t>
      </w:r>
      <w:r w:rsidR="00B720E0" w:rsidRPr="00B720E0">
        <w:t>June 15, 2012.</w:t>
      </w:r>
    </w:p>
    <w:p w14:paraId="66942E91" w14:textId="4ABA37D5" w:rsidR="00EC0FB6" w:rsidRDefault="00EC0FB6" w:rsidP="00EC0FB6">
      <w:pPr>
        <w:pStyle w:val="BodyText"/>
      </w:pPr>
      <w:bookmarkStart w:id="187" w:name="_Hlk120882886"/>
      <w:r>
        <w:t xml:space="preserve">Santa Ana Water Board. 2013. </w:t>
      </w:r>
      <w:r w:rsidRPr="00EC0FB6">
        <w:rPr>
          <w:i/>
          <w:iCs/>
        </w:rPr>
        <w:t>General Waste Discharge Requirements for Concentrated Animal Feeding Operations (Dairies and Related Facilities) within the Santa Ana Region, Order No. R8-20</w:t>
      </w:r>
      <w:r>
        <w:rPr>
          <w:i/>
          <w:iCs/>
        </w:rPr>
        <w:t>13</w:t>
      </w:r>
      <w:r w:rsidRPr="00EC0FB6">
        <w:rPr>
          <w:i/>
          <w:iCs/>
        </w:rPr>
        <w:t xml:space="preserve">-0001, NPDES No. CAG018001. </w:t>
      </w:r>
      <w:r>
        <w:t>Santa Ana Water Board. June 7, 2013.</w:t>
      </w:r>
    </w:p>
    <w:bookmarkEnd w:id="187"/>
    <w:p w14:paraId="6CBDF614" w14:textId="051A1862" w:rsidR="00F56046" w:rsidRDefault="00F56046" w:rsidP="0040126B">
      <w:pPr>
        <w:pStyle w:val="BodyText"/>
      </w:pPr>
      <w:r>
        <w:t xml:space="preserve">Santa Ana Water Board. 2014a. </w:t>
      </w:r>
      <w:r w:rsidRPr="00F56046">
        <w:rPr>
          <w:i/>
          <w:iCs/>
        </w:rPr>
        <w:t xml:space="preserve">Resolution Approving the Dry Weather Comprehensive Bacteria Reduction Plan Submitted Pursuant to the National Pollutant Discharge Elimination System (NPDES) Permit and Waste Discharge Requirements for the City of </w:t>
      </w:r>
      <w:r w:rsidRPr="00F56046">
        <w:rPr>
          <w:i/>
          <w:iCs/>
        </w:rPr>
        <w:lastRenderedPageBreak/>
        <w:t xml:space="preserve">Claremont, Order No. </w:t>
      </w:r>
      <w:r w:rsidRPr="00FF18AF">
        <w:rPr>
          <w:i/>
          <w:iCs/>
          <w:lang w:val="pt-BR"/>
        </w:rPr>
        <w:t>R8-2013-0043, NPDES No. CA8000410</w:t>
      </w:r>
      <w:r w:rsidRPr="00FF18AF">
        <w:rPr>
          <w:lang w:val="pt-BR"/>
        </w:rPr>
        <w:t xml:space="preserve">. Santa Ana </w:t>
      </w:r>
      <w:proofErr w:type="spellStart"/>
      <w:r w:rsidRPr="00FF18AF">
        <w:rPr>
          <w:lang w:val="pt-BR"/>
        </w:rPr>
        <w:t>Water</w:t>
      </w:r>
      <w:proofErr w:type="spellEnd"/>
      <w:r w:rsidRPr="00FF18AF">
        <w:rPr>
          <w:lang w:val="pt-BR"/>
        </w:rPr>
        <w:t xml:space="preserve"> Board </w:t>
      </w:r>
      <w:proofErr w:type="spellStart"/>
      <w:r w:rsidRPr="00FF18AF">
        <w:rPr>
          <w:lang w:val="pt-BR"/>
        </w:rPr>
        <w:t>Resolution</w:t>
      </w:r>
      <w:proofErr w:type="spellEnd"/>
      <w:r w:rsidRPr="00FF18AF">
        <w:rPr>
          <w:lang w:val="pt-BR"/>
        </w:rPr>
        <w:t xml:space="preserve"> R8-2014-0030. </w:t>
      </w:r>
      <w:r>
        <w:t>March 14, 2014.</w:t>
      </w:r>
    </w:p>
    <w:p w14:paraId="3450CFC2" w14:textId="4E546C18" w:rsidR="00F56046" w:rsidRDefault="00F56046" w:rsidP="00F56046">
      <w:pPr>
        <w:pStyle w:val="BodyText"/>
      </w:pPr>
      <w:r>
        <w:t xml:space="preserve">Santa Ana Water Board. 2014b. </w:t>
      </w:r>
      <w:r w:rsidRPr="00F56046">
        <w:rPr>
          <w:i/>
          <w:iCs/>
        </w:rPr>
        <w:t xml:space="preserve">Resolution Approving the Dry Weather Comprehensive Bacteria Reduction Plan Submitted Pursuant to the National Pollutant Discharge Elimination System (NPDES) Permit and Waste Discharge Requirements for the City of </w:t>
      </w:r>
      <w:r>
        <w:rPr>
          <w:i/>
          <w:iCs/>
        </w:rPr>
        <w:t>Pomona</w:t>
      </w:r>
      <w:r w:rsidRPr="00F56046">
        <w:rPr>
          <w:i/>
          <w:iCs/>
        </w:rPr>
        <w:t xml:space="preserve">, Order No. </w:t>
      </w:r>
      <w:r w:rsidRPr="00FF18AF">
        <w:rPr>
          <w:i/>
          <w:iCs/>
          <w:lang w:val="pt-BR"/>
        </w:rPr>
        <w:t>R8-2013-0043, NPDES No. CA8000410</w:t>
      </w:r>
      <w:r w:rsidRPr="00FF18AF">
        <w:rPr>
          <w:lang w:val="pt-BR"/>
        </w:rPr>
        <w:t xml:space="preserve">. Santa Ana </w:t>
      </w:r>
      <w:proofErr w:type="spellStart"/>
      <w:r w:rsidRPr="00FF18AF">
        <w:rPr>
          <w:lang w:val="pt-BR"/>
        </w:rPr>
        <w:t>Water</w:t>
      </w:r>
      <w:proofErr w:type="spellEnd"/>
      <w:r w:rsidRPr="00FF18AF">
        <w:rPr>
          <w:lang w:val="pt-BR"/>
        </w:rPr>
        <w:t xml:space="preserve"> Board </w:t>
      </w:r>
      <w:proofErr w:type="spellStart"/>
      <w:r w:rsidRPr="00FF18AF">
        <w:rPr>
          <w:lang w:val="pt-BR"/>
        </w:rPr>
        <w:t>Resolution</w:t>
      </w:r>
      <w:proofErr w:type="spellEnd"/>
      <w:r w:rsidRPr="00FF18AF">
        <w:rPr>
          <w:lang w:val="pt-BR"/>
        </w:rPr>
        <w:t xml:space="preserve"> R8-2014-0031. </w:t>
      </w:r>
      <w:r>
        <w:t>March 14, 2014.</w:t>
      </w:r>
    </w:p>
    <w:p w14:paraId="55262B1D" w14:textId="7DC0E6A3" w:rsidR="00F56046" w:rsidRDefault="00BD7901" w:rsidP="0040126B">
      <w:pPr>
        <w:pStyle w:val="BodyText"/>
      </w:pPr>
      <w:r w:rsidRPr="00750C9F">
        <w:t xml:space="preserve">Santa Ana Water Board. 2016. </w:t>
      </w:r>
      <w:r w:rsidRPr="00750C9F">
        <w:rPr>
          <w:i/>
          <w:iCs/>
        </w:rPr>
        <w:t>Resolution Approving the Santa Ana River Watershed Monitoring Program Proposal Submitted Pursuant to the Middle Santa Ana River Watershed Bacterial Indicator Total Maximum Daily Loads and the REC1 Beneficial Use Standard Basin Plan Amendments.</w:t>
      </w:r>
      <w:r w:rsidRPr="00750C9F">
        <w:t xml:space="preserve"> Santa Ana Water Board Resolution R8-2016-0022.</w:t>
      </w:r>
      <w:r w:rsidR="00750C9F" w:rsidRPr="00750C9F">
        <w:t xml:space="preserve"> March 11,</w:t>
      </w:r>
      <w:r w:rsidR="00750C9F">
        <w:t xml:space="preserve"> 2022.</w:t>
      </w:r>
    </w:p>
    <w:p w14:paraId="791B81EC" w14:textId="6DC3D81D" w:rsidR="00EC0FB6" w:rsidRDefault="00EC0FB6" w:rsidP="00EC0FB6">
      <w:pPr>
        <w:pStyle w:val="BodyText"/>
      </w:pPr>
      <w:r>
        <w:t xml:space="preserve">Santa Ana Water Board. 2018. </w:t>
      </w:r>
      <w:r w:rsidRPr="00EC0FB6">
        <w:rPr>
          <w:i/>
          <w:iCs/>
        </w:rPr>
        <w:t>General Waste Discharge Requirements for Concentrated Animal Feeding Operations (Dairies and Related Facilities) within the Santa Ana Region, Order No. R8-20</w:t>
      </w:r>
      <w:r>
        <w:rPr>
          <w:i/>
          <w:iCs/>
        </w:rPr>
        <w:t>18</w:t>
      </w:r>
      <w:r w:rsidRPr="00EC0FB6">
        <w:rPr>
          <w:i/>
          <w:iCs/>
        </w:rPr>
        <w:t xml:space="preserve">-0001, NPDES No. CAG018001. </w:t>
      </w:r>
      <w:r>
        <w:t>Santa Ana Water Board. December 7, 2018.</w:t>
      </w:r>
    </w:p>
    <w:p w14:paraId="71B4D43E" w14:textId="7C74AED3" w:rsidR="0047512E" w:rsidRDefault="0047512E" w:rsidP="0047512E">
      <w:pPr>
        <w:pStyle w:val="BodyText"/>
      </w:pPr>
      <w:r>
        <w:t>Santa Ana Water Board. 20</w:t>
      </w:r>
      <w:r w:rsidR="002D05EB">
        <w:t>25</w:t>
      </w:r>
      <w:r>
        <w:t xml:space="preserve">. </w:t>
      </w:r>
      <w:r w:rsidRPr="0047512E">
        <w:rPr>
          <w:i/>
          <w:iCs/>
        </w:rPr>
        <w:t>Water Quality Control Plan for Santa Ana River Region. Santa Ana Water Board</w:t>
      </w:r>
      <w:r>
        <w:t xml:space="preserve">. </w:t>
      </w:r>
      <w:r w:rsidR="002D05EB">
        <w:t>October 2025</w:t>
      </w:r>
      <w:r>
        <w:t xml:space="preserve"> (as amended).</w:t>
      </w:r>
    </w:p>
    <w:p w14:paraId="2012A20E" w14:textId="2D506344" w:rsidR="00AF3A60" w:rsidRDefault="00AF3A60" w:rsidP="00AF3A60">
      <w:pPr>
        <w:pStyle w:val="BodyText"/>
      </w:pPr>
      <w:r>
        <w:t>Santa Ana Watershed Project Authority (</w:t>
      </w:r>
      <w:r w:rsidRPr="000C5342">
        <w:t>SAWPA</w:t>
      </w:r>
      <w:r>
        <w:t>)</w:t>
      </w:r>
      <w:r w:rsidRPr="000C5342">
        <w:t>. 200</w:t>
      </w:r>
      <w:r>
        <w:t>7a</w:t>
      </w:r>
      <w:r w:rsidRPr="000C5342">
        <w:t xml:space="preserve">. </w:t>
      </w:r>
      <w:r w:rsidRPr="00AF3A60">
        <w:rPr>
          <w:i/>
          <w:iCs/>
        </w:rPr>
        <w:t>Middle Santa Ana River Bacterial Indicator TMDL Urban Source Evaluation Plan</w:t>
      </w:r>
      <w:r w:rsidRPr="000C5342">
        <w:t xml:space="preserve">. Prepared by CDM on behalf of SAWPA and the MSAR Task Force. </w:t>
      </w:r>
      <w:r>
        <w:t>November 28, 2007</w:t>
      </w:r>
      <w:r w:rsidRPr="000C5342">
        <w:t>.</w:t>
      </w:r>
    </w:p>
    <w:p w14:paraId="52F775BF" w14:textId="1729E251" w:rsidR="00AF3A60" w:rsidRDefault="00AF3A60" w:rsidP="00AF3A60">
      <w:pPr>
        <w:pStyle w:val="BodyText"/>
      </w:pPr>
      <w:r>
        <w:t xml:space="preserve">SAWPA. 2007b. </w:t>
      </w:r>
      <w:r w:rsidRPr="00AF3A60">
        <w:rPr>
          <w:i/>
          <w:iCs/>
        </w:rPr>
        <w:t>Middle Santa Ana River Bacterial Indicator TMDL Agricultural Source Evaluation Plan</w:t>
      </w:r>
      <w:r>
        <w:t>. Prepared by CDM Smith on behalf of SAWPA, Milk Producers Council, and Chino Basin Watermaster Agricultural Pool. November 28, 2007.</w:t>
      </w:r>
    </w:p>
    <w:p w14:paraId="43A2011D" w14:textId="0D46BE89" w:rsidR="003A30AF" w:rsidRDefault="003A30AF" w:rsidP="0040126B">
      <w:pPr>
        <w:pStyle w:val="BodyText"/>
      </w:pPr>
      <w:r>
        <w:t xml:space="preserve">SAWPA. 2008. </w:t>
      </w:r>
      <w:r w:rsidRPr="003A30AF">
        <w:rPr>
          <w:i/>
          <w:iCs/>
        </w:rPr>
        <w:t>Middle Santa Ana River Water Quality Monitoring Plan</w:t>
      </w:r>
      <w:r>
        <w:t xml:space="preserve">. Prepared by CDM on behalf of SAWPA and the MSAR Task Force. April 2008. </w:t>
      </w:r>
    </w:p>
    <w:p w14:paraId="0BCCFA92" w14:textId="5433E42F" w:rsidR="003A30AF" w:rsidRDefault="003A30AF" w:rsidP="0040126B">
      <w:pPr>
        <w:pStyle w:val="BodyText"/>
      </w:pPr>
      <w:r>
        <w:t xml:space="preserve">SAWPA. 2009. </w:t>
      </w:r>
      <w:r w:rsidRPr="003A30AF">
        <w:rPr>
          <w:i/>
          <w:iCs/>
        </w:rPr>
        <w:t>Middle Santa Ana River Bacterial Indicator TMDL Data Analysis Report</w:t>
      </w:r>
      <w:r>
        <w:t>. Prepared by CDM on behalf of SAWPA and the MSAR Task Force. March 2009.</w:t>
      </w:r>
    </w:p>
    <w:p w14:paraId="6BEE1856" w14:textId="7B9DDFFD" w:rsidR="00FD1F05" w:rsidRDefault="00FD1F05" w:rsidP="0040126B">
      <w:pPr>
        <w:pStyle w:val="BodyText"/>
      </w:pPr>
      <w:r>
        <w:t xml:space="preserve">SAWPA. 2010a. </w:t>
      </w:r>
      <w:r w:rsidRPr="00FD1F05">
        <w:rPr>
          <w:i/>
          <w:iCs/>
        </w:rPr>
        <w:t>Middle Santa Ana River Watershed Bacterial Indicator TMDL: Triennial Report</w:t>
      </w:r>
      <w:r>
        <w:t xml:space="preserve">. Prepared by CDM on behalf of SAWPA and the MSAR Task Force. February 15, 2010. </w:t>
      </w:r>
    </w:p>
    <w:p w14:paraId="36033711" w14:textId="51AE6EFC" w:rsidR="00FD1F05" w:rsidRDefault="00FD1F05" w:rsidP="0040126B">
      <w:pPr>
        <w:pStyle w:val="BodyText"/>
      </w:pPr>
      <w:r>
        <w:t xml:space="preserve">SAWPA. 2010b. </w:t>
      </w:r>
      <w:r w:rsidRPr="00FD1F05">
        <w:rPr>
          <w:i/>
          <w:iCs/>
        </w:rPr>
        <w:t>Final Technical Memorandum - Dry Weather Runoff Controllability Assessment for Lower Deer Creek Subwatershed (Chris Basin) Special Study</w:t>
      </w:r>
      <w:r>
        <w:t xml:space="preserve">. Prepared by CDM on behalf of SAWPA and the MSAR Task Force. September 30, 2010. </w:t>
      </w:r>
    </w:p>
    <w:p w14:paraId="751C3A90" w14:textId="73F67BC5" w:rsidR="00FD1F05" w:rsidRDefault="00FD1F05" w:rsidP="0040126B">
      <w:pPr>
        <w:pStyle w:val="BodyText"/>
      </w:pPr>
      <w:r>
        <w:lastRenderedPageBreak/>
        <w:t xml:space="preserve">SAWPA. 2013. </w:t>
      </w:r>
      <w:r w:rsidRPr="00FD1F05">
        <w:rPr>
          <w:i/>
          <w:iCs/>
        </w:rPr>
        <w:t>Middle Santa Ana River Bacterial Indicator TMDL Implementation Report.</w:t>
      </w:r>
      <w:r>
        <w:t xml:space="preserve"> Prepared by CDM Smith on behalf of SAWPA and the MSAR Task Force. February 2013. </w:t>
      </w:r>
    </w:p>
    <w:p w14:paraId="08C56AB0" w14:textId="47345A47" w:rsidR="00FD1F05" w:rsidRDefault="00FD1F05" w:rsidP="0040126B">
      <w:pPr>
        <w:pStyle w:val="BodyText"/>
      </w:pPr>
      <w:r>
        <w:t xml:space="preserve">SAWPA. 2017. </w:t>
      </w:r>
      <w:r w:rsidRPr="00FD1F05">
        <w:rPr>
          <w:i/>
          <w:iCs/>
        </w:rPr>
        <w:t>Middle Santa Ana River Bacterial Indicator TMDL Implementation Final Report.</w:t>
      </w:r>
      <w:r>
        <w:t xml:space="preserve"> Prepared by CDM Smith on behalf of SAWPA and the MSAR Task Force. June 2017. </w:t>
      </w:r>
    </w:p>
    <w:p w14:paraId="7F03A26D" w14:textId="673188CF" w:rsidR="00FD1F05" w:rsidRDefault="00FD1F05" w:rsidP="0040126B">
      <w:pPr>
        <w:pStyle w:val="BodyText"/>
      </w:pPr>
      <w:r>
        <w:t xml:space="preserve">SAWPA. 2018. </w:t>
      </w:r>
      <w:r w:rsidRPr="00FD1F05">
        <w:rPr>
          <w:i/>
          <w:iCs/>
        </w:rPr>
        <w:t xml:space="preserve">Technical Memorandum: Tier 2 Arlington Area Bacteria and Flow Source Investigation. </w:t>
      </w:r>
      <w:r>
        <w:t xml:space="preserve">Prepared by AMEC Foster Wheeler on behalf of SAWPA and the MSAR Task Force. January 2018. </w:t>
      </w:r>
    </w:p>
    <w:p w14:paraId="40A470F5" w14:textId="4ADE592A" w:rsidR="000C5342" w:rsidRPr="000C5342" w:rsidRDefault="00B42495" w:rsidP="0040126B">
      <w:pPr>
        <w:pStyle w:val="BodyText"/>
      </w:pPr>
      <w:r w:rsidRPr="000C5342">
        <w:t xml:space="preserve">SAWPA. 2020a. </w:t>
      </w:r>
      <w:r w:rsidRPr="000C5342">
        <w:rPr>
          <w:i/>
          <w:iCs/>
        </w:rPr>
        <w:t xml:space="preserve">Middle Santa Ana River Bacteria Synoptic Study and TMDL Triennial Report. </w:t>
      </w:r>
      <w:r w:rsidRPr="000C5342">
        <w:t xml:space="preserve">Report prepared by GEI Consultants, CDM Smith and Essential Environmental and Engineering Systems on behalf of the </w:t>
      </w:r>
      <w:r w:rsidR="000C5342" w:rsidRPr="000C5342">
        <w:t>MSAR</w:t>
      </w:r>
      <w:r w:rsidRPr="000C5342">
        <w:t xml:space="preserve"> Task Force. February 2020. </w:t>
      </w:r>
    </w:p>
    <w:p w14:paraId="693C9631" w14:textId="77983AB2" w:rsidR="00B42495" w:rsidRDefault="00B42495" w:rsidP="0040126B">
      <w:pPr>
        <w:pStyle w:val="BodyText"/>
      </w:pPr>
      <w:r w:rsidRPr="000C5342">
        <w:t>SAWPA. 2020b.</w:t>
      </w:r>
      <w:r>
        <w:t xml:space="preserve"> </w:t>
      </w:r>
      <w:r w:rsidRPr="000C5342">
        <w:rPr>
          <w:i/>
          <w:iCs/>
        </w:rPr>
        <w:t>Assessment of Water Quality Monitoring and Habitat Impacts of Homelessness in the Upper Santa Ana River Watershed Report</w:t>
      </w:r>
      <w:r>
        <w:t>. Report prepared by GEI Consultants and CWE on behalf of SAWPA. September 2020.</w:t>
      </w:r>
    </w:p>
    <w:p w14:paraId="0151B418" w14:textId="66C50D92" w:rsidR="00C60CBB" w:rsidRDefault="00C60CBB" w:rsidP="0040126B">
      <w:pPr>
        <w:pStyle w:val="BodyText"/>
      </w:pPr>
      <w:r>
        <w:t xml:space="preserve">SAWPA. 2022a. </w:t>
      </w:r>
      <w:r w:rsidRPr="00C60CBB">
        <w:rPr>
          <w:i/>
          <w:iCs/>
        </w:rPr>
        <w:t>Santa Ana River Watershed Bacteria Monitoring Program: Monitoring Plan, Version 3.0</w:t>
      </w:r>
      <w:r>
        <w:t>. Prepared by CDM Smith and CWE on behalf of the SAWPA Regional Water Quality Monitoring Task Force. May 2022.</w:t>
      </w:r>
    </w:p>
    <w:p w14:paraId="00C3303E" w14:textId="053E0CEB" w:rsidR="00C60CBB" w:rsidRDefault="00C60CBB" w:rsidP="00C60CBB">
      <w:pPr>
        <w:pStyle w:val="BodyText"/>
      </w:pPr>
      <w:r>
        <w:t xml:space="preserve">SAWPA. 2022b. </w:t>
      </w:r>
      <w:r w:rsidRPr="00C60CBB">
        <w:rPr>
          <w:i/>
          <w:iCs/>
        </w:rPr>
        <w:t>Santa Ana River Watershed Bacteria Monitoring Program: QAPP, Version 3.0.</w:t>
      </w:r>
      <w:r>
        <w:t xml:space="preserve"> Prepared by CDM Smith and CWE on behalf of the SAWPA Regional Water Quality Monitoring Task Force. May 2022.</w:t>
      </w:r>
    </w:p>
    <w:p w14:paraId="1111746F" w14:textId="54D71456" w:rsidR="00EB0745" w:rsidRDefault="00EB0745" w:rsidP="00C60CBB">
      <w:pPr>
        <w:pStyle w:val="BodyText"/>
      </w:pPr>
      <w:r w:rsidRPr="000C5342">
        <w:t>SAWPA. 202</w:t>
      </w:r>
      <w:r>
        <w:t>3</w:t>
      </w:r>
      <w:r w:rsidRPr="000C5342">
        <w:t xml:space="preserve">. </w:t>
      </w:r>
      <w:r w:rsidRPr="000C5342">
        <w:rPr>
          <w:i/>
          <w:iCs/>
        </w:rPr>
        <w:t xml:space="preserve">Middle Santa Ana River Bacteria Synoptic Study and TMDL Triennial Report. </w:t>
      </w:r>
      <w:r w:rsidRPr="000C5342">
        <w:t>Report prepared by GEI Consultants</w:t>
      </w:r>
      <w:r>
        <w:t xml:space="preserve"> and </w:t>
      </w:r>
      <w:r w:rsidRPr="000C5342">
        <w:t>CDM Smith on behalf of the MSAR Task Force. February 202</w:t>
      </w:r>
      <w:r>
        <w:t>3</w:t>
      </w:r>
      <w:r w:rsidRPr="000C5342">
        <w:t xml:space="preserve">. </w:t>
      </w:r>
    </w:p>
    <w:p w14:paraId="4A512589" w14:textId="132F6ABE" w:rsidR="0014321E" w:rsidRDefault="0014321E" w:rsidP="0040126B">
      <w:pPr>
        <w:pStyle w:val="BodyText"/>
      </w:pPr>
      <w:r>
        <w:t xml:space="preserve">State Water Resources Control Board (State Water Board). 2006. </w:t>
      </w:r>
      <w:r w:rsidR="001A50F7" w:rsidRPr="001A50F7">
        <w:rPr>
          <w:i/>
          <w:iCs/>
        </w:rPr>
        <w:t>Approving an Amendment to the Water Quality Control Plan for the Santa Ana Region (Basin Plan) to Incorporate a Total Maximum Daily Load for Bacterial Indicators for Middle Santa Ana River Watershed Water Bodies.</w:t>
      </w:r>
      <w:r w:rsidR="001A50F7">
        <w:t xml:space="preserve"> State Water Board Resolution 2006-0030. May 15, 2006.</w:t>
      </w:r>
    </w:p>
    <w:p w14:paraId="339282C1" w14:textId="180F4A9F" w:rsidR="0014321E" w:rsidRDefault="0014321E" w:rsidP="0040126B">
      <w:pPr>
        <w:pStyle w:val="BodyText"/>
      </w:pPr>
      <w:r>
        <w:t>State Water Board. 2014.</w:t>
      </w:r>
      <w:r w:rsidR="0044557F">
        <w:t xml:space="preserve"> Amend the Water Quality Control Plan for the Santa Ana River Basin to Revise Recreational Standards for Inland Fresh Surface Waters in the Santa Ana Region. State Water Board Resolution 2014-0005. January 21, 2014.</w:t>
      </w:r>
    </w:p>
    <w:p w14:paraId="08437127" w14:textId="23361099" w:rsidR="0014321E" w:rsidRDefault="0014321E" w:rsidP="0040126B">
      <w:pPr>
        <w:pStyle w:val="BodyText"/>
      </w:pPr>
      <w:r>
        <w:t xml:space="preserve">State Water Board. 2017. </w:t>
      </w:r>
      <w:r w:rsidR="00CD1C6A" w:rsidRPr="00CD1C6A">
        <w:rPr>
          <w:i/>
          <w:iCs/>
        </w:rPr>
        <w:t>National Pollutant Discharge Elimination System (NPDES) General Permit for Waste Discharge Requirements (WDRs) for Storm Water Discharges from Small Municipal Separate Storm Sewer Systems (MS4s).</w:t>
      </w:r>
      <w:r w:rsidR="00CD1C6A">
        <w:t xml:space="preserve"> State Water Board Water Quality Order 2017-XXXX-DWQ, amending Order 2013-0001-DWQ. December 19, 2017.</w:t>
      </w:r>
    </w:p>
    <w:p w14:paraId="6299F808" w14:textId="3FF982CF" w:rsidR="00F608FD" w:rsidRDefault="00F608FD" w:rsidP="0040126B">
      <w:pPr>
        <w:pStyle w:val="BodyText"/>
      </w:pPr>
      <w:r w:rsidRPr="00F608FD">
        <w:lastRenderedPageBreak/>
        <w:t xml:space="preserve">Steinbacher, S. D., </w:t>
      </w:r>
      <w:proofErr w:type="spellStart"/>
      <w:r w:rsidRPr="00F608FD">
        <w:t>Leifels</w:t>
      </w:r>
      <w:proofErr w:type="spellEnd"/>
      <w:r w:rsidRPr="00F608FD">
        <w:t xml:space="preserve">, M., Kolm, C., Lindner, G., Demeter, K., Kirschner, A. K., ... &amp; </w:t>
      </w:r>
      <w:proofErr w:type="spellStart"/>
      <w:r w:rsidRPr="00F608FD">
        <w:t>Farnleitner</w:t>
      </w:r>
      <w:proofErr w:type="spellEnd"/>
      <w:r w:rsidRPr="00F608FD">
        <w:t xml:space="preserve">, A. H. (2025). Comparative evaluation of decay characteristics of commonly used genetic </w:t>
      </w:r>
      <w:proofErr w:type="spellStart"/>
      <w:r w:rsidRPr="00F608FD">
        <w:t>faecal</w:t>
      </w:r>
      <w:proofErr w:type="spellEnd"/>
      <w:r w:rsidRPr="00F608FD">
        <w:t xml:space="preserve"> markers </w:t>
      </w:r>
      <w:proofErr w:type="spellStart"/>
      <w:r w:rsidRPr="00F608FD">
        <w:t>crAssphage</w:t>
      </w:r>
      <w:proofErr w:type="spellEnd"/>
      <w:r w:rsidRPr="00F608FD">
        <w:t xml:space="preserve"> and Bacteroides in complex river water microcosms. International Journal of Hygiene and Environmental Health, 271, 114713)</w:t>
      </w:r>
    </w:p>
    <w:p w14:paraId="3B48D524" w14:textId="439B76F3" w:rsidR="003D691B" w:rsidRPr="006D4DD3" w:rsidRDefault="003D691B" w:rsidP="00793B1B">
      <w:pPr>
        <w:rPr>
          <w:szCs w:val="24"/>
        </w:rPr>
      </w:pPr>
      <w:bookmarkStart w:id="188" w:name="1.0_Purpose"/>
      <w:bookmarkStart w:id="189" w:name="_bookmark0"/>
      <w:bookmarkEnd w:id="188"/>
      <w:bookmarkEnd w:id="189"/>
      <w:bookmarkEnd w:id="184"/>
      <w:bookmarkEnd w:id="186"/>
    </w:p>
    <w:sectPr w:rsidR="003D691B" w:rsidRPr="006D4DD3" w:rsidSect="00DF3266">
      <w:footerReference w:type="default" r:id="rId71"/>
      <w:pgSz w:w="12240" w:h="15840" w:code="1"/>
      <w:pgMar w:top="1440" w:right="1440" w:bottom="1440" w:left="1800" w:header="720" w:footer="720" w:gutter="0"/>
      <w:pgNumType w:start="1" w:chapStyle="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4" w:author="Wallace, Sierra" w:date="2025-12-21T16:56:00Z" w:initials="SW">
    <w:p w14:paraId="55064910" w14:textId="77777777" w:rsidR="005A0F40" w:rsidRDefault="005A0F40" w:rsidP="005A0F40">
      <w:pPr>
        <w:pStyle w:val="CommentText"/>
      </w:pPr>
      <w:r>
        <w:rPr>
          <w:rStyle w:val="CommentReference"/>
        </w:rPr>
        <w:annotationRef/>
      </w:r>
      <w:r>
        <w:t xml:space="preserve">Question for RCFC&amp;WCD: are you able to provide data from the core program to supplement this section? </w:t>
      </w:r>
    </w:p>
  </w:comment>
  <w:comment w:id="168" w:author="Wallace, Sierra" w:date="2025-12-22T15:51:00Z" w:initials="SW">
    <w:p w14:paraId="3AD6AE11" w14:textId="77777777" w:rsidR="00A47B82" w:rsidRDefault="00A47B82" w:rsidP="00A47B82">
      <w:pPr>
        <w:pStyle w:val="CommentText"/>
      </w:pPr>
      <w:r>
        <w:rPr>
          <w:rStyle w:val="CommentReference"/>
        </w:rPr>
        <w:annotationRef/>
      </w:r>
      <w:r>
        <w:t>Placeholder - Pending communication with Pat Boldt)</w:t>
      </w:r>
    </w:p>
  </w:comment>
  <w:comment w:id="172" w:author="Wolosoff, Steven" w:date="2025-12-15T13:20:00Z" w:initials="SW">
    <w:p w14:paraId="2470AE02" w14:textId="77777777" w:rsidR="002725AD" w:rsidRDefault="00915FD3" w:rsidP="002725AD">
      <w:pPr>
        <w:pStyle w:val="CommentText"/>
      </w:pPr>
      <w:r>
        <w:rPr>
          <w:rStyle w:val="CommentReference"/>
        </w:rPr>
        <w:annotationRef/>
      </w:r>
      <w:r w:rsidR="002725AD">
        <w:t>Placeholder - Pending communication with Pat Boldt)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5064910" w15:done="0"/>
  <w15:commentEx w15:paraId="3AD6AE11" w15:done="0"/>
  <w15:commentEx w15:paraId="2470AE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036285B" w16cex:dateUtc="2025-12-22T00:56:00Z"/>
  <w16cex:commentExtensible w16cex:durableId="517705F7" w16cex:dateUtc="2025-12-22T23:51:00Z"/>
  <w16cex:commentExtensible w16cex:durableId="356CADC8" w16cex:dateUtc="2025-12-15T18: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5064910" w16cid:durableId="6036285B"/>
  <w16cid:commentId w16cid:paraId="3AD6AE11" w16cid:durableId="517705F7"/>
  <w16cid:commentId w16cid:paraId="2470AE02" w16cid:durableId="356CADC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FCFB59" w14:textId="77777777" w:rsidR="00362FEA" w:rsidRDefault="00362FEA">
      <w:r>
        <w:separator/>
      </w:r>
    </w:p>
  </w:endnote>
  <w:endnote w:type="continuationSeparator" w:id="0">
    <w:p w14:paraId="1C500280" w14:textId="77777777" w:rsidR="00362FEA" w:rsidRDefault="00362FEA">
      <w:r>
        <w:continuationSeparator/>
      </w:r>
    </w:p>
  </w:endnote>
  <w:endnote w:type="continuationNotice" w:id="1">
    <w:p w14:paraId="7B4A998F" w14:textId="77777777" w:rsidR="00362FEA" w:rsidRDefault="00362FE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Light">
    <w:altName w:val="Yu Gothic"/>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097CF" w14:textId="67AF53A1" w:rsidR="0005254F" w:rsidRDefault="0005254F" w:rsidP="004B2DE0">
    <w:pPr>
      <w:pStyle w:val="Footer"/>
      <w:pBdr>
        <w:top w:val="single" w:sz="8" w:space="4" w:color="000000"/>
      </w:pBdr>
      <w:tabs>
        <w:tab w:val="clear" w:pos="8640"/>
        <w:tab w:val="right" w:pos="12960"/>
      </w:tabs>
      <w:rPr>
        <w:rStyle w:val="PageNumber"/>
        <w:rFonts w:cs="Arial"/>
        <w:sz w:val="16"/>
        <w:szCs w:val="16"/>
      </w:rPr>
    </w:pPr>
    <w:r>
      <w:rPr>
        <w:rFonts w:cs="Arial"/>
        <w:sz w:val="16"/>
        <w:szCs w:val="16"/>
      </w:rPr>
      <w:t>GEI Consultants</w:t>
    </w:r>
    <w:r w:rsidR="00375DFD">
      <w:rPr>
        <w:rFonts w:cs="Arial"/>
        <w:sz w:val="16"/>
        <w:szCs w:val="16"/>
      </w:rPr>
      <w:t>, EEES</w:t>
    </w:r>
    <w:r>
      <w:rPr>
        <w:rFonts w:cs="Arial"/>
        <w:sz w:val="16"/>
        <w:szCs w:val="16"/>
      </w:rPr>
      <w:tab/>
    </w:r>
    <w:r w:rsidRPr="00E25036">
      <w:rPr>
        <w:rFonts w:cs="Arial"/>
        <w:sz w:val="16"/>
        <w:szCs w:val="16"/>
      </w:rPr>
      <w:fldChar w:fldCharType="begin"/>
    </w:r>
    <w:r w:rsidRPr="00E25036">
      <w:rPr>
        <w:rFonts w:cs="Arial"/>
        <w:sz w:val="16"/>
        <w:szCs w:val="16"/>
      </w:rPr>
      <w:instrText xml:space="preserve"> PAGE   \* MERGEFORMAT </w:instrText>
    </w:r>
    <w:r w:rsidRPr="00E25036">
      <w:rPr>
        <w:rFonts w:cs="Arial"/>
        <w:sz w:val="16"/>
        <w:szCs w:val="16"/>
      </w:rPr>
      <w:fldChar w:fldCharType="separate"/>
    </w:r>
    <w:r w:rsidRPr="00E25036">
      <w:rPr>
        <w:rFonts w:cs="Arial"/>
        <w:noProof/>
        <w:sz w:val="16"/>
        <w:szCs w:val="16"/>
      </w:rPr>
      <w:t>1</w:t>
    </w:r>
    <w:r w:rsidRPr="00E25036">
      <w:rPr>
        <w:rFonts w:cs="Arial"/>
        <w:noProof/>
        <w:sz w:val="16"/>
        <w:szCs w:val="16"/>
      </w:rPr>
      <w:fldChar w:fldCharType="end"/>
    </w:r>
    <w:r>
      <w:rPr>
        <w:rFonts w:cs="Arial"/>
        <w:sz w:val="16"/>
        <w:szCs w:val="16"/>
      </w:rPr>
      <w:tab/>
      <w:t xml:space="preserve">December </w:t>
    </w:r>
    <w:r w:rsidR="00DF3266">
      <w:rPr>
        <w:rFonts w:cs="Arial"/>
        <w:sz w:val="16"/>
        <w:szCs w:val="16"/>
      </w:rPr>
      <w:t>23</w:t>
    </w:r>
    <w:r>
      <w:rPr>
        <w:rFonts w:cs="Arial"/>
        <w:sz w:val="16"/>
        <w:szCs w:val="16"/>
      </w:rPr>
      <w:t>, 202</w:t>
    </w:r>
    <w:r w:rsidR="00423D78">
      <w:rPr>
        <w:rFonts w:cs="Arial"/>
        <w:sz w:val="16"/>
        <w:szCs w:val="16"/>
      </w:rPr>
      <w:t>5</w:t>
    </w:r>
  </w:p>
  <w:p w14:paraId="6AFCBBC2" w14:textId="6627A4F0" w:rsidR="0005254F" w:rsidRPr="00BD7078" w:rsidRDefault="0005254F" w:rsidP="00BD7078">
    <w:pPr>
      <w:tabs>
        <w:tab w:val="right" w:pos="12960"/>
      </w:tabs>
    </w:pPr>
    <w:r>
      <w:rPr>
        <w:rFonts w:ascii="Arial" w:hAnsi="Arial" w:cs="Arial"/>
        <w:sz w:val="16"/>
        <w:szCs w:val="16"/>
      </w:rPr>
      <w:tab/>
      <w:t>MSAR 202</w:t>
    </w:r>
    <w:r w:rsidR="00423D78">
      <w:rPr>
        <w:rFonts w:ascii="Arial" w:hAnsi="Arial" w:cs="Arial"/>
        <w:sz w:val="16"/>
        <w:szCs w:val="16"/>
      </w:rPr>
      <w:t>6</w:t>
    </w:r>
    <w:r>
      <w:rPr>
        <w:rFonts w:ascii="Arial" w:hAnsi="Arial" w:cs="Arial"/>
        <w:sz w:val="16"/>
        <w:szCs w:val="16"/>
      </w:rPr>
      <w:t xml:space="preserve"> Triennial Report</w:t>
    </w:r>
    <w:r w:rsidR="00DF3266">
      <w:rPr>
        <w:rFonts w:ascii="Arial" w:hAnsi="Arial" w:cs="Arial"/>
        <w:sz w:val="16"/>
        <w:szCs w:val="16"/>
      </w:rPr>
      <w:t xml:space="preserve"> </w:t>
    </w:r>
    <w:r w:rsidR="00DF3266" w:rsidRPr="00DF3266">
      <w:rPr>
        <w:rFonts w:ascii="Arial" w:hAnsi="Arial" w:cs="Arial"/>
        <w:color w:val="FF0000"/>
        <w:sz w:val="16"/>
        <w:szCs w:val="16"/>
      </w:rPr>
      <w:t>DRAFT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3CEF7" w14:textId="5C83E3D1" w:rsidR="00E25036" w:rsidRDefault="00235F65" w:rsidP="004B2DE0">
    <w:pPr>
      <w:pStyle w:val="Footer"/>
      <w:pBdr>
        <w:top w:val="single" w:sz="8" w:space="4" w:color="000000"/>
      </w:pBdr>
      <w:tabs>
        <w:tab w:val="clear" w:pos="8640"/>
        <w:tab w:val="right" w:pos="12960"/>
      </w:tabs>
      <w:rPr>
        <w:rStyle w:val="PageNumber"/>
        <w:rFonts w:cs="Arial"/>
        <w:sz w:val="16"/>
        <w:szCs w:val="16"/>
      </w:rPr>
    </w:pPr>
    <w:r>
      <w:rPr>
        <w:rFonts w:cs="Arial"/>
        <w:sz w:val="16"/>
        <w:szCs w:val="16"/>
      </w:rPr>
      <w:t>GEI Consultants</w:t>
    </w:r>
    <w:r w:rsidR="00375DFD">
      <w:rPr>
        <w:rFonts w:cs="Arial"/>
        <w:sz w:val="16"/>
        <w:szCs w:val="16"/>
      </w:rPr>
      <w:t>, EEES</w:t>
    </w:r>
    <w:r w:rsidR="00E25036">
      <w:rPr>
        <w:rFonts w:cs="Arial"/>
        <w:sz w:val="16"/>
        <w:szCs w:val="16"/>
      </w:rPr>
      <w:tab/>
    </w:r>
    <w:r w:rsidR="00E25036" w:rsidRPr="00E25036">
      <w:rPr>
        <w:rFonts w:cs="Arial"/>
        <w:sz w:val="16"/>
        <w:szCs w:val="16"/>
      </w:rPr>
      <w:fldChar w:fldCharType="begin"/>
    </w:r>
    <w:r w:rsidR="00E25036" w:rsidRPr="00E25036">
      <w:rPr>
        <w:rFonts w:cs="Arial"/>
        <w:sz w:val="16"/>
        <w:szCs w:val="16"/>
      </w:rPr>
      <w:instrText xml:space="preserve"> PAGE   \* MERGEFORMAT </w:instrText>
    </w:r>
    <w:r w:rsidR="00E25036" w:rsidRPr="00E25036">
      <w:rPr>
        <w:rFonts w:cs="Arial"/>
        <w:sz w:val="16"/>
        <w:szCs w:val="16"/>
      </w:rPr>
      <w:fldChar w:fldCharType="separate"/>
    </w:r>
    <w:r w:rsidR="00E25036" w:rsidRPr="00E25036">
      <w:rPr>
        <w:rFonts w:cs="Arial"/>
        <w:noProof/>
        <w:sz w:val="16"/>
        <w:szCs w:val="16"/>
      </w:rPr>
      <w:t>1</w:t>
    </w:r>
    <w:r w:rsidR="00E25036" w:rsidRPr="00E25036">
      <w:rPr>
        <w:rFonts w:cs="Arial"/>
        <w:noProof/>
        <w:sz w:val="16"/>
        <w:szCs w:val="16"/>
      </w:rPr>
      <w:fldChar w:fldCharType="end"/>
    </w:r>
    <w:r w:rsidR="00E25036">
      <w:rPr>
        <w:rFonts w:cs="Arial"/>
        <w:sz w:val="16"/>
        <w:szCs w:val="16"/>
      </w:rPr>
      <w:tab/>
    </w:r>
    <w:r>
      <w:rPr>
        <w:rFonts w:cs="Arial"/>
        <w:sz w:val="16"/>
        <w:szCs w:val="16"/>
      </w:rPr>
      <w:t xml:space="preserve">December </w:t>
    </w:r>
    <w:r w:rsidR="009B67B6">
      <w:rPr>
        <w:rFonts w:cs="Arial"/>
        <w:sz w:val="16"/>
        <w:szCs w:val="16"/>
      </w:rPr>
      <w:t>23</w:t>
    </w:r>
    <w:r w:rsidR="00E25036">
      <w:rPr>
        <w:rFonts w:cs="Arial"/>
        <w:sz w:val="16"/>
        <w:szCs w:val="16"/>
      </w:rPr>
      <w:t>, 202</w:t>
    </w:r>
    <w:r w:rsidR="00423D78">
      <w:rPr>
        <w:rFonts w:cs="Arial"/>
        <w:sz w:val="16"/>
        <w:szCs w:val="16"/>
      </w:rPr>
      <w:t>5</w:t>
    </w:r>
  </w:p>
  <w:p w14:paraId="7567C9F8" w14:textId="085D39E2" w:rsidR="00E25036" w:rsidRPr="00BD7078" w:rsidRDefault="00E25036" w:rsidP="00BD7078">
    <w:pPr>
      <w:tabs>
        <w:tab w:val="right" w:pos="12960"/>
      </w:tabs>
    </w:pPr>
    <w:r>
      <w:rPr>
        <w:rFonts w:ascii="Arial" w:hAnsi="Arial" w:cs="Arial"/>
        <w:sz w:val="16"/>
        <w:szCs w:val="16"/>
      </w:rPr>
      <w:tab/>
    </w:r>
    <w:r w:rsidR="00235F65">
      <w:rPr>
        <w:rFonts w:ascii="Arial" w:hAnsi="Arial" w:cs="Arial"/>
        <w:sz w:val="16"/>
        <w:szCs w:val="16"/>
      </w:rPr>
      <w:t>MSAR 202</w:t>
    </w:r>
    <w:r w:rsidR="00423D78">
      <w:rPr>
        <w:rFonts w:ascii="Arial" w:hAnsi="Arial" w:cs="Arial"/>
        <w:sz w:val="16"/>
        <w:szCs w:val="16"/>
      </w:rPr>
      <w:t>6</w:t>
    </w:r>
    <w:r w:rsidR="00235F65">
      <w:rPr>
        <w:rFonts w:ascii="Arial" w:hAnsi="Arial" w:cs="Arial"/>
        <w:sz w:val="16"/>
        <w:szCs w:val="16"/>
      </w:rPr>
      <w:t xml:space="preserve"> Triennial Report</w:t>
    </w:r>
    <w:r w:rsidR="00DF3266">
      <w:rPr>
        <w:rFonts w:ascii="Arial" w:hAnsi="Arial" w:cs="Arial"/>
        <w:sz w:val="16"/>
        <w:szCs w:val="16"/>
      </w:rPr>
      <w:t xml:space="preserve"> </w:t>
    </w:r>
    <w:r w:rsidR="00DF3266" w:rsidRPr="00DF3266">
      <w:rPr>
        <w:rFonts w:ascii="Arial" w:hAnsi="Arial" w:cs="Arial"/>
        <w:color w:val="FF0000"/>
        <w:sz w:val="16"/>
        <w:szCs w:val="16"/>
      </w:rPr>
      <w:t>DRAFT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6C7EA" w14:textId="67127281" w:rsidR="009556BC" w:rsidRDefault="00DD3116"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w:t>
    </w:r>
    <w:r w:rsidR="00375DFD">
      <w:rPr>
        <w:rFonts w:cs="Arial"/>
        <w:sz w:val="16"/>
        <w:szCs w:val="16"/>
      </w:rPr>
      <w:t>, EEES</w:t>
    </w:r>
    <w:r w:rsidR="009556BC">
      <w:rPr>
        <w:rFonts w:cs="Arial"/>
        <w:sz w:val="16"/>
        <w:szCs w:val="16"/>
      </w:rPr>
      <w:tab/>
    </w:r>
    <w:r w:rsidR="009556BC" w:rsidRPr="0002351A">
      <w:rPr>
        <w:rFonts w:cs="Arial"/>
        <w:sz w:val="16"/>
        <w:szCs w:val="16"/>
      </w:rPr>
      <w:fldChar w:fldCharType="begin"/>
    </w:r>
    <w:r w:rsidR="009556BC" w:rsidRPr="0002351A">
      <w:rPr>
        <w:rFonts w:cs="Arial"/>
        <w:sz w:val="16"/>
        <w:szCs w:val="16"/>
      </w:rPr>
      <w:instrText xml:space="preserve"> PAGE  \* Arabic  \* MERGEFORMAT </w:instrText>
    </w:r>
    <w:r w:rsidR="009556BC" w:rsidRPr="0002351A">
      <w:rPr>
        <w:rFonts w:cs="Arial"/>
        <w:sz w:val="16"/>
        <w:szCs w:val="16"/>
      </w:rPr>
      <w:fldChar w:fldCharType="separate"/>
    </w:r>
    <w:r w:rsidR="009556BC">
      <w:rPr>
        <w:rFonts w:cs="Arial"/>
        <w:sz w:val="16"/>
        <w:szCs w:val="16"/>
      </w:rPr>
      <w:t>32</w:t>
    </w:r>
    <w:r w:rsidR="009556BC" w:rsidRPr="0002351A">
      <w:rPr>
        <w:rFonts w:cs="Arial"/>
        <w:sz w:val="16"/>
        <w:szCs w:val="16"/>
      </w:rPr>
      <w:fldChar w:fldCharType="end"/>
    </w:r>
    <w:r w:rsidR="009556BC">
      <w:rPr>
        <w:rFonts w:cs="Arial"/>
        <w:sz w:val="16"/>
        <w:szCs w:val="16"/>
      </w:rPr>
      <w:tab/>
      <w:t xml:space="preserve">December </w:t>
    </w:r>
    <w:r w:rsidR="00EC5090">
      <w:rPr>
        <w:rFonts w:cs="Arial"/>
        <w:sz w:val="16"/>
        <w:szCs w:val="16"/>
      </w:rPr>
      <w:t>23</w:t>
    </w:r>
    <w:r w:rsidR="009556BC">
      <w:rPr>
        <w:rFonts w:cs="Arial"/>
        <w:sz w:val="16"/>
        <w:szCs w:val="16"/>
      </w:rPr>
      <w:t>, 202</w:t>
    </w:r>
    <w:r w:rsidR="00375DFD">
      <w:rPr>
        <w:rFonts w:cs="Arial"/>
        <w:sz w:val="16"/>
        <w:szCs w:val="16"/>
      </w:rPr>
      <w:t>5</w:t>
    </w:r>
  </w:p>
  <w:p w14:paraId="1A204429" w14:textId="5F14F73E" w:rsidR="009556BC" w:rsidRPr="00EC4045" w:rsidRDefault="009556BC" w:rsidP="00EC4045">
    <w:pPr>
      <w:tabs>
        <w:tab w:val="right" w:pos="9000"/>
      </w:tabs>
    </w:pPr>
    <w:r>
      <w:rPr>
        <w:rFonts w:ascii="Arial" w:hAnsi="Arial" w:cs="Arial"/>
        <w:sz w:val="16"/>
        <w:szCs w:val="16"/>
      </w:rPr>
      <w:tab/>
      <w:t>MSAR 202</w:t>
    </w:r>
    <w:r w:rsidR="00375DFD">
      <w:rPr>
        <w:rFonts w:ascii="Arial" w:hAnsi="Arial" w:cs="Arial"/>
        <w:sz w:val="16"/>
        <w:szCs w:val="16"/>
      </w:rPr>
      <w:t>6</w:t>
    </w:r>
    <w:r>
      <w:rPr>
        <w:rFonts w:ascii="Arial" w:hAnsi="Arial" w:cs="Arial"/>
        <w:sz w:val="16"/>
        <w:szCs w:val="16"/>
      </w:rPr>
      <w:t xml:space="preserve"> Triennial Report</w:t>
    </w:r>
    <w:r w:rsidR="00DF3266">
      <w:rPr>
        <w:rFonts w:ascii="Arial" w:hAnsi="Arial" w:cs="Arial"/>
        <w:sz w:val="16"/>
        <w:szCs w:val="16"/>
      </w:rPr>
      <w:t xml:space="preserve"> </w:t>
    </w:r>
    <w:r w:rsidR="00DF3266" w:rsidRPr="00DF3266">
      <w:rPr>
        <w:rFonts w:ascii="Arial" w:hAnsi="Arial" w:cs="Arial"/>
        <w:color w:val="FF0000"/>
        <w:sz w:val="16"/>
        <w:szCs w:val="16"/>
      </w:rPr>
      <w:t>DRAFT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C28FA" w14:textId="77777777" w:rsidR="00DF3266" w:rsidRDefault="00DF3266"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 EEES</w:t>
    </w:r>
    <w:r>
      <w:rPr>
        <w:rFonts w:cs="Arial"/>
        <w:sz w:val="16"/>
        <w:szCs w:val="16"/>
      </w:rPr>
      <w:tab/>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t>December 23, 2025</w:t>
    </w:r>
  </w:p>
  <w:p w14:paraId="0F9CE447" w14:textId="77777777" w:rsidR="00DF3266" w:rsidRPr="00EC4045" w:rsidRDefault="00DF3266" w:rsidP="00EC4045">
    <w:pPr>
      <w:tabs>
        <w:tab w:val="right" w:pos="9000"/>
      </w:tabs>
    </w:pPr>
    <w:r>
      <w:rPr>
        <w:rFonts w:ascii="Arial" w:hAnsi="Arial" w:cs="Arial"/>
        <w:sz w:val="16"/>
        <w:szCs w:val="16"/>
      </w:rPr>
      <w:tab/>
      <w:t xml:space="preserve">MSAR 2026 Triennial Report </w:t>
    </w:r>
    <w:r w:rsidRPr="00DF3266">
      <w:rPr>
        <w:rFonts w:ascii="Arial" w:hAnsi="Arial" w:cs="Arial"/>
        <w:color w:val="FF0000"/>
        <w:sz w:val="16"/>
        <w:szCs w:val="16"/>
      </w:rPr>
      <w:t>DRAFT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5C6CA" w14:textId="1BA88B9F" w:rsidR="0095436D" w:rsidRDefault="0095436D"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 EEES</w:t>
    </w:r>
    <w:r>
      <w:rPr>
        <w:rFonts w:cs="Arial"/>
        <w:sz w:val="16"/>
        <w:szCs w:val="16"/>
      </w:rPr>
      <w:tab/>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t>December 23, 2025</w:t>
    </w:r>
  </w:p>
  <w:p w14:paraId="5FB838FA" w14:textId="3554B603" w:rsidR="0095436D" w:rsidRPr="00EC4045" w:rsidRDefault="0095436D" w:rsidP="00EC4045">
    <w:pPr>
      <w:tabs>
        <w:tab w:val="right" w:pos="9000"/>
      </w:tabs>
    </w:pPr>
    <w:r>
      <w:rPr>
        <w:rFonts w:ascii="Arial" w:hAnsi="Arial" w:cs="Arial"/>
        <w:sz w:val="16"/>
        <w:szCs w:val="16"/>
      </w:rPr>
      <w:tab/>
      <w:t>MSAR 2026 Triennial Report</w:t>
    </w:r>
    <w:r w:rsidR="00DF3266">
      <w:rPr>
        <w:rFonts w:ascii="Arial" w:hAnsi="Arial" w:cs="Arial"/>
        <w:sz w:val="16"/>
        <w:szCs w:val="16"/>
      </w:rPr>
      <w:t xml:space="preserve"> </w:t>
    </w:r>
    <w:r w:rsidR="00DF3266" w:rsidRPr="00DF3266">
      <w:rPr>
        <w:rFonts w:ascii="Arial" w:hAnsi="Arial" w:cs="Arial"/>
        <w:color w:val="FF0000"/>
        <w:sz w:val="16"/>
        <w:szCs w:val="16"/>
      </w:rPr>
      <w:t>DRAFT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F1080" w14:textId="3F8F95DD" w:rsidR="0095436D" w:rsidRDefault="0095436D" w:rsidP="00EC4045">
    <w:pPr>
      <w:pStyle w:val="Footer"/>
      <w:pBdr>
        <w:top w:val="single" w:sz="8" w:space="4" w:color="000000"/>
      </w:pBdr>
      <w:tabs>
        <w:tab w:val="clear" w:pos="8640"/>
        <w:tab w:val="right" w:pos="9000"/>
      </w:tabs>
      <w:rPr>
        <w:rStyle w:val="PageNumber"/>
        <w:rFonts w:cs="Arial"/>
        <w:sz w:val="16"/>
        <w:szCs w:val="16"/>
      </w:rPr>
    </w:pPr>
    <w:r>
      <w:rPr>
        <w:rFonts w:cs="Arial"/>
        <w:sz w:val="16"/>
        <w:szCs w:val="16"/>
      </w:rPr>
      <w:t>GEI Consultants, EEES</w:t>
    </w:r>
    <w:r>
      <w:rPr>
        <w:rFonts w:cs="Arial"/>
        <w:sz w:val="16"/>
        <w:szCs w:val="16"/>
      </w:rPr>
      <w:tab/>
    </w:r>
    <w:r w:rsidRPr="0002351A">
      <w:rPr>
        <w:rFonts w:cs="Arial"/>
        <w:sz w:val="16"/>
        <w:szCs w:val="16"/>
      </w:rPr>
      <w:fldChar w:fldCharType="begin"/>
    </w:r>
    <w:r w:rsidRPr="0002351A">
      <w:rPr>
        <w:rFonts w:cs="Arial"/>
        <w:sz w:val="16"/>
        <w:szCs w:val="16"/>
      </w:rPr>
      <w:instrText xml:space="preserve"> PAGE  \* Arabic  \* MERGEFORMAT </w:instrText>
    </w:r>
    <w:r w:rsidRPr="0002351A">
      <w:rPr>
        <w:rFonts w:cs="Arial"/>
        <w:sz w:val="16"/>
        <w:szCs w:val="16"/>
      </w:rPr>
      <w:fldChar w:fldCharType="separate"/>
    </w:r>
    <w:r>
      <w:rPr>
        <w:rFonts w:cs="Arial"/>
        <w:sz w:val="16"/>
        <w:szCs w:val="16"/>
      </w:rPr>
      <w:t>32</w:t>
    </w:r>
    <w:r w:rsidRPr="0002351A">
      <w:rPr>
        <w:rFonts w:cs="Arial"/>
        <w:sz w:val="16"/>
        <w:szCs w:val="16"/>
      </w:rPr>
      <w:fldChar w:fldCharType="end"/>
    </w:r>
    <w:r>
      <w:rPr>
        <w:rFonts w:cs="Arial"/>
        <w:sz w:val="16"/>
        <w:szCs w:val="16"/>
      </w:rPr>
      <w:tab/>
      <w:t>December 23, 2025</w:t>
    </w:r>
  </w:p>
  <w:p w14:paraId="59B8B7BE" w14:textId="0D5942AC" w:rsidR="0095436D" w:rsidRPr="00EC4045" w:rsidRDefault="0095436D" w:rsidP="00EC4045">
    <w:pPr>
      <w:tabs>
        <w:tab w:val="right" w:pos="9000"/>
      </w:tabs>
    </w:pPr>
    <w:r>
      <w:rPr>
        <w:rFonts w:ascii="Arial" w:hAnsi="Arial" w:cs="Arial"/>
        <w:sz w:val="16"/>
        <w:szCs w:val="16"/>
      </w:rPr>
      <w:tab/>
      <w:t>MSAR 2026 Triennial Report</w:t>
    </w:r>
    <w:r w:rsidR="00DF3266">
      <w:rPr>
        <w:rFonts w:ascii="Arial" w:hAnsi="Arial" w:cs="Arial"/>
        <w:sz w:val="16"/>
        <w:szCs w:val="16"/>
      </w:rPr>
      <w:t xml:space="preserve"> </w:t>
    </w:r>
    <w:r w:rsidR="00DF3266" w:rsidRPr="00DF3266">
      <w:rPr>
        <w:rFonts w:ascii="Arial" w:hAnsi="Arial" w:cs="Arial"/>
        <w:color w:val="FF0000"/>
        <w:sz w:val="16"/>
        <w:szCs w:val="16"/>
      </w:rPr>
      <w:t>DRAFT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AA665" w14:textId="638AD8B0" w:rsidR="003D691B" w:rsidRPr="003D691B" w:rsidRDefault="00DD3116" w:rsidP="0095436D">
    <w:pPr>
      <w:pStyle w:val="Footer"/>
      <w:pBdr>
        <w:top w:val="single" w:sz="8" w:space="4" w:color="000000"/>
      </w:pBdr>
      <w:tabs>
        <w:tab w:val="clear" w:pos="4320"/>
        <w:tab w:val="clear" w:pos="8640"/>
        <w:tab w:val="left" w:pos="4155"/>
        <w:tab w:val="center" w:pos="6480"/>
        <w:tab w:val="right" w:pos="12960"/>
      </w:tabs>
      <w:rPr>
        <w:rStyle w:val="PageNumber"/>
        <w:rFonts w:cs="Arial"/>
        <w:sz w:val="16"/>
        <w:szCs w:val="16"/>
      </w:rPr>
    </w:pPr>
    <w:r>
      <w:rPr>
        <w:rFonts w:cs="Arial"/>
        <w:sz w:val="16"/>
        <w:szCs w:val="16"/>
      </w:rPr>
      <w:t>GEI Consultants</w:t>
    </w:r>
    <w:r w:rsidR="00375DFD">
      <w:rPr>
        <w:rFonts w:cs="Arial"/>
        <w:sz w:val="16"/>
        <w:szCs w:val="16"/>
      </w:rPr>
      <w:t>, EEES</w:t>
    </w:r>
    <w:r w:rsidR="003D691B">
      <w:rPr>
        <w:rFonts w:cs="Arial"/>
        <w:sz w:val="16"/>
        <w:szCs w:val="16"/>
      </w:rPr>
      <w:tab/>
    </w:r>
    <w:r w:rsidR="0095436D" w:rsidRPr="0095436D">
      <w:rPr>
        <w:rFonts w:cs="Arial"/>
        <w:sz w:val="16"/>
        <w:szCs w:val="16"/>
      </w:rPr>
      <w:fldChar w:fldCharType="begin"/>
    </w:r>
    <w:r w:rsidR="0095436D" w:rsidRPr="0095436D">
      <w:rPr>
        <w:rFonts w:cs="Arial"/>
        <w:sz w:val="16"/>
        <w:szCs w:val="16"/>
      </w:rPr>
      <w:instrText xml:space="preserve"> PAGE   \* MERGEFORMAT </w:instrText>
    </w:r>
    <w:r w:rsidR="0095436D" w:rsidRPr="0095436D">
      <w:rPr>
        <w:rFonts w:cs="Arial"/>
        <w:sz w:val="16"/>
        <w:szCs w:val="16"/>
      </w:rPr>
      <w:fldChar w:fldCharType="separate"/>
    </w:r>
    <w:r w:rsidR="0095436D" w:rsidRPr="0095436D">
      <w:rPr>
        <w:rFonts w:cs="Arial"/>
        <w:noProof/>
        <w:sz w:val="16"/>
        <w:szCs w:val="16"/>
      </w:rPr>
      <w:t>1</w:t>
    </w:r>
    <w:r w:rsidR="0095436D" w:rsidRPr="0095436D">
      <w:rPr>
        <w:rFonts w:cs="Arial"/>
        <w:noProof/>
        <w:sz w:val="16"/>
        <w:szCs w:val="16"/>
      </w:rPr>
      <w:fldChar w:fldCharType="end"/>
    </w:r>
    <w:r w:rsidR="0095436D">
      <w:rPr>
        <w:rFonts w:cs="Arial"/>
        <w:sz w:val="16"/>
        <w:szCs w:val="16"/>
      </w:rPr>
      <w:tab/>
    </w:r>
    <w:r w:rsidR="003D691B">
      <w:rPr>
        <w:rFonts w:cs="Arial"/>
        <w:sz w:val="16"/>
        <w:szCs w:val="16"/>
      </w:rPr>
      <w:tab/>
    </w:r>
    <w:r w:rsidR="003D691B" w:rsidRPr="003D691B">
      <w:rPr>
        <w:rFonts w:cs="Arial"/>
        <w:sz w:val="16"/>
        <w:szCs w:val="16"/>
      </w:rPr>
      <w:t xml:space="preserve">December </w:t>
    </w:r>
    <w:r w:rsidR="0095436D">
      <w:rPr>
        <w:rFonts w:cs="Arial"/>
        <w:sz w:val="16"/>
        <w:szCs w:val="16"/>
      </w:rPr>
      <w:t>23</w:t>
    </w:r>
    <w:r w:rsidR="003D691B" w:rsidRPr="003D691B">
      <w:rPr>
        <w:rFonts w:cs="Arial"/>
        <w:sz w:val="16"/>
        <w:szCs w:val="16"/>
      </w:rPr>
      <w:t>, 202</w:t>
    </w:r>
    <w:r w:rsidR="00375DFD">
      <w:rPr>
        <w:rFonts w:cs="Arial"/>
        <w:sz w:val="16"/>
        <w:szCs w:val="16"/>
      </w:rPr>
      <w:t>5</w:t>
    </w:r>
  </w:p>
  <w:p w14:paraId="78EE6294" w14:textId="33C4787E" w:rsidR="003D691B" w:rsidRPr="003D691B" w:rsidRDefault="003D691B" w:rsidP="003D691B">
    <w:pPr>
      <w:tabs>
        <w:tab w:val="right" w:pos="12960"/>
      </w:tabs>
      <w:rPr>
        <w:sz w:val="16"/>
        <w:szCs w:val="16"/>
      </w:rPr>
    </w:pPr>
    <w:r w:rsidRPr="003D691B">
      <w:rPr>
        <w:rFonts w:ascii="Arial" w:hAnsi="Arial" w:cs="Arial"/>
        <w:sz w:val="16"/>
        <w:szCs w:val="16"/>
      </w:rPr>
      <w:tab/>
      <w:t>MSAR 202</w:t>
    </w:r>
    <w:r w:rsidR="00375DFD">
      <w:rPr>
        <w:rFonts w:ascii="Arial" w:hAnsi="Arial" w:cs="Arial"/>
        <w:sz w:val="16"/>
        <w:szCs w:val="16"/>
      </w:rPr>
      <w:t>6</w:t>
    </w:r>
    <w:r w:rsidRPr="003D691B">
      <w:rPr>
        <w:rFonts w:ascii="Arial" w:hAnsi="Arial" w:cs="Arial"/>
        <w:sz w:val="16"/>
        <w:szCs w:val="16"/>
      </w:rPr>
      <w:t xml:space="preserve"> Triennial Report</w:t>
    </w:r>
    <w:r w:rsidR="00DF3266">
      <w:rPr>
        <w:rFonts w:ascii="Arial" w:hAnsi="Arial" w:cs="Arial"/>
        <w:sz w:val="16"/>
        <w:szCs w:val="16"/>
      </w:rPr>
      <w:t xml:space="preserve"> </w:t>
    </w:r>
    <w:r w:rsidR="00DF3266" w:rsidRPr="00DF3266">
      <w:rPr>
        <w:rFonts w:ascii="Arial" w:hAnsi="Arial" w:cs="Arial"/>
        <w:color w:val="FF0000"/>
        <w:sz w:val="16"/>
        <w:szCs w:val="16"/>
      </w:rPr>
      <w:t>DRAFT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1AFB4C" w14:textId="77777777" w:rsidR="00362FEA" w:rsidRDefault="00362FEA">
      <w:r>
        <w:separator/>
      </w:r>
    </w:p>
  </w:footnote>
  <w:footnote w:type="continuationSeparator" w:id="0">
    <w:p w14:paraId="7CD0E2E8" w14:textId="77777777" w:rsidR="00362FEA" w:rsidRDefault="00362FEA">
      <w:r>
        <w:continuationSeparator/>
      </w:r>
    </w:p>
  </w:footnote>
  <w:footnote w:type="continuationNotice" w:id="1">
    <w:p w14:paraId="674A8E58" w14:textId="77777777" w:rsidR="00362FEA" w:rsidRDefault="00362FEA">
      <w:pPr>
        <w:spacing w:line="240" w:lineRule="auto"/>
      </w:pPr>
    </w:p>
  </w:footnote>
  <w:footnote w:id="2">
    <w:p w14:paraId="3E5B8F80" w14:textId="025FD84A" w:rsidR="00F422A0" w:rsidRDefault="00F422A0" w:rsidP="00F422A0">
      <w:pPr>
        <w:pStyle w:val="FootnoteText"/>
      </w:pPr>
      <w:r w:rsidRPr="00FE4558">
        <w:rPr>
          <w:rStyle w:val="FootnoteReference"/>
        </w:rPr>
        <w:footnoteRef/>
      </w:r>
      <w:r w:rsidRPr="00FE4558">
        <w:t xml:space="preserve"> The WLAs and LAs for fecal coliform </w:t>
      </w:r>
      <w:r>
        <w:t>are</w:t>
      </w:r>
      <w:r w:rsidRPr="00FE4558">
        <w:t xml:space="preserve"> no longer </w:t>
      </w:r>
      <w:r>
        <w:t xml:space="preserve">applicable </w:t>
      </w:r>
      <w:r w:rsidRPr="00FE4558">
        <w:t>following USEPA’s 2015 approval of the 2012-adopted Basin Plan amendment to revise bacterial indicator objectives in the Santa Ana Region for inland freshwaters</w:t>
      </w:r>
      <w:r w:rsidR="0012309B">
        <w:t xml:space="preserve"> (Resolution No. R8-2012-0001)</w:t>
      </w:r>
      <w:r w:rsidRPr="00FE4558">
        <w:t>.</w:t>
      </w:r>
      <w:r w:rsidR="00AF3A87">
        <w:t xml:space="preserve"> See discussion on next page.</w:t>
      </w:r>
    </w:p>
  </w:footnote>
  <w:footnote w:id="3">
    <w:p w14:paraId="4A582537" w14:textId="1949C34D" w:rsidR="0012309B" w:rsidRDefault="0012309B" w:rsidP="0012309B">
      <w:pPr>
        <w:pStyle w:val="FootnoteText"/>
      </w:pPr>
      <w:r>
        <w:rPr>
          <w:rStyle w:val="FootnoteReference"/>
        </w:rPr>
        <w:footnoteRef/>
      </w:r>
      <w:r>
        <w:t xml:space="preserve"> Current Task Force members </w:t>
      </w:r>
      <w:r w:rsidR="009D4D44">
        <w:t>include</w:t>
      </w:r>
      <w:r>
        <w:t xml:space="preserve"> San Bernardino County Flood Control District (representing County of San Bernardino and Cities of Ontario, Chino, Chino Hills, Montclair, Rancho Cucamonga, Upland, Rialto, and Fontana); County of Riverside; Cities of Claremont, Corona, Eastvale, Jurupa Valley, Norco, Pomona and Riverside; and Agricultural Operators (represented by the Chino </w:t>
      </w:r>
      <w:r w:rsidR="007F05C4">
        <w:t xml:space="preserve">Basin </w:t>
      </w:r>
      <w:r>
        <w:t xml:space="preserve">Watermaster) and University of California Riverside. </w:t>
      </w:r>
    </w:p>
  </w:footnote>
  <w:footnote w:id="4">
    <w:p w14:paraId="32988EAA" w14:textId="0D3FE149" w:rsidR="0012309B" w:rsidRDefault="0012309B" w:rsidP="0012309B">
      <w:pPr>
        <w:pStyle w:val="FootnoteText"/>
      </w:pPr>
      <w:r>
        <w:rPr>
          <w:rStyle w:val="FootnoteReference"/>
        </w:rPr>
        <w:footnoteRef/>
      </w:r>
      <w:r>
        <w:t xml:space="preserve"> SAWPA is a Joint Powers Authority of five member agencies that supports water resources planning: Eastern Municipal Water District, Inland Empire Utilities Agency, Orange County Water District, San Bernardino Valley Municipal Water District, and Western Municipal Water District</w:t>
      </w:r>
      <w:r w:rsidR="003B53F4">
        <w:t>.</w:t>
      </w:r>
    </w:p>
  </w:footnote>
  <w:footnote w:id="5">
    <w:p w14:paraId="7529BC72" w14:textId="604F5871" w:rsidR="007C7D38" w:rsidRDefault="007C7D38" w:rsidP="007C7D38">
      <w:pPr>
        <w:pStyle w:val="FootnoteText"/>
      </w:pPr>
      <w:r>
        <w:rPr>
          <w:rStyle w:val="FootnoteReference"/>
        </w:rPr>
        <w:footnoteRef/>
      </w:r>
      <w:r>
        <w:t xml:space="preserve"> </w:t>
      </w:r>
      <w:hyperlink r:id="rId1" w:history="1">
        <w:r w:rsidRPr="00A20F53">
          <w:rPr>
            <w:rStyle w:val="Hyperlink"/>
          </w:rPr>
          <w:t>https://www.sawpa.org/wp-content/uploads/2018/04/2010_Triennial-Report.pdf</w:t>
        </w:r>
      </w:hyperlink>
      <w:r w:rsidRPr="0007102C">
        <w:rPr>
          <w:rStyle w:val="Hyperlink"/>
          <w:color w:val="auto"/>
          <w:u w:val="none"/>
        </w:rPr>
        <w:t>.</w:t>
      </w:r>
    </w:p>
  </w:footnote>
  <w:footnote w:id="6">
    <w:p w14:paraId="14A2B43B" w14:textId="45FB1CF9" w:rsidR="007C7D38" w:rsidRDefault="007C7D38" w:rsidP="007C7D38">
      <w:pPr>
        <w:pStyle w:val="FootnoteText"/>
      </w:pPr>
      <w:r>
        <w:rPr>
          <w:rStyle w:val="FootnoteReference"/>
        </w:rPr>
        <w:footnoteRef/>
      </w:r>
      <w:r>
        <w:t xml:space="preserve"> </w:t>
      </w:r>
      <w:hyperlink r:id="rId2" w:history="1">
        <w:r w:rsidRPr="00CE54B0">
          <w:rPr>
            <w:color w:val="0000FF"/>
            <w:u w:val="single"/>
          </w:rPr>
          <w:t>https://www.sawpa.org/wp-content/uploads/2018/04/2013-Triennial-Report_Tier-1-Source-Evaluation-Final.pdf</w:t>
        </w:r>
      </w:hyperlink>
    </w:p>
  </w:footnote>
  <w:footnote w:id="7">
    <w:p w14:paraId="70832EE9" w14:textId="00AE3ABE" w:rsidR="00D00D3B" w:rsidRDefault="00D00D3B" w:rsidP="00D00D3B">
      <w:pPr>
        <w:pStyle w:val="FootnoteText"/>
      </w:pPr>
      <w:r>
        <w:rPr>
          <w:rStyle w:val="FootnoteReference"/>
        </w:rPr>
        <w:footnoteRef/>
      </w:r>
      <w:r>
        <w:t xml:space="preserve"> </w:t>
      </w:r>
      <w:hyperlink r:id="rId3" w:history="1">
        <w:r w:rsidRPr="00CE54B0">
          <w:rPr>
            <w:color w:val="0000FF"/>
            <w:u w:val="single"/>
          </w:rPr>
          <w:t>https://www.sawpa.org/wp-content/uploads/2018/04/2016_Triennial-Report-June-2017.pdf</w:t>
        </w:r>
      </w:hyperlink>
    </w:p>
  </w:footnote>
  <w:footnote w:id="8">
    <w:p w14:paraId="0CC75761" w14:textId="6E4CE6A5" w:rsidR="00D00D3B" w:rsidRDefault="00D00D3B" w:rsidP="00D00D3B">
      <w:pPr>
        <w:pStyle w:val="FootnoteText"/>
      </w:pPr>
      <w:r>
        <w:rPr>
          <w:rStyle w:val="FootnoteReference"/>
        </w:rPr>
        <w:footnoteRef/>
      </w:r>
      <w:r>
        <w:t xml:space="preserve"> </w:t>
      </w:r>
      <w:hyperlink r:id="rId4" w:history="1">
        <w:r w:rsidRPr="000626EA">
          <w:rPr>
            <w:rStyle w:val="Hyperlink"/>
          </w:rPr>
          <w:t>https://sawpa.org/wp-content/uploads/2020/05/Final-Synoptic-Study-Report_021020_BabcockLabQAQC-Report-Appended_051920.pdf</w:t>
        </w:r>
      </w:hyperlink>
    </w:p>
  </w:footnote>
  <w:footnote w:id="9">
    <w:p w14:paraId="24CE0B7F" w14:textId="7F68B765" w:rsidR="007C7D38" w:rsidRDefault="007C7D38" w:rsidP="007C7D38">
      <w:pPr>
        <w:pStyle w:val="FootnoteText"/>
      </w:pPr>
      <w:r>
        <w:rPr>
          <w:rStyle w:val="FootnoteReference"/>
        </w:rPr>
        <w:footnoteRef/>
      </w:r>
      <w:r>
        <w:t xml:space="preserve"> </w:t>
      </w:r>
      <w:hyperlink r:id="rId5" w:history="1">
        <w:r w:rsidRPr="007C7D38">
          <w:rPr>
            <w:rStyle w:val="Hyperlink"/>
          </w:rPr>
          <w:t>https://sawpa.gov/wp-content/uploads/2023/02/MSAR-TMDL-2023-Triennial-Report_Final_021123.pdf</w:t>
        </w:r>
      </w:hyperlink>
      <w:r>
        <w:t>.</w:t>
      </w:r>
    </w:p>
  </w:footnote>
  <w:footnote w:id="10">
    <w:p w14:paraId="0DD0B3D1" w14:textId="44087B8B" w:rsidR="00EB0745" w:rsidRDefault="00EB0745" w:rsidP="00EB0745">
      <w:pPr>
        <w:pStyle w:val="FootnoteText"/>
      </w:pPr>
      <w:r>
        <w:rPr>
          <w:rStyle w:val="FootnoteReference"/>
        </w:rPr>
        <w:footnoteRef/>
      </w:r>
      <w:r>
        <w:t xml:space="preserve"> </w:t>
      </w:r>
      <w:hyperlink r:id="rId6" w:anchor="geographic-setting" w:history="1">
        <w:r w:rsidRPr="00133631">
          <w:rPr>
            <w:rStyle w:val="Hyperlink"/>
          </w:rPr>
          <w:t>https://sawpa.org/task-forces/regional-water-quality-monitoring-task-force/#geographic-setting</w:t>
        </w:r>
      </w:hyperlink>
    </w:p>
  </w:footnote>
  <w:footnote w:id="11">
    <w:p w14:paraId="187D9458" w14:textId="6A70F8FD" w:rsidR="002B747E" w:rsidRPr="00056D57" w:rsidRDefault="002B747E" w:rsidP="002B747E">
      <w:pPr>
        <w:pStyle w:val="FootnoteText"/>
      </w:pPr>
      <w:r w:rsidRPr="00056D57">
        <w:rPr>
          <w:rStyle w:val="FootnoteReference"/>
        </w:rPr>
        <w:footnoteRef/>
      </w:r>
      <w:r w:rsidRPr="00056D57">
        <w:t xml:space="preserve"> Note: The timing of the follow-up samples was changed in the 2021 update to the MP and QAPP. </w:t>
      </w:r>
      <w:r w:rsidR="00753CBD" w:rsidRPr="00056D57">
        <w:t>Previously, c</w:t>
      </w:r>
      <w:r w:rsidRPr="00056D57">
        <w:t>ollection of post-storm samples occur</w:t>
      </w:r>
      <w:r w:rsidR="00753CBD" w:rsidRPr="00056D57">
        <w:t xml:space="preserve">red </w:t>
      </w:r>
      <w:r w:rsidRPr="00056D57">
        <w:t xml:space="preserve">48, </w:t>
      </w:r>
      <w:r w:rsidR="00753CBD" w:rsidRPr="00056D57">
        <w:t xml:space="preserve">72, </w:t>
      </w:r>
      <w:r w:rsidRPr="00056D57">
        <w:t xml:space="preserve">and </w:t>
      </w:r>
      <w:r w:rsidR="00753CBD" w:rsidRPr="00056D57">
        <w:t>96</w:t>
      </w:r>
      <w:r w:rsidRPr="00056D57">
        <w:t xml:space="preserve"> hours after collection of the first sample.</w:t>
      </w:r>
    </w:p>
  </w:footnote>
  <w:footnote w:id="12">
    <w:p w14:paraId="48EA70F5" w14:textId="77777777" w:rsidR="007E4893" w:rsidRDefault="007E4893" w:rsidP="007E4893">
      <w:pPr>
        <w:pStyle w:val="FootnoteText"/>
      </w:pPr>
      <w:r>
        <w:rPr>
          <w:rStyle w:val="FootnoteReference"/>
        </w:rPr>
        <w:footnoteRef/>
      </w:r>
      <w:r>
        <w:t xml:space="preserve"> A pipeline that carries stormwater under Prado Park Lake was replaced in 2017; this project restored the original MS4 conveyance that ensured that stormwater properly bypasses the lake. During the construction project, the lake was dry.</w:t>
      </w:r>
    </w:p>
  </w:footnote>
  <w:footnote w:id="13">
    <w:p w14:paraId="1A4C0150" w14:textId="262911AC" w:rsidR="00E509BB" w:rsidRDefault="00E509BB">
      <w:pPr>
        <w:pStyle w:val="FootnoteText"/>
      </w:pPr>
      <w:r>
        <w:rPr>
          <w:rStyle w:val="FootnoteReference"/>
        </w:rPr>
        <w:footnoteRef/>
      </w:r>
      <w:r>
        <w:t xml:space="preserve"> </w:t>
      </w:r>
      <w:r w:rsidR="00EC580D">
        <w:t xml:space="preserve">Baseflow </w:t>
      </w:r>
      <w:r w:rsidR="007350DF">
        <w:t xml:space="preserve">associated with spring snowmelt can cause </w:t>
      </w:r>
      <w:r w:rsidR="00135394">
        <w:t xml:space="preserve">extended </w:t>
      </w:r>
      <w:r w:rsidR="005C7CFF">
        <w:t>dry weather runoff f</w:t>
      </w:r>
      <w:r w:rsidR="00865F67">
        <w:t>rom upper reaches</w:t>
      </w:r>
      <w:r w:rsidR="00250583">
        <w:t xml:space="preserve"> to Reach 3</w:t>
      </w:r>
      <w:r w:rsidR="00135394">
        <w:t xml:space="preserve"> in </w:t>
      </w:r>
      <w:r w:rsidR="0024373F">
        <w:t>some months of the year</w:t>
      </w:r>
      <w:r w:rsidR="00250583">
        <w:t>.</w:t>
      </w:r>
    </w:p>
  </w:footnote>
  <w:footnote w:id="14">
    <w:p w14:paraId="1C3EDA44" w14:textId="7B262C0C" w:rsidR="00524F10" w:rsidRPr="0067620C" w:rsidRDefault="00524F10" w:rsidP="00524F10">
      <w:pPr>
        <w:pStyle w:val="FootnoteText"/>
      </w:pPr>
      <w:r w:rsidRPr="0067620C">
        <w:rPr>
          <w:rStyle w:val="FootnoteReference"/>
        </w:rPr>
        <w:footnoteRef/>
      </w:r>
      <w:r w:rsidRPr="0067620C">
        <w:t xml:space="preserve"> </w:t>
      </w:r>
      <w:r w:rsidRPr="0067620C">
        <w:rPr>
          <w:color w:val="000000"/>
        </w:rPr>
        <w:t xml:space="preserve">Note: </w:t>
      </w:r>
      <w:bookmarkStart w:id="60" w:name="_Hlk29365314"/>
      <w:r w:rsidRPr="0067620C">
        <w:rPr>
          <w:color w:val="000000"/>
        </w:rPr>
        <w:t xml:space="preserve">To date there has been no study conducted to estimate the relative roles of different types or sources of DWF in the MSAR watershed. Generally, it has been assumed that the majority of day to day DWF reaching </w:t>
      </w:r>
      <w:r>
        <w:rPr>
          <w:color w:val="000000"/>
        </w:rPr>
        <w:t xml:space="preserve">a </w:t>
      </w:r>
      <w:r w:rsidRPr="0067620C">
        <w:rPr>
          <w:color w:val="000000"/>
        </w:rPr>
        <w:t xml:space="preserve">Tier 1 site is from </w:t>
      </w:r>
      <w:r>
        <w:rPr>
          <w:color w:val="000000"/>
        </w:rPr>
        <w:t xml:space="preserve">excess </w:t>
      </w:r>
      <w:r w:rsidRPr="0067620C">
        <w:rPr>
          <w:color w:val="000000"/>
        </w:rPr>
        <w:t>irrigation runoff. However, spikes in DWF (e.g., from well blow offs</w:t>
      </w:r>
      <w:r>
        <w:rPr>
          <w:color w:val="000000"/>
        </w:rPr>
        <w:t xml:space="preserve">, </w:t>
      </w:r>
      <w:r w:rsidRPr="0067620C">
        <w:rPr>
          <w:color w:val="000000"/>
        </w:rPr>
        <w:t>water transfers</w:t>
      </w:r>
      <w:r>
        <w:rPr>
          <w:color w:val="000000"/>
        </w:rPr>
        <w:t xml:space="preserve"> or </w:t>
      </w:r>
      <w:r w:rsidR="00551E26">
        <w:rPr>
          <w:color w:val="000000"/>
        </w:rPr>
        <w:t xml:space="preserve">illicit </w:t>
      </w:r>
      <w:r>
        <w:rPr>
          <w:color w:val="000000"/>
        </w:rPr>
        <w:t>discharges</w:t>
      </w:r>
      <w:r w:rsidRPr="0067620C">
        <w:rPr>
          <w:color w:val="000000"/>
        </w:rPr>
        <w:t xml:space="preserve">) do occur periodically. Determining the relative role of these various sources of DWF at any given Tier 1 site </w:t>
      </w:r>
      <w:r>
        <w:rPr>
          <w:color w:val="000000"/>
        </w:rPr>
        <w:t xml:space="preserve">and their potential impact on </w:t>
      </w:r>
      <w:r w:rsidRPr="00EA0509">
        <w:rPr>
          <w:i/>
          <w:color w:val="000000"/>
        </w:rPr>
        <w:t>E. coli</w:t>
      </w:r>
      <w:r>
        <w:rPr>
          <w:color w:val="000000"/>
        </w:rPr>
        <w:t xml:space="preserve"> loading </w:t>
      </w:r>
      <w:r w:rsidRPr="0067620C">
        <w:rPr>
          <w:color w:val="000000"/>
        </w:rPr>
        <w:t>would likely require implementation of</w:t>
      </w:r>
      <w:r>
        <w:rPr>
          <w:color w:val="000000"/>
        </w:rPr>
        <w:t xml:space="preserve"> a</w:t>
      </w:r>
      <w:r w:rsidRPr="0067620C">
        <w:rPr>
          <w:color w:val="000000"/>
        </w:rPr>
        <w:t xml:space="preserve"> short-term intensive site-specific stud</w:t>
      </w:r>
      <w:r>
        <w:rPr>
          <w:color w:val="000000"/>
        </w:rPr>
        <w:t>y</w:t>
      </w:r>
      <w:r w:rsidRPr="0067620C">
        <w:rPr>
          <w:color w:val="000000"/>
        </w:rPr>
        <w:t>.</w:t>
      </w:r>
      <w:bookmarkEnd w:id="60"/>
      <w:r w:rsidRPr="0067620C">
        <w:rPr>
          <w:color w:val="000000"/>
        </w:rPr>
        <w:t xml:space="preserve"> </w:t>
      </w:r>
    </w:p>
  </w:footnote>
  <w:footnote w:id="15">
    <w:p w14:paraId="32482D68" w14:textId="77777777" w:rsidR="00524F10" w:rsidRDefault="00524F10" w:rsidP="00524F10">
      <w:pPr>
        <w:pStyle w:val="FootnoteText"/>
      </w:pPr>
      <w:r>
        <w:rPr>
          <w:rStyle w:val="FootnoteReference"/>
        </w:rPr>
        <w:footnoteRef/>
      </w:r>
      <w:r>
        <w:t xml:space="preserve"> Some of the change in number of Tier 1 sites between 2012 and 2019 is attributable to the removal of the REC1 beneficial use from Cucamonga Reach 1 (see Section 3.1.1.4)</w:t>
      </w:r>
    </w:p>
  </w:footnote>
  <w:footnote w:id="16">
    <w:p w14:paraId="057344A3" w14:textId="231A41E4" w:rsidR="00CC41FB" w:rsidRDefault="00CC41FB" w:rsidP="00CC41FB">
      <w:pPr>
        <w:pStyle w:val="FootnoteText"/>
      </w:pPr>
      <w:r>
        <w:rPr>
          <w:rStyle w:val="FootnoteReference"/>
        </w:rPr>
        <w:footnoteRef/>
      </w:r>
      <w:r>
        <w:t xml:space="preserve"> Reported in Table 3-4 of the CBRPs for Riverside County (RCFC&amp;WCD 2011) and San Bernardino County (SBCFCD 2011)</w:t>
      </w:r>
    </w:p>
  </w:footnote>
  <w:footnote w:id="17">
    <w:p w14:paraId="025E92A8" w14:textId="53D89E98" w:rsidR="006B7CE6" w:rsidRDefault="006B7CE6">
      <w:pPr>
        <w:pStyle w:val="FootnoteText"/>
      </w:pPr>
      <w:r w:rsidRPr="00B5116C">
        <w:rPr>
          <w:rStyle w:val="FootnoteReference"/>
          <w:sz w:val="18"/>
          <w:szCs w:val="18"/>
        </w:rPr>
        <w:footnoteRef/>
      </w:r>
      <w:r w:rsidRPr="00B5116C">
        <w:rPr>
          <w:sz w:val="18"/>
          <w:szCs w:val="18"/>
        </w:rPr>
        <w:t xml:space="preserve"> </w:t>
      </w:r>
      <w:r w:rsidR="00E53A2C" w:rsidRPr="00B5116C">
        <w:rPr>
          <w:sz w:val="18"/>
          <w:szCs w:val="18"/>
        </w:rPr>
        <w:t>Targets in the 2012 CBRP for MS4 sources are expressed as CFU/day</w:t>
      </w:r>
      <w:r w:rsidR="00D54CF7">
        <w:rPr>
          <w:sz w:val="18"/>
          <w:szCs w:val="18"/>
        </w:rPr>
        <w:t xml:space="preserve"> (colony forming units per day)</w:t>
      </w:r>
      <w:r w:rsidR="00E53A2C" w:rsidRPr="00B5116C">
        <w:rPr>
          <w:sz w:val="18"/>
          <w:szCs w:val="18"/>
        </w:rPr>
        <w:t>. M</w:t>
      </w:r>
      <w:r w:rsidR="00294837" w:rsidRPr="00B5116C">
        <w:rPr>
          <w:sz w:val="18"/>
          <w:szCs w:val="18"/>
        </w:rPr>
        <w:t>onitoring for the RBMP and Tier 1 source evaluations are expressed in MPN/day</w:t>
      </w:r>
      <w:r w:rsidR="00D54CF7">
        <w:rPr>
          <w:sz w:val="18"/>
          <w:szCs w:val="18"/>
        </w:rPr>
        <w:t xml:space="preserve"> (most probable number per day)</w:t>
      </w:r>
      <w:r w:rsidR="00294837" w:rsidRPr="00B5116C">
        <w:rPr>
          <w:sz w:val="18"/>
          <w:szCs w:val="18"/>
        </w:rPr>
        <w:t>. The difference</w:t>
      </w:r>
      <w:r w:rsidR="00803603" w:rsidRPr="00B5116C">
        <w:rPr>
          <w:sz w:val="18"/>
          <w:szCs w:val="18"/>
        </w:rPr>
        <w:t xml:space="preserve">s between CFU </w:t>
      </w:r>
      <w:r w:rsidR="00296351">
        <w:rPr>
          <w:sz w:val="18"/>
          <w:szCs w:val="18"/>
        </w:rPr>
        <w:t xml:space="preserve">(a direct count of visible colonies) </w:t>
      </w:r>
      <w:r w:rsidR="00803603" w:rsidRPr="00B5116C">
        <w:rPr>
          <w:sz w:val="18"/>
          <w:szCs w:val="18"/>
        </w:rPr>
        <w:t xml:space="preserve">and MPN </w:t>
      </w:r>
      <w:r w:rsidR="00296351">
        <w:rPr>
          <w:sz w:val="18"/>
          <w:szCs w:val="18"/>
        </w:rPr>
        <w:t xml:space="preserve">(converts positive tube counts to a 95% confidence interval value) </w:t>
      </w:r>
      <w:r w:rsidR="00803603" w:rsidRPr="00B5116C">
        <w:rPr>
          <w:sz w:val="18"/>
          <w:szCs w:val="18"/>
        </w:rPr>
        <w:t>are associated with the</w:t>
      </w:r>
      <w:r w:rsidR="00296351">
        <w:rPr>
          <w:sz w:val="18"/>
          <w:szCs w:val="18"/>
        </w:rPr>
        <w:t xml:space="preserve"> </w:t>
      </w:r>
      <w:r w:rsidR="00803603" w:rsidRPr="00B5116C">
        <w:rPr>
          <w:sz w:val="18"/>
          <w:szCs w:val="18"/>
        </w:rPr>
        <w:t>analytical method</w:t>
      </w:r>
      <w:r w:rsidR="00296351">
        <w:rPr>
          <w:sz w:val="18"/>
          <w:szCs w:val="18"/>
        </w:rPr>
        <w:t xml:space="preserve">. </w:t>
      </w:r>
      <w:r w:rsidR="00803603" w:rsidRPr="00B5116C">
        <w:rPr>
          <w:sz w:val="18"/>
          <w:szCs w:val="18"/>
        </w:rPr>
        <w:t xml:space="preserve"> </w:t>
      </w:r>
      <w:r w:rsidR="00296351">
        <w:rPr>
          <w:sz w:val="18"/>
          <w:szCs w:val="18"/>
        </w:rPr>
        <w:t>These u</w:t>
      </w:r>
      <w:r w:rsidR="00D54CF7">
        <w:rPr>
          <w:sz w:val="18"/>
          <w:szCs w:val="18"/>
        </w:rPr>
        <w:t xml:space="preserve">nits are </w:t>
      </w:r>
      <w:r w:rsidR="00296351">
        <w:rPr>
          <w:sz w:val="18"/>
          <w:szCs w:val="18"/>
        </w:rPr>
        <w:t xml:space="preserve">used interchangeably and are considered </w:t>
      </w:r>
      <w:r w:rsidR="00D54CF7">
        <w:rPr>
          <w:sz w:val="18"/>
          <w:szCs w:val="18"/>
        </w:rPr>
        <w:t xml:space="preserve">equivalent </w:t>
      </w:r>
      <w:r w:rsidR="00934BF5" w:rsidRPr="00B5116C">
        <w:rPr>
          <w:sz w:val="18"/>
          <w:szCs w:val="18"/>
        </w:rPr>
        <w:t>for</w:t>
      </w:r>
      <w:r w:rsidR="00296351">
        <w:rPr>
          <w:sz w:val="18"/>
          <w:szCs w:val="18"/>
        </w:rPr>
        <w:t xml:space="preserve"> the</w:t>
      </w:r>
      <w:r w:rsidR="00934BF5" w:rsidRPr="00B5116C">
        <w:rPr>
          <w:sz w:val="18"/>
          <w:szCs w:val="18"/>
        </w:rPr>
        <w:t xml:space="preserve"> purposes </w:t>
      </w:r>
      <w:r w:rsidR="00DB2E92" w:rsidRPr="00B5116C">
        <w:rPr>
          <w:sz w:val="18"/>
          <w:szCs w:val="18"/>
        </w:rPr>
        <w:t xml:space="preserve">of tracking progress towards </w:t>
      </w:r>
      <w:r w:rsidR="00B5116C" w:rsidRPr="00B5116C">
        <w:rPr>
          <w:sz w:val="18"/>
          <w:szCs w:val="18"/>
        </w:rPr>
        <w:t>planning targets.</w:t>
      </w:r>
    </w:p>
  </w:footnote>
  <w:footnote w:id="18">
    <w:p w14:paraId="0464271A" w14:textId="77777777" w:rsidR="00524F10" w:rsidRDefault="00524F10" w:rsidP="00524F10">
      <w:pPr>
        <w:pStyle w:val="FootnoteText"/>
      </w:pPr>
      <w:r>
        <w:rPr>
          <w:rStyle w:val="FootnoteReference"/>
        </w:rPr>
        <w:footnoteRef/>
      </w:r>
      <w:r>
        <w:t xml:space="preserve"> See specific WDR for each POTW (Table 1-2 provides the WDR Order No. for permits issued by the Santa Ana Water Board) and/or discussion in the Synoptic Study Plan (see Section 1.4 of the Study Plan)</w:t>
      </w:r>
    </w:p>
  </w:footnote>
  <w:footnote w:id="19">
    <w:p w14:paraId="113CB95C" w14:textId="77777777" w:rsidR="00524F10" w:rsidRDefault="00524F10" w:rsidP="00524F10">
      <w:pPr>
        <w:pStyle w:val="FootnoteText"/>
      </w:pPr>
      <w:r>
        <w:rPr>
          <w:rStyle w:val="FootnoteReference"/>
        </w:rPr>
        <w:footnoteRef/>
      </w:r>
      <w:r>
        <w:t xml:space="preserve"> All of the POTWs confirmed via email that their respective facilities were in compliance with their </w:t>
      </w:r>
      <w:r w:rsidRPr="00DC57CD">
        <w:rPr>
          <w:i/>
        </w:rPr>
        <w:t>E. coli</w:t>
      </w:r>
      <w:r>
        <w:t xml:space="preserve"> permit effluent limits during the Synoptic Study.</w:t>
      </w:r>
    </w:p>
  </w:footnote>
  <w:footnote w:id="20">
    <w:p w14:paraId="5C5547D4" w14:textId="77777777" w:rsidR="00650379" w:rsidRDefault="00650379" w:rsidP="00650379">
      <w:pPr>
        <w:pStyle w:val="FootnoteText"/>
      </w:pPr>
      <w:r>
        <w:rPr>
          <w:rStyle w:val="FootnoteReference"/>
        </w:rPr>
        <w:footnoteRef/>
      </w:r>
      <w:r>
        <w:t xml:space="preserve"> </w:t>
      </w:r>
      <w:hyperlink r:id="rId7" w:history="1">
        <w:r w:rsidRPr="003E1527">
          <w:rPr>
            <w:rStyle w:val="Hyperlink"/>
            <w:sz w:val="15"/>
            <w:szCs w:val="15"/>
          </w:rPr>
          <w:t>https://www.waterboards.ca.gov/santaana/water_issues/programs/basin_plan/docs/2015/Santa_Ana_Basin_UAA_Approval_Letter_040815.pdf</w:t>
        </w:r>
      </w:hyperlink>
    </w:p>
  </w:footnote>
  <w:footnote w:id="21">
    <w:p w14:paraId="4EB168CE" w14:textId="77777777" w:rsidR="00650379" w:rsidRPr="003E1527" w:rsidRDefault="00650379" w:rsidP="00650379">
      <w:pPr>
        <w:pStyle w:val="FootnoteText"/>
        <w:rPr>
          <w:sz w:val="15"/>
          <w:szCs w:val="15"/>
        </w:rPr>
      </w:pPr>
      <w:r w:rsidRPr="003E1527">
        <w:rPr>
          <w:rStyle w:val="FootnoteReference"/>
          <w:sz w:val="18"/>
          <w:szCs w:val="18"/>
        </w:rPr>
        <w:footnoteRef/>
      </w:r>
      <w:r w:rsidRPr="003E1527">
        <w:rPr>
          <w:sz w:val="16"/>
          <w:szCs w:val="16"/>
        </w:rPr>
        <w:t xml:space="preserve"> </w:t>
      </w:r>
      <w:hyperlink r:id="rId8" w:history="1">
        <w:r w:rsidRPr="003E1527">
          <w:rPr>
            <w:rStyle w:val="Hyperlink"/>
            <w:sz w:val="15"/>
            <w:szCs w:val="15"/>
          </w:rPr>
          <w:t>https://www.waterboards.ca.gov/santaana/water_issues/programs/basin_plan/docs/rec_standards/UAA/Cucamonga_UAA_10-7-13_Final.pdf</w:t>
        </w:r>
      </w:hyperlink>
    </w:p>
  </w:footnote>
  <w:footnote w:id="22">
    <w:p w14:paraId="63256EA7" w14:textId="77777777" w:rsidR="006849F4" w:rsidRDefault="006849F4" w:rsidP="006849F4">
      <w:pPr>
        <w:pStyle w:val="FootnoteText"/>
      </w:pPr>
      <w:r>
        <w:rPr>
          <w:rStyle w:val="FootnoteReference"/>
        </w:rPr>
        <w:footnoteRef/>
      </w:r>
      <w:r>
        <w:t xml:space="preserve"> Removal of the REC1 use was supported by an approved Use Attainability Analysis (see USEPA letters to Santa Ana Water Board, April 8 and August 3, 2015)</w:t>
      </w:r>
    </w:p>
  </w:footnote>
  <w:footnote w:id="23">
    <w:p w14:paraId="6D2DD9BF" w14:textId="77777777" w:rsidR="00E5313D" w:rsidRDefault="00E5313D" w:rsidP="00E5313D">
      <w:pPr>
        <w:pStyle w:val="FootnoteText"/>
      </w:pPr>
    </w:p>
  </w:footnote>
  <w:footnote w:id="24">
    <w:p w14:paraId="62530FDA" w14:textId="77777777" w:rsidR="009B59A3" w:rsidRDefault="009B59A3" w:rsidP="009B59A3">
      <w:pPr>
        <w:pStyle w:val="FootnoteText"/>
      </w:pPr>
      <w:r>
        <w:rPr>
          <w:rStyle w:val="FootnoteReference"/>
        </w:rPr>
        <w:footnoteRef/>
      </w:r>
      <w:r>
        <w:t xml:space="preserve"> </w:t>
      </w:r>
      <w:r w:rsidRPr="00A160D8">
        <w:rPr>
          <w:sz w:val="18"/>
          <w:szCs w:val="18"/>
        </w:rPr>
        <w:t>The Basin Plan defines “uncontrollable sources” as: wildlife activity and waste; bacterial regrowth within sediment or biofilm; resuspension from disturbed sediment; Concentrations (flocks) of semi-wild waterfowl; shedding during swimming</w:t>
      </w:r>
      <w:r>
        <w:rPr>
          <w:sz w:val="18"/>
          <w:szCs w:val="18"/>
        </w:rPr>
        <w:t xml:space="preserve"> (Santa Ana Water Board 2016).</w:t>
      </w:r>
    </w:p>
  </w:footnote>
  <w:footnote w:id="25">
    <w:p w14:paraId="06FC63A9" w14:textId="4C7B8169" w:rsidR="007B163C" w:rsidRPr="00880EFA" w:rsidRDefault="007B163C" w:rsidP="007B163C">
      <w:pPr>
        <w:rPr>
          <w:sz w:val="20"/>
        </w:rPr>
      </w:pPr>
      <w:r w:rsidRPr="00880EFA">
        <w:rPr>
          <w:rStyle w:val="FootnoteReference"/>
          <w:sz w:val="20"/>
        </w:rPr>
        <w:footnoteRef/>
      </w:r>
      <w:r w:rsidRPr="00880EFA">
        <w:rPr>
          <w:sz w:val="20"/>
        </w:rPr>
        <w:t xml:space="preserve"> An existing streambed alteration permit specifies that 15 cfs of flow</w:t>
      </w:r>
      <w:r w:rsidR="00880EFA">
        <w:rPr>
          <w:sz w:val="20"/>
        </w:rPr>
        <w:t xml:space="preserve"> must</w:t>
      </w:r>
      <w:r w:rsidRPr="00880EFA">
        <w:rPr>
          <w:sz w:val="20"/>
        </w:rPr>
        <w:t xml:space="preserve"> be maintained within the mainstem of Mill-Cucamonga Creek, however the streambed agreement predates IEUA’s recycled water system as well as capture of dry weather runoff in the Turner Basins, and involved an empirical analysis based on higher downstream flows during dry weather than are typically observed in modern conditions (average </w:t>
      </w:r>
      <w:r w:rsidR="00880EFA">
        <w:rPr>
          <w:sz w:val="20"/>
        </w:rPr>
        <w:t>DWF</w:t>
      </w:r>
      <w:r w:rsidRPr="00880EFA">
        <w:rPr>
          <w:sz w:val="20"/>
        </w:rPr>
        <w:t xml:space="preserve"> during Tier 2 sampling periods at T1-CUCAMONGA in 2017-2022 was 9 cfs)</w:t>
      </w:r>
      <w:r w:rsidR="00673E08">
        <w:rPr>
          <w:sz w:val="20"/>
        </w:rPr>
        <w:t>.</w:t>
      </w:r>
    </w:p>
  </w:footnote>
  <w:footnote w:id="26">
    <w:p w14:paraId="7F971C14" w14:textId="4303C34E" w:rsidR="009E2BAA" w:rsidRDefault="009E2BAA" w:rsidP="009E2BAA">
      <w:pPr>
        <w:pStyle w:val="FootnoteText"/>
      </w:pPr>
      <w:r>
        <w:rPr>
          <w:rStyle w:val="FootnoteReference"/>
        </w:rPr>
        <w:footnoteRef/>
      </w:r>
      <w:r>
        <w:t xml:space="preserve"> Areas of MSAR watershed that are hydrologically connected </w:t>
      </w:r>
      <w:r w:rsidR="002714B2">
        <w:t xml:space="preserve">to </w:t>
      </w:r>
      <w:r>
        <w:t>a downstream receiving water. Hydrologically-disconnected areas are drainage areas that do not typically cause or contribute to flow to a downstream TMDL watershed-wide compliance monitoring location. DWF may be hydrologically</w:t>
      </w:r>
      <w:r w:rsidR="002714B2">
        <w:t xml:space="preserve"> </w:t>
      </w:r>
      <w:r w:rsidR="002714B2" w:rsidRPr="002714B2">
        <w:t>disconnected from receiving waters because of constructed regional retention facilities or through losses in earthen channel bottoms, where the recharge capacity of the underlying soils exceeds dry weather runoff generated in the upstream drainage area</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F2E7F" w14:textId="0ACA953D" w:rsidR="0005254F" w:rsidRDefault="0005254F" w:rsidP="00A82666">
    <w:pPr>
      <w:pStyle w:val="Header"/>
    </w:pPr>
    <w:r>
      <w:rPr>
        <w:noProof/>
      </w:rPr>
      <w:drawing>
        <wp:anchor distT="0" distB="0" distL="114300" distR="114300" simplePos="0" relativeHeight="251659264" behindDoc="0" locked="0" layoutInCell="1" allowOverlap="1" wp14:anchorId="28891398" wp14:editId="18CBF62A">
          <wp:simplePos x="0" y="0"/>
          <wp:positionH relativeFrom="column">
            <wp:posOffset>-1543050</wp:posOffset>
          </wp:positionH>
          <wp:positionV relativeFrom="paragraph">
            <wp:posOffset>1875118</wp:posOffset>
          </wp:positionV>
          <wp:extent cx="1332230" cy="817318"/>
          <wp:effectExtent l="0" t="0" r="1270" b="0"/>
          <wp:wrapNone/>
          <wp:docPr id="1025549533" name="Picture 1025549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332230" cy="81731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95735" w14:textId="3CEE505B" w:rsidR="0005254F" w:rsidRDefault="0005254F" w:rsidP="00A8266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D58F05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B1D6EAA4"/>
    <w:lvl w:ilvl="0">
      <w:start w:val="1"/>
      <w:numFmt w:val="decimal"/>
      <w:pStyle w:val="ListNumber4"/>
      <w:lvlText w:val="%1."/>
      <w:lvlJc w:val="left"/>
      <w:pPr>
        <w:tabs>
          <w:tab w:val="num" w:pos="1440"/>
        </w:tabs>
        <w:ind w:left="1440" w:hanging="360"/>
      </w:pPr>
      <w:rPr>
        <w:rFonts w:hint="default"/>
      </w:rPr>
    </w:lvl>
  </w:abstractNum>
  <w:abstractNum w:abstractNumId="2" w15:restartNumberingAfterBreak="0">
    <w:nsid w:val="FFFFFF7E"/>
    <w:multiLevelType w:val="singleLevel"/>
    <w:tmpl w:val="DD022C46"/>
    <w:lvl w:ilvl="0">
      <w:start w:val="1"/>
      <w:numFmt w:val="decimal"/>
      <w:pStyle w:val="ListNumber3"/>
      <w:lvlText w:val="%1."/>
      <w:lvlJc w:val="left"/>
      <w:pPr>
        <w:tabs>
          <w:tab w:val="num" w:pos="1080"/>
        </w:tabs>
        <w:ind w:left="1080" w:hanging="360"/>
      </w:pPr>
      <w:rPr>
        <w:rFonts w:hint="default"/>
      </w:rPr>
    </w:lvl>
  </w:abstractNum>
  <w:abstractNum w:abstractNumId="3" w15:restartNumberingAfterBreak="0">
    <w:nsid w:val="FFFFFF7F"/>
    <w:multiLevelType w:val="singleLevel"/>
    <w:tmpl w:val="EC1ED52E"/>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468A9AA4"/>
    <w:lvl w:ilvl="0">
      <w:start w:val="1"/>
      <w:numFmt w:val="bullet"/>
      <w:pStyle w:val="ListBullet4"/>
      <w:lvlText w:val=""/>
      <w:lvlJc w:val="left"/>
      <w:pPr>
        <w:tabs>
          <w:tab w:val="num" w:pos="1440"/>
        </w:tabs>
        <w:ind w:left="1440" w:hanging="360"/>
      </w:pPr>
      <w:rPr>
        <w:rFonts w:ascii="Wingdings" w:hAnsi="Wingdings" w:hint="default"/>
        <w:sz w:val="16"/>
      </w:rPr>
    </w:lvl>
  </w:abstractNum>
  <w:abstractNum w:abstractNumId="5" w15:restartNumberingAfterBreak="0">
    <w:nsid w:val="FFFFFF88"/>
    <w:multiLevelType w:val="singleLevel"/>
    <w:tmpl w:val="6898F4AE"/>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618813EA"/>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1D902D3"/>
    <w:multiLevelType w:val="multilevel"/>
    <w:tmpl w:val="70FCDAF0"/>
    <w:lvl w:ilvl="0">
      <w:start w:val="1"/>
      <w:numFmt w:val="upperLetter"/>
      <w:pStyle w:val="SNLevel1"/>
      <w:lvlText w:val="%1."/>
      <w:lvlJc w:val="left"/>
      <w:pPr>
        <w:tabs>
          <w:tab w:val="num" w:pos="1080"/>
        </w:tabs>
        <w:ind w:left="1080" w:hanging="360"/>
      </w:pPr>
      <w:rPr>
        <w:rFonts w:hint="default"/>
      </w:rPr>
    </w:lvl>
    <w:lvl w:ilvl="1">
      <w:start w:val="1"/>
      <w:numFmt w:val="decimal"/>
      <w:lvlText w:val="%1.%2."/>
      <w:lvlJc w:val="left"/>
      <w:pPr>
        <w:tabs>
          <w:tab w:val="num" w:pos="1512"/>
        </w:tabs>
        <w:ind w:left="1512" w:hanging="432"/>
      </w:pPr>
      <w:rPr>
        <w:rFonts w:hint="default"/>
      </w:rPr>
    </w:lvl>
    <w:lvl w:ilvl="2">
      <w:start w:val="1"/>
      <w:numFmt w:val="decimal"/>
      <w:lvlText w:val="%1.%2.%3."/>
      <w:lvlJc w:val="left"/>
      <w:pPr>
        <w:tabs>
          <w:tab w:val="num" w:pos="1944"/>
        </w:tabs>
        <w:ind w:left="1944" w:hanging="504"/>
      </w:pPr>
      <w:rPr>
        <w:rFonts w:hint="default"/>
      </w:rPr>
    </w:lvl>
    <w:lvl w:ilvl="3">
      <w:start w:val="1"/>
      <w:numFmt w:val="decimal"/>
      <w:lvlText w:val="%1.%2.%3.%4."/>
      <w:lvlJc w:val="left"/>
      <w:pPr>
        <w:tabs>
          <w:tab w:val="num" w:pos="252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600"/>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4680"/>
        </w:tabs>
        <w:ind w:left="4464" w:hanging="1224"/>
      </w:pPr>
      <w:rPr>
        <w:rFonts w:hint="default"/>
      </w:rPr>
    </w:lvl>
    <w:lvl w:ilvl="8">
      <w:start w:val="1"/>
      <w:numFmt w:val="decimal"/>
      <w:lvlText w:val="%1.%2.%3.%4.%5.%6.%7.%8.%9."/>
      <w:lvlJc w:val="left"/>
      <w:pPr>
        <w:tabs>
          <w:tab w:val="num" w:pos="5400"/>
        </w:tabs>
        <w:ind w:left="5040" w:hanging="1440"/>
      </w:pPr>
      <w:rPr>
        <w:rFonts w:hint="default"/>
      </w:rPr>
    </w:lvl>
  </w:abstractNum>
  <w:abstractNum w:abstractNumId="8" w15:restartNumberingAfterBreak="0">
    <w:nsid w:val="03365885"/>
    <w:multiLevelType w:val="hybridMultilevel"/>
    <w:tmpl w:val="3A2E43C2"/>
    <w:lvl w:ilvl="0" w:tplc="E934F2F4">
      <w:start w:val="1"/>
      <w:numFmt w:val="bullet"/>
      <w:pStyle w:val="ListBullet2"/>
      <w:lvlText w:val="–"/>
      <w:lvlJc w:val="left"/>
      <w:pPr>
        <w:ind w:left="1440" w:hanging="360"/>
      </w:pPr>
      <w:rPr>
        <w:rFonts w:ascii="Arial" w:hAnsi="Arial" w:hint="default"/>
        <w:sz w:val="20"/>
        <w:szCs w:val="1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41128F2"/>
    <w:multiLevelType w:val="hybridMultilevel"/>
    <w:tmpl w:val="01682998"/>
    <w:lvl w:ilvl="0" w:tplc="2CBEFBDC">
      <w:numFmt w:val="bullet"/>
      <w:lvlText w:val="−"/>
      <w:lvlJc w:val="left"/>
      <w:pPr>
        <w:ind w:left="1080" w:hanging="360"/>
      </w:pPr>
      <w:rPr>
        <w:rFonts w:ascii="Calibri" w:eastAsiaTheme="minorHAnsi" w:hAnsi="Calibri"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4A14CBE"/>
    <w:multiLevelType w:val="hybridMultilevel"/>
    <w:tmpl w:val="A5568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A56871"/>
    <w:multiLevelType w:val="hybridMultilevel"/>
    <w:tmpl w:val="733C48D6"/>
    <w:lvl w:ilvl="0" w:tplc="04090003">
      <w:start w:val="1"/>
      <w:numFmt w:val="bullet"/>
      <w:lvlText w:val="o"/>
      <w:lvlJc w:val="left"/>
      <w:pPr>
        <w:ind w:left="1456" w:hanging="360"/>
      </w:pPr>
      <w:rPr>
        <w:rFonts w:ascii="Courier New" w:hAnsi="Courier New" w:cs="Courier New" w:hint="default"/>
        <w:color w:val="auto"/>
        <w:sz w:val="22"/>
      </w:rPr>
    </w:lvl>
    <w:lvl w:ilvl="1" w:tplc="FFFFFFFF" w:tentative="1">
      <w:start w:val="1"/>
      <w:numFmt w:val="bullet"/>
      <w:lvlText w:val="o"/>
      <w:lvlJc w:val="left"/>
      <w:pPr>
        <w:ind w:left="1456" w:hanging="360"/>
      </w:pPr>
      <w:rPr>
        <w:rFonts w:ascii="Courier New" w:hAnsi="Courier New" w:cs="Courier New" w:hint="default"/>
      </w:rPr>
    </w:lvl>
    <w:lvl w:ilvl="2" w:tplc="FFFFFFFF" w:tentative="1">
      <w:start w:val="1"/>
      <w:numFmt w:val="bullet"/>
      <w:lvlText w:val=""/>
      <w:lvlJc w:val="left"/>
      <w:pPr>
        <w:ind w:left="2176" w:hanging="360"/>
      </w:pPr>
      <w:rPr>
        <w:rFonts w:ascii="Wingdings" w:hAnsi="Wingdings" w:hint="default"/>
      </w:rPr>
    </w:lvl>
    <w:lvl w:ilvl="3" w:tplc="FFFFFFFF">
      <w:start w:val="1"/>
      <w:numFmt w:val="bullet"/>
      <w:lvlText w:val=""/>
      <w:lvlJc w:val="left"/>
      <w:pPr>
        <w:ind w:left="2896" w:hanging="360"/>
      </w:pPr>
      <w:rPr>
        <w:rFonts w:ascii="Symbol" w:hAnsi="Symbol" w:hint="default"/>
      </w:rPr>
    </w:lvl>
    <w:lvl w:ilvl="4" w:tplc="FFFFFFFF" w:tentative="1">
      <w:start w:val="1"/>
      <w:numFmt w:val="bullet"/>
      <w:lvlText w:val="o"/>
      <w:lvlJc w:val="left"/>
      <w:pPr>
        <w:ind w:left="3616" w:hanging="360"/>
      </w:pPr>
      <w:rPr>
        <w:rFonts w:ascii="Courier New" w:hAnsi="Courier New" w:cs="Courier New" w:hint="default"/>
      </w:rPr>
    </w:lvl>
    <w:lvl w:ilvl="5" w:tplc="FFFFFFFF" w:tentative="1">
      <w:start w:val="1"/>
      <w:numFmt w:val="bullet"/>
      <w:lvlText w:val=""/>
      <w:lvlJc w:val="left"/>
      <w:pPr>
        <w:ind w:left="4336" w:hanging="360"/>
      </w:pPr>
      <w:rPr>
        <w:rFonts w:ascii="Wingdings" w:hAnsi="Wingdings" w:hint="default"/>
      </w:rPr>
    </w:lvl>
    <w:lvl w:ilvl="6" w:tplc="FFFFFFFF" w:tentative="1">
      <w:start w:val="1"/>
      <w:numFmt w:val="bullet"/>
      <w:lvlText w:val=""/>
      <w:lvlJc w:val="left"/>
      <w:pPr>
        <w:ind w:left="5056" w:hanging="360"/>
      </w:pPr>
      <w:rPr>
        <w:rFonts w:ascii="Symbol" w:hAnsi="Symbol" w:hint="default"/>
      </w:rPr>
    </w:lvl>
    <w:lvl w:ilvl="7" w:tplc="FFFFFFFF" w:tentative="1">
      <w:start w:val="1"/>
      <w:numFmt w:val="bullet"/>
      <w:lvlText w:val="o"/>
      <w:lvlJc w:val="left"/>
      <w:pPr>
        <w:ind w:left="5776" w:hanging="360"/>
      </w:pPr>
      <w:rPr>
        <w:rFonts w:ascii="Courier New" w:hAnsi="Courier New" w:cs="Courier New" w:hint="default"/>
      </w:rPr>
    </w:lvl>
    <w:lvl w:ilvl="8" w:tplc="FFFFFFFF" w:tentative="1">
      <w:start w:val="1"/>
      <w:numFmt w:val="bullet"/>
      <w:lvlText w:val=""/>
      <w:lvlJc w:val="left"/>
      <w:pPr>
        <w:ind w:left="6496" w:hanging="360"/>
      </w:pPr>
      <w:rPr>
        <w:rFonts w:ascii="Wingdings" w:hAnsi="Wingdings" w:hint="default"/>
      </w:rPr>
    </w:lvl>
  </w:abstractNum>
  <w:abstractNum w:abstractNumId="12" w15:restartNumberingAfterBreak="0">
    <w:nsid w:val="04C3557D"/>
    <w:multiLevelType w:val="hybridMultilevel"/>
    <w:tmpl w:val="CB24A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BD35AD"/>
    <w:multiLevelType w:val="hybridMultilevel"/>
    <w:tmpl w:val="B6427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BE0869"/>
    <w:multiLevelType w:val="hybridMultilevel"/>
    <w:tmpl w:val="E34A2B36"/>
    <w:lvl w:ilvl="0" w:tplc="D286F9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A96F69"/>
    <w:multiLevelType w:val="hybridMultilevel"/>
    <w:tmpl w:val="B27020C4"/>
    <w:lvl w:ilvl="0" w:tplc="2CBEFBDC">
      <w:numFmt w:val="bullet"/>
      <w:lvlText w:val="−"/>
      <w:lvlJc w:val="left"/>
      <w:pPr>
        <w:ind w:left="1080" w:hanging="360"/>
      </w:pPr>
      <w:rPr>
        <w:rFonts w:ascii="Calibri" w:eastAsiaTheme="minorHAnsi" w:hAnsi="Calibri"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0CC1EB1"/>
    <w:multiLevelType w:val="hybridMultilevel"/>
    <w:tmpl w:val="25DCB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C7562B"/>
    <w:multiLevelType w:val="hybridMultilevel"/>
    <w:tmpl w:val="2E9A10EA"/>
    <w:lvl w:ilvl="0" w:tplc="227A01BE">
      <w:start w:val="1"/>
      <w:numFmt w:val="upperLetter"/>
      <w:pStyle w:val="List"/>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14E71247"/>
    <w:multiLevelType w:val="hybridMultilevel"/>
    <w:tmpl w:val="C5D28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333301"/>
    <w:multiLevelType w:val="hybridMultilevel"/>
    <w:tmpl w:val="F0F23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C954019"/>
    <w:multiLevelType w:val="hybridMultilevel"/>
    <w:tmpl w:val="88EA0EC2"/>
    <w:lvl w:ilvl="0" w:tplc="2CBEFBDC">
      <w:numFmt w:val="bullet"/>
      <w:lvlText w:val="−"/>
      <w:lvlJc w:val="left"/>
      <w:pPr>
        <w:ind w:left="720" w:hanging="360"/>
      </w:pPr>
      <w:rPr>
        <w:rFonts w:ascii="Calibri" w:eastAsiaTheme="minorHAnsi" w:hAnsi="Calibri"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DDC426D"/>
    <w:multiLevelType w:val="hybridMultilevel"/>
    <w:tmpl w:val="31D62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0B5023"/>
    <w:multiLevelType w:val="hybridMultilevel"/>
    <w:tmpl w:val="14BCC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8431E4"/>
    <w:multiLevelType w:val="hybridMultilevel"/>
    <w:tmpl w:val="5986FD80"/>
    <w:lvl w:ilvl="0" w:tplc="FFFFFFFF">
      <w:start w:val="1"/>
      <w:numFmt w:val="bullet"/>
      <w:lvlText w:val=""/>
      <w:lvlJc w:val="left"/>
      <w:pPr>
        <w:ind w:left="720" w:hanging="360"/>
      </w:pPr>
      <w:rPr>
        <w:rFonts w:ascii="Symbol" w:hAnsi="Symbol" w:hint="default"/>
      </w:rPr>
    </w:lvl>
    <w:lvl w:ilvl="1" w:tplc="5038F6CA">
      <w:start w:val="1"/>
      <w:numFmt w:val="bullet"/>
      <w:lvlText w:val="–"/>
      <w:lvlJc w:val="left"/>
      <w:pPr>
        <w:ind w:left="1440" w:hanging="360"/>
      </w:pPr>
      <w:rPr>
        <w:rFonts w:ascii="Arial" w:hAnsi="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3C212C4"/>
    <w:multiLevelType w:val="hybridMultilevel"/>
    <w:tmpl w:val="F2EE4588"/>
    <w:lvl w:ilvl="0" w:tplc="2326DA48">
      <w:start w:val="1"/>
      <w:numFmt w:val="upperLetter"/>
      <w:pStyle w:val="List4"/>
      <w:lvlText w:val="%1."/>
      <w:lvlJc w:val="left"/>
      <w:pPr>
        <w:ind w:left="216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5" w15:restartNumberingAfterBreak="0">
    <w:nsid w:val="294F02BC"/>
    <w:multiLevelType w:val="hybridMultilevel"/>
    <w:tmpl w:val="75E4216A"/>
    <w:lvl w:ilvl="0" w:tplc="2202FB32">
      <w:start w:val="1"/>
      <w:numFmt w:val="bullet"/>
      <w:pStyle w:val="BulletLevel3More"/>
      <w:lvlText w:val=""/>
      <w:lvlJc w:val="left"/>
      <w:pPr>
        <w:ind w:left="720" w:hanging="360"/>
      </w:pPr>
      <w:rPr>
        <w:rFonts w:ascii="Symbol" w:hAnsi="Symbol" w:hint="default"/>
        <w:b w:val="0"/>
        <w:i w:val="0"/>
        <w:caps w:val="0"/>
        <w:strike w:val="0"/>
        <w:dstrike w:val="0"/>
        <w:vanish w:val="0"/>
        <w:color w:val="7F7F7F" w:themeColor="text1" w:themeTint="80"/>
        <w:sz w:val="20"/>
        <w:szCs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A6054DA"/>
    <w:multiLevelType w:val="hybridMultilevel"/>
    <w:tmpl w:val="E4A04986"/>
    <w:lvl w:ilvl="0" w:tplc="CD386C32">
      <w:start w:val="1"/>
      <w:numFmt w:val="decimal"/>
      <w:pStyle w:val="LFTNumberedList"/>
      <w:lvlText w:val="%1."/>
      <w:lvlJc w:val="left"/>
      <w:pPr>
        <w:ind w:left="936" w:hanging="360"/>
      </w:p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7" w15:restartNumberingAfterBreak="0">
    <w:nsid w:val="2ACA4976"/>
    <w:multiLevelType w:val="hybridMultilevel"/>
    <w:tmpl w:val="9D9CF13E"/>
    <w:lvl w:ilvl="0" w:tplc="9B7EB45C">
      <w:start w:val="1"/>
      <w:numFmt w:val="decimal"/>
      <w:pStyle w:val="TOCList"/>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15:restartNumberingAfterBreak="0">
    <w:nsid w:val="31F114B5"/>
    <w:multiLevelType w:val="hybridMultilevel"/>
    <w:tmpl w:val="164E2E5A"/>
    <w:lvl w:ilvl="0" w:tplc="83CCC7D4">
      <w:start w:val="1"/>
      <w:numFmt w:val="decimal"/>
      <w:lvlText w:val="(%1)"/>
      <w:lvlJc w:val="left"/>
      <w:pPr>
        <w:ind w:left="360" w:hanging="360"/>
      </w:pPr>
      <w:rPr>
        <w:rFonts w:ascii="Times New Roman" w:hAnsi="Times New Roman" w:hint="default"/>
        <w:b w:val="0"/>
        <w:i w:val="0"/>
        <w:w w:val="99"/>
        <w:sz w:val="24"/>
        <w:szCs w:val="24"/>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9" w15:restartNumberingAfterBreak="0">
    <w:nsid w:val="32AF0E91"/>
    <w:multiLevelType w:val="hybridMultilevel"/>
    <w:tmpl w:val="2C82D6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0A2C1A"/>
    <w:multiLevelType w:val="hybridMultilevel"/>
    <w:tmpl w:val="58D2DAE8"/>
    <w:lvl w:ilvl="0" w:tplc="B2D07B42">
      <w:start w:val="1"/>
      <w:numFmt w:val="bullet"/>
      <w:lvlText w:val="■"/>
      <w:lvlJc w:val="left"/>
      <w:pPr>
        <w:ind w:left="720" w:hanging="360"/>
      </w:pPr>
      <w:rPr>
        <w:rFonts w:ascii="Garamond" w:hAnsi="Garamond" w:hint="default"/>
        <w:color w:val="auto"/>
        <w:sz w:val="22"/>
      </w:rPr>
    </w:lvl>
    <w:lvl w:ilvl="1" w:tplc="2CBEFBDC">
      <w:numFmt w:val="bullet"/>
      <w:lvlText w:val="−"/>
      <w:lvlJc w:val="left"/>
      <w:pPr>
        <w:ind w:left="1440" w:hanging="360"/>
      </w:pPr>
      <w:rPr>
        <w:rFonts w:ascii="Calibri" w:eastAsiaTheme="minorHAnsi"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6342C53"/>
    <w:multiLevelType w:val="hybridMultilevel"/>
    <w:tmpl w:val="0796780E"/>
    <w:lvl w:ilvl="0" w:tplc="31C0D9CA">
      <w:start w:val="1"/>
      <w:numFmt w:val="bullet"/>
      <w:pStyle w:val="ListBullet"/>
      <w:lvlText w:val=""/>
      <w:lvlJc w:val="left"/>
      <w:pPr>
        <w:ind w:left="360" w:hanging="360"/>
      </w:pPr>
      <w:rPr>
        <w:rFonts w:ascii="Symbol" w:hAnsi="Symbol" w:hint="default"/>
        <w:sz w:val="24"/>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2" w15:restartNumberingAfterBreak="0">
    <w:nsid w:val="3BFA383C"/>
    <w:multiLevelType w:val="hybridMultilevel"/>
    <w:tmpl w:val="78C24A30"/>
    <w:lvl w:ilvl="0" w:tplc="E0549DF4">
      <w:start w:val="1"/>
      <w:numFmt w:val="upperLetter"/>
      <w:pStyle w:val="List3"/>
      <w:lvlText w:val="%1."/>
      <w:lvlJc w:val="left"/>
      <w:pPr>
        <w:ind w:left="108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3" w15:restartNumberingAfterBreak="0">
    <w:nsid w:val="3CC75D18"/>
    <w:multiLevelType w:val="hybridMultilevel"/>
    <w:tmpl w:val="9C4ECFB2"/>
    <w:lvl w:ilvl="0" w:tplc="EAF4569E">
      <w:start w:val="1"/>
      <w:numFmt w:val="bullet"/>
      <w:pStyle w:val="BulletNew"/>
      <w:lvlText w:val=""/>
      <w:lvlJc w:val="left"/>
      <w:pPr>
        <w:ind w:left="720" w:hanging="360"/>
      </w:pPr>
      <w:rPr>
        <w:rFonts w:ascii="Yu Mincho Light" w:hAnsi="Yu Mincho Light" w:hint="default"/>
      </w:rPr>
    </w:lvl>
    <w:lvl w:ilvl="1" w:tplc="04090003">
      <w:start w:val="1"/>
      <w:numFmt w:val="bullet"/>
      <w:lvlText w:val="o"/>
      <w:lvlJc w:val="left"/>
      <w:pPr>
        <w:ind w:left="1440" w:hanging="360"/>
      </w:pPr>
      <w:rPr>
        <w:rFonts w:ascii="Yu Mincho Light" w:hAnsi="Yu Mincho Light" w:cs="Yu Mincho Light" w:hint="default"/>
      </w:rPr>
    </w:lvl>
    <w:lvl w:ilvl="2" w:tplc="04090005" w:tentative="1">
      <w:start w:val="1"/>
      <w:numFmt w:val="bullet"/>
      <w:lvlText w:val=""/>
      <w:lvlJc w:val="left"/>
      <w:pPr>
        <w:ind w:left="2160" w:hanging="360"/>
      </w:pPr>
      <w:rPr>
        <w:rFonts w:ascii="Cambria Math" w:hAnsi="Cambria Math" w:hint="default"/>
      </w:rPr>
    </w:lvl>
    <w:lvl w:ilvl="3" w:tplc="04090001" w:tentative="1">
      <w:start w:val="1"/>
      <w:numFmt w:val="bullet"/>
      <w:lvlText w:val=""/>
      <w:lvlJc w:val="left"/>
      <w:pPr>
        <w:ind w:left="2880" w:hanging="360"/>
      </w:pPr>
      <w:rPr>
        <w:rFonts w:ascii="Yu Mincho Light" w:hAnsi="Yu Mincho Light" w:hint="default"/>
      </w:rPr>
    </w:lvl>
    <w:lvl w:ilvl="4" w:tplc="04090003" w:tentative="1">
      <w:start w:val="1"/>
      <w:numFmt w:val="bullet"/>
      <w:lvlText w:val="o"/>
      <w:lvlJc w:val="left"/>
      <w:pPr>
        <w:ind w:left="3600" w:hanging="360"/>
      </w:pPr>
      <w:rPr>
        <w:rFonts w:ascii="Yu Mincho Light" w:hAnsi="Yu Mincho Light" w:cs="Yu Mincho Light" w:hint="default"/>
      </w:rPr>
    </w:lvl>
    <w:lvl w:ilvl="5" w:tplc="04090005" w:tentative="1">
      <w:start w:val="1"/>
      <w:numFmt w:val="bullet"/>
      <w:lvlText w:val=""/>
      <w:lvlJc w:val="left"/>
      <w:pPr>
        <w:ind w:left="4320" w:hanging="360"/>
      </w:pPr>
      <w:rPr>
        <w:rFonts w:ascii="Cambria Math" w:hAnsi="Cambria Math" w:hint="default"/>
      </w:rPr>
    </w:lvl>
    <w:lvl w:ilvl="6" w:tplc="04090001" w:tentative="1">
      <w:start w:val="1"/>
      <w:numFmt w:val="bullet"/>
      <w:lvlText w:val=""/>
      <w:lvlJc w:val="left"/>
      <w:pPr>
        <w:ind w:left="5040" w:hanging="360"/>
      </w:pPr>
      <w:rPr>
        <w:rFonts w:ascii="Yu Mincho Light" w:hAnsi="Yu Mincho Light" w:hint="default"/>
      </w:rPr>
    </w:lvl>
    <w:lvl w:ilvl="7" w:tplc="04090003" w:tentative="1">
      <w:start w:val="1"/>
      <w:numFmt w:val="bullet"/>
      <w:lvlText w:val="o"/>
      <w:lvlJc w:val="left"/>
      <w:pPr>
        <w:ind w:left="5760" w:hanging="360"/>
      </w:pPr>
      <w:rPr>
        <w:rFonts w:ascii="Yu Mincho Light" w:hAnsi="Yu Mincho Light" w:cs="Yu Mincho Light" w:hint="default"/>
      </w:rPr>
    </w:lvl>
    <w:lvl w:ilvl="8" w:tplc="04090005" w:tentative="1">
      <w:start w:val="1"/>
      <w:numFmt w:val="bullet"/>
      <w:lvlText w:val=""/>
      <w:lvlJc w:val="left"/>
      <w:pPr>
        <w:ind w:left="6480" w:hanging="360"/>
      </w:pPr>
      <w:rPr>
        <w:rFonts w:ascii="Cambria Math" w:hAnsi="Cambria Math" w:hint="default"/>
      </w:rPr>
    </w:lvl>
  </w:abstractNum>
  <w:abstractNum w:abstractNumId="34" w15:restartNumberingAfterBreak="0">
    <w:nsid w:val="3D094F76"/>
    <w:multiLevelType w:val="hybridMultilevel"/>
    <w:tmpl w:val="71B23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3957CA7"/>
    <w:multiLevelType w:val="hybridMultilevel"/>
    <w:tmpl w:val="33DCF1CA"/>
    <w:lvl w:ilvl="0" w:tplc="73FADF3A">
      <w:start w:val="1"/>
      <w:numFmt w:val="upperLetter"/>
      <w:pStyle w:val="List2"/>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4DC4168C"/>
    <w:multiLevelType w:val="hybridMultilevel"/>
    <w:tmpl w:val="16FAE21C"/>
    <w:lvl w:ilvl="0" w:tplc="04090001">
      <w:start w:val="1"/>
      <w:numFmt w:val="bullet"/>
      <w:lvlText w:val=""/>
      <w:lvlJc w:val="left"/>
      <w:pPr>
        <w:ind w:left="1080" w:hanging="360"/>
      </w:pPr>
      <w:rPr>
        <w:rFonts w:ascii="Symbol" w:hAnsi="Symbol" w:hint="default"/>
        <w:color w:val="auto"/>
        <w:sz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4E8F1675"/>
    <w:multiLevelType w:val="hybridMultilevel"/>
    <w:tmpl w:val="59E2C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F680556"/>
    <w:multiLevelType w:val="hybridMultilevel"/>
    <w:tmpl w:val="BB0A1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4F20AAF"/>
    <w:multiLevelType w:val="hybridMultilevel"/>
    <w:tmpl w:val="9F0E7D5E"/>
    <w:lvl w:ilvl="0" w:tplc="1B52A0D4">
      <w:start w:val="1"/>
      <w:numFmt w:val="bullet"/>
      <w:pStyle w:val="BulletLevel2Less"/>
      <w:lvlText w:val=""/>
      <w:lvlJc w:val="left"/>
      <w:pPr>
        <w:ind w:left="1267" w:hanging="360"/>
      </w:pPr>
      <w:rPr>
        <w:rFonts w:ascii="Wingdings" w:hAnsi="Wingdings" w:hint="default"/>
        <w:b w:val="0"/>
        <w:i w:val="0"/>
        <w:color w:val="7F7F7F" w:themeColor="text1" w:themeTint="80"/>
        <w:sz w:val="18"/>
        <w:szCs w:val="20"/>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56513902"/>
    <w:multiLevelType w:val="singleLevel"/>
    <w:tmpl w:val="AD86A028"/>
    <w:lvl w:ilvl="0">
      <w:start w:val="1"/>
      <w:numFmt w:val="bullet"/>
      <w:pStyle w:val="CDMLetterBULLET"/>
      <w:lvlText w:val=""/>
      <w:lvlJc w:val="left"/>
      <w:pPr>
        <w:tabs>
          <w:tab w:val="num" w:pos="720"/>
        </w:tabs>
        <w:ind w:left="720" w:hanging="360"/>
      </w:pPr>
      <w:rPr>
        <w:rFonts w:ascii="Wingdings" w:hAnsi="Wingdings" w:hint="default"/>
        <w:color w:val="003D74"/>
        <w:sz w:val="16"/>
      </w:rPr>
    </w:lvl>
  </w:abstractNum>
  <w:abstractNum w:abstractNumId="41" w15:restartNumberingAfterBreak="0">
    <w:nsid w:val="567E6FBE"/>
    <w:multiLevelType w:val="hybridMultilevel"/>
    <w:tmpl w:val="A8CC4D6C"/>
    <w:lvl w:ilvl="0" w:tplc="2894371A">
      <w:start w:val="1"/>
      <w:numFmt w:val="lowerLetter"/>
      <w:pStyle w:val="ListNo2"/>
      <w:lvlText w:val="%1."/>
      <w:lvlJc w:val="left"/>
      <w:pPr>
        <w:ind w:left="720" w:hanging="360"/>
      </w:pPr>
      <w:rPr>
        <w:rFonts w:ascii="Times New Roman" w:hAnsi="Times New Roman" w:cs="Times New Roman" w:hint="default"/>
        <w:b w:val="0"/>
        <w:i w:val="0"/>
        <w:w w:val="99"/>
        <w:sz w:val="24"/>
        <w:szCs w:val="18"/>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2" w15:restartNumberingAfterBreak="0">
    <w:nsid w:val="570D5037"/>
    <w:multiLevelType w:val="hybridMultilevel"/>
    <w:tmpl w:val="D2C8E0F8"/>
    <w:lvl w:ilvl="0" w:tplc="B2D07B42">
      <w:start w:val="1"/>
      <w:numFmt w:val="bullet"/>
      <w:pStyle w:val="00Bullet1"/>
      <w:lvlText w:val="■"/>
      <w:lvlJc w:val="left"/>
      <w:pPr>
        <w:ind w:left="1080" w:hanging="360"/>
      </w:pPr>
      <w:rPr>
        <w:rFonts w:ascii="Garamond" w:hAnsi="Garamond" w:hint="default"/>
        <w:color w:val="auto"/>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86136E3"/>
    <w:multiLevelType w:val="hybridMultilevel"/>
    <w:tmpl w:val="9DAE98E8"/>
    <w:lvl w:ilvl="0" w:tplc="F9749C96">
      <w:start w:val="1"/>
      <w:numFmt w:val="decimal"/>
      <w:pStyle w:val="ListNo1"/>
      <w:lvlText w:val="%1."/>
      <w:lvlJc w:val="left"/>
      <w:pPr>
        <w:ind w:left="360" w:hanging="360"/>
      </w:pPr>
      <w:rPr>
        <w:rFonts w:ascii="Times New Roman" w:hAnsi="Times New Roman" w:cs="Times New Roman" w:hint="default"/>
        <w:b w:val="0"/>
        <w:i w:val="0"/>
        <w:w w:val="99"/>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5D084933"/>
    <w:multiLevelType w:val="hybridMultilevel"/>
    <w:tmpl w:val="181687F2"/>
    <w:lvl w:ilvl="0" w:tplc="04090001">
      <w:start w:val="1"/>
      <w:numFmt w:val="bullet"/>
      <w:lvlText w:val=""/>
      <w:lvlJc w:val="left"/>
      <w:pPr>
        <w:ind w:left="1080" w:hanging="360"/>
      </w:pPr>
      <w:rPr>
        <w:rFonts w:ascii="Symbol" w:hAnsi="Symbol" w:hint="default"/>
        <w:color w:val="auto"/>
        <w:sz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65314460"/>
    <w:multiLevelType w:val="multilevel"/>
    <w:tmpl w:val="359E376E"/>
    <w:styleLink w:val="LFTBullets"/>
    <w:lvl w:ilvl="0">
      <w:start w:val="1"/>
      <w:numFmt w:val="bullet"/>
      <w:pStyle w:val="LFTBullet1"/>
      <w:lvlText w:val=""/>
      <w:lvlJc w:val="left"/>
      <w:pPr>
        <w:ind w:left="630" w:hanging="360"/>
      </w:pPr>
      <w:rPr>
        <w:rFonts w:ascii="Wingdings" w:hAnsi="Wingdings" w:hint="default"/>
        <w:b/>
        <w:i w:val="0"/>
        <w:color w:val="1F497D" w:themeColor="text2"/>
        <w:sz w:val="24"/>
        <w:szCs w:val="24"/>
      </w:rPr>
    </w:lvl>
    <w:lvl w:ilvl="1">
      <w:start w:val="1"/>
      <w:numFmt w:val="bullet"/>
      <w:pStyle w:val="LFTBullet2"/>
      <w:lvlText w:val=""/>
      <w:lvlJc w:val="left"/>
      <w:pPr>
        <w:ind w:left="936" w:hanging="360"/>
      </w:pPr>
      <w:rPr>
        <w:rFonts w:ascii="Symbol" w:hAnsi="Symbol" w:hint="default"/>
        <w:color w:val="1F497D" w:themeColor="text2"/>
      </w:rPr>
    </w:lvl>
    <w:lvl w:ilvl="2">
      <w:start w:val="1"/>
      <w:numFmt w:val="bullet"/>
      <w:pStyle w:val="LFTBullet3"/>
      <w:lvlText w:val="o"/>
      <w:lvlJc w:val="left"/>
      <w:pPr>
        <w:ind w:left="720" w:firstLine="187"/>
      </w:pPr>
      <w:rPr>
        <w:rFonts w:ascii="Courier New" w:hAnsi="Courier New" w:hint="default"/>
        <w:color w:val="1F497D" w:themeColor="text2"/>
      </w:rPr>
    </w:lvl>
    <w:lvl w:ilvl="3">
      <w:start w:val="1"/>
      <w:numFmt w:val="bullet"/>
      <w:pStyle w:val="LFTBullet4"/>
      <w:lvlText w:val="―"/>
      <w:lvlJc w:val="left"/>
      <w:pPr>
        <w:ind w:left="1267" w:firstLine="360"/>
      </w:pPr>
      <w:rPr>
        <w:rFonts w:ascii="Cambria" w:hAnsi="Cambria" w:hint="default"/>
      </w:rPr>
    </w:lvl>
    <w:lvl w:ilvl="4">
      <w:start w:val="1"/>
      <w:numFmt w:val="bullet"/>
      <w:lvlText w:val="o"/>
      <w:lvlJc w:val="left"/>
      <w:pPr>
        <w:ind w:left="4896" w:hanging="360"/>
      </w:pPr>
      <w:rPr>
        <w:rFonts w:ascii="Courier New" w:hAnsi="Courier New" w:hint="default"/>
      </w:rPr>
    </w:lvl>
    <w:lvl w:ilvl="5">
      <w:start w:val="1"/>
      <w:numFmt w:val="bullet"/>
      <w:lvlText w:val=""/>
      <w:lvlJc w:val="left"/>
      <w:pPr>
        <w:ind w:left="5616" w:hanging="360"/>
      </w:pPr>
      <w:rPr>
        <w:rFonts w:ascii="Wingdings" w:hAnsi="Wingdings" w:hint="default"/>
      </w:rPr>
    </w:lvl>
    <w:lvl w:ilvl="6">
      <w:start w:val="1"/>
      <w:numFmt w:val="bullet"/>
      <w:lvlText w:val=""/>
      <w:lvlJc w:val="left"/>
      <w:pPr>
        <w:ind w:left="6336" w:hanging="360"/>
      </w:pPr>
      <w:rPr>
        <w:rFonts w:ascii="Symbol" w:hAnsi="Symbol" w:hint="default"/>
      </w:rPr>
    </w:lvl>
    <w:lvl w:ilvl="7">
      <w:start w:val="1"/>
      <w:numFmt w:val="bullet"/>
      <w:lvlText w:val="o"/>
      <w:lvlJc w:val="left"/>
      <w:pPr>
        <w:ind w:left="7056" w:hanging="360"/>
      </w:pPr>
      <w:rPr>
        <w:rFonts w:ascii="Courier New" w:hAnsi="Courier New" w:cs="Courier New" w:hint="default"/>
      </w:rPr>
    </w:lvl>
    <w:lvl w:ilvl="8">
      <w:start w:val="1"/>
      <w:numFmt w:val="bullet"/>
      <w:lvlText w:val=""/>
      <w:lvlJc w:val="left"/>
      <w:pPr>
        <w:ind w:left="7776" w:hanging="360"/>
      </w:pPr>
      <w:rPr>
        <w:rFonts w:ascii="Wingdings" w:hAnsi="Wingdings" w:hint="default"/>
      </w:rPr>
    </w:lvl>
  </w:abstractNum>
  <w:abstractNum w:abstractNumId="46" w15:restartNumberingAfterBreak="0">
    <w:nsid w:val="66230B76"/>
    <w:multiLevelType w:val="hybridMultilevel"/>
    <w:tmpl w:val="A4C0F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7020540"/>
    <w:multiLevelType w:val="hybridMultilevel"/>
    <w:tmpl w:val="3A065E2C"/>
    <w:lvl w:ilvl="0" w:tplc="B5224FFC">
      <w:start w:val="1"/>
      <w:numFmt w:val="upperLetter"/>
      <w:pStyle w:val="List5"/>
      <w:lvlText w:val="%1."/>
      <w:lvlJc w:val="left"/>
      <w:pPr>
        <w:ind w:left="2520" w:hanging="36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48" w15:restartNumberingAfterBreak="0">
    <w:nsid w:val="67FD2BB4"/>
    <w:multiLevelType w:val="hybridMultilevel"/>
    <w:tmpl w:val="39E4346E"/>
    <w:lvl w:ilvl="0" w:tplc="99B43106">
      <w:start w:val="1"/>
      <w:numFmt w:val="decimal"/>
      <w:lvlText w:val="%1."/>
      <w:lvlJc w:val="left"/>
      <w:pPr>
        <w:ind w:left="720" w:hanging="360"/>
      </w:pPr>
      <w:rPr>
        <w:rFonts w:hint="default"/>
        <w:b w:val="0"/>
        <w:i w:val="0"/>
        <w:sz w:val="24"/>
      </w:rPr>
    </w:lvl>
    <w:lvl w:ilvl="1" w:tplc="04090003">
      <w:start w:val="1"/>
      <w:numFmt w:val="bullet"/>
      <w:lvlText w:val="o"/>
      <w:lvlJc w:val="left"/>
      <w:pPr>
        <w:ind w:left="1440" w:hanging="360"/>
      </w:pPr>
      <w:rPr>
        <w:rFonts w:ascii="Yu Mincho Light" w:hAnsi="Yu Mincho Light" w:cs="Yu Mincho Light" w:hint="default"/>
      </w:rPr>
    </w:lvl>
    <w:lvl w:ilvl="2" w:tplc="04090005" w:tentative="1">
      <w:start w:val="1"/>
      <w:numFmt w:val="bullet"/>
      <w:lvlText w:val=""/>
      <w:lvlJc w:val="left"/>
      <w:pPr>
        <w:ind w:left="2160" w:hanging="360"/>
      </w:pPr>
      <w:rPr>
        <w:rFonts w:ascii="Cambria Math" w:hAnsi="Cambria Math" w:hint="default"/>
      </w:rPr>
    </w:lvl>
    <w:lvl w:ilvl="3" w:tplc="04090001" w:tentative="1">
      <w:start w:val="1"/>
      <w:numFmt w:val="bullet"/>
      <w:lvlText w:val=""/>
      <w:lvlJc w:val="left"/>
      <w:pPr>
        <w:ind w:left="2880" w:hanging="360"/>
      </w:pPr>
      <w:rPr>
        <w:rFonts w:ascii="Yu Mincho Light" w:hAnsi="Yu Mincho Light" w:hint="default"/>
      </w:rPr>
    </w:lvl>
    <w:lvl w:ilvl="4" w:tplc="04090003" w:tentative="1">
      <w:start w:val="1"/>
      <w:numFmt w:val="bullet"/>
      <w:lvlText w:val="o"/>
      <w:lvlJc w:val="left"/>
      <w:pPr>
        <w:ind w:left="3600" w:hanging="360"/>
      </w:pPr>
      <w:rPr>
        <w:rFonts w:ascii="Yu Mincho Light" w:hAnsi="Yu Mincho Light" w:cs="Yu Mincho Light" w:hint="default"/>
      </w:rPr>
    </w:lvl>
    <w:lvl w:ilvl="5" w:tplc="04090005" w:tentative="1">
      <w:start w:val="1"/>
      <w:numFmt w:val="bullet"/>
      <w:lvlText w:val=""/>
      <w:lvlJc w:val="left"/>
      <w:pPr>
        <w:ind w:left="4320" w:hanging="360"/>
      </w:pPr>
      <w:rPr>
        <w:rFonts w:ascii="Cambria Math" w:hAnsi="Cambria Math" w:hint="default"/>
      </w:rPr>
    </w:lvl>
    <w:lvl w:ilvl="6" w:tplc="04090001" w:tentative="1">
      <w:start w:val="1"/>
      <w:numFmt w:val="bullet"/>
      <w:lvlText w:val=""/>
      <w:lvlJc w:val="left"/>
      <w:pPr>
        <w:ind w:left="5040" w:hanging="360"/>
      </w:pPr>
      <w:rPr>
        <w:rFonts w:ascii="Yu Mincho Light" w:hAnsi="Yu Mincho Light" w:hint="default"/>
      </w:rPr>
    </w:lvl>
    <w:lvl w:ilvl="7" w:tplc="04090003" w:tentative="1">
      <w:start w:val="1"/>
      <w:numFmt w:val="bullet"/>
      <w:lvlText w:val="o"/>
      <w:lvlJc w:val="left"/>
      <w:pPr>
        <w:ind w:left="5760" w:hanging="360"/>
      </w:pPr>
      <w:rPr>
        <w:rFonts w:ascii="Yu Mincho Light" w:hAnsi="Yu Mincho Light" w:cs="Yu Mincho Light" w:hint="default"/>
      </w:rPr>
    </w:lvl>
    <w:lvl w:ilvl="8" w:tplc="04090005" w:tentative="1">
      <w:start w:val="1"/>
      <w:numFmt w:val="bullet"/>
      <w:lvlText w:val=""/>
      <w:lvlJc w:val="left"/>
      <w:pPr>
        <w:ind w:left="6480" w:hanging="360"/>
      </w:pPr>
      <w:rPr>
        <w:rFonts w:ascii="Cambria Math" w:hAnsi="Cambria Math" w:hint="default"/>
      </w:rPr>
    </w:lvl>
  </w:abstractNum>
  <w:abstractNum w:abstractNumId="49" w15:restartNumberingAfterBreak="0">
    <w:nsid w:val="689E3B16"/>
    <w:multiLevelType w:val="hybridMultilevel"/>
    <w:tmpl w:val="3DAE8CEC"/>
    <w:lvl w:ilvl="0" w:tplc="FFFFFFFF">
      <w:start w:val="1"/>
      <w:numFmt w:val="bullet"/>
      <w:lvlText w:val=""/>
      <w:lvlJc w:val="left"/>
      <w:pPr>
        <w:ind w:left="1080" w:hanging="360"/>
      </w:pPr>
      <w:rPr>
        <w:rFonts w:ascii="Symbol" w:hAnsi="Symbol" w:hint="default"/>
        <w:sz w:val="24"/>
      </w:rPr>
    </w:lvl>
    <w:lvl w:ilvl="1" w:tplc="5038F6CA">
      <w:start w:val="1"/>
      <w:numFmt w:val="bullet"/>
      <w:lvlText w:val="–"/>
      <w:lvlJc w:val="left"/>
      <w:pPr>
        <w:ind w:left="1440" w:hanging="360"/>
      </w:pPr>
      <w:rPr>
        <w:rFonts w:ascii="Arial" w:hAnsi="Aria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69D26041"/>
    <w:multiLevelType w:val="hybridMultilevel"/>
    <w:tmpl w:val="0AA4A022"/>
    <w:lvl w:ilvl="0" w:tplc="2CBEFBDC">
      <w:numFmt w:val="bullet"/>
      <w:lvlText w:val="−"/>
      <w:lvlJc w:val="left"/>
      <w:pPr>
        <w:ind w:left="1080" w:hanging="360"/>
      </w:pPr>
      <w:rPr>
        <w:rFonts w:ascii="Calibri" w:eastAsiaTheme="minorHAnsi" w:hAnsi="Calibri" w:hint="default"/>
        <w:color w:val="auto"/>
        <w:sz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 w15:restartNumberingAfterBreak="0">
    <w:nsid w:val="6C584214"/>
    <w:multiLevelType w:val="hybridMultilevel"/>
    <w:tmpl w:val="921A9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C6B079C"/>
    <w:multiLevelType w:val="hybridMultilevel"/>
    <w:tmpl w:val="E598794E"/>
    <w:lvl w:ilvl="0" w:tplc="04090001">
      <w:start w:val="1"/>
      <w:numFmt w:val="bullet"/>
      <w:lvlText w:val=""/>
      <w:lvlJc w:val="left"/>
      <w:pPr>
        <w:ind w:left="1080" w:hanging="360"/>
      </w:pPr>
      <w:rPr>
        <w:rFonts w:ascii="Symbol" w:hAnsi="Symbol" w:hint="default"/>
        <w:color w:val="auto"/>
        <w:sz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3" w15:restartNumberingAfterBreak="0">
    <w:nsid w:val="73AE3BC8"/>
    <w:multiLevelType w:val="hybridMultilevel"/>
    <w:tmpl w:val="754C8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58240A5"/>
    <w:multiLevelType w:val="multilevel"/>
    <w:tmpl w:val="6F56D704"/>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2322"/>
        </w:tabs>
        <w:ind w:left="2322" w:hanging="792"/>
      </w:pPr>
      <w:rPr>
        <w:rFonts w:hint="default"/>
      </w:rPr>
    </w:lvl>
    <w:lvl w:ilvl="2">
      <w:start w:val="1"/>
      <w:numFmt w:val="decimal"/>
      <w:pStyle w:val="Heading3"/>
      <w:lvlText w:val="%1.%2.%3"/>
      <w:lvlJc w:val="left"/>
      <w:pPr>
        <w:tabs>
          <w:tab w:val="num" w:pos="864"/>
        </w:tabs>
        <w:ind w:left="864" w:hanging="864"/>
      </w:pPr>
      <w:rPr>
        <w:rFonts w:hint="default"/>
      </w:rPr>
    </w:lvl>
    <w:lvl w:ilvl="3">
      <w:start w:val="1"/>
      <w:numFmt w:val="decimal"/>
      <w:pStyle w:val="Heading4"/>
      <w:lvlText w:val="%1.%2.%3.%4"/>
      <w:lvlJc w:val="left"/>
      <w:pPr>
        <w:tabs>
          <w:tab w:val="num" w:pos="4446"/>
        </w:tabs>
        <w:ind w:left="4446" w:hanging="936"/>
      </w:pPr>
      <w:rPr>
        <w:rFonts w:hint="default"/>
      </w:rPr>
    </w:lvl>
    <w:lvl w:ilvl="4">
      <w:start w:val="1"/>
      <w:numFmt w:val="decimal"/>
      <w:lvlText w:val="%1.%2.%3.%4.%5"/>
      <w:lvlJc w:val="left"/>
      <w:pPr>
        <w:tabs>
          <w:tab w:val="num" w:pos="720"/>
        </w:tabs>
        <w:ind w:left="720" w:hanging="720"/>
      </w:pPr>
      <w:rPr>
        <w:rFonts w:hint="default"/>
      </w:rPr>
    </w:lvl>
    <w:lvl w:ilvl="5">
      <w:start w:val="1"/>
      <w:numFmt w:val="upperLetter"/>
      <w:pStyle w:val="Heading6"/>
      <w:suff w:val="nothing"/>
      <w:lvlText w:val="Appendix %6"/>
      <w:lvlJc w:val="left"/>
      <w:pPr>
        <w:ind w:left="720" w:hanging="720"/>
      </w:pPr>
      <w:rPr>
        <w:rFonts w:hint="default"/>
      </w:rPr>
    </w:lvl>
    <w:lvl w:ilvl="6">
      <w:start w:val="1"/>
      <w:numFmt w:val="decimal"/>
      <w:pStyle w:val="Heading7"/>
      <w:lvlText w:val="%6.%7"/>
      <w:lvlJc w:val="left"/>
      <w:pPr>
        <w:tabs>
          <w:tab w:val="num" w:pos="720"/>
        </w:tabs>
        <w:ind w:left="720" w:hanging="720"/>
      </w:pPr>
      <w:rPr>
        <w:rFonts w:hint="default"/>
      </w:rPr>
    </w:lvl>
    <w:lvl w:ilvl="7">
      <w:start w:val="1"/>
      <w:numFmt w:val="decimal"/>
      <w:pStyle w:val="Heading8"/>
      <w:lvlText w:val="%6.%7.%8"/>
      <w:lvlJc w:val="left"/>
      <w:pPr>
        <w:tabs>
          <w:tab w:val="num" w:pos="720"/>
        </w:tabs>
        <w:ind w:left="720" w:hanging="720"/>
      </w:pPr>
      <w:rPr>
        <w:rFonts w:hint="default"/>
      </w:rPr>
    </w:lvl>
    <w:lvl w:ilvl="8">
      <w:start w:val="1"/>
      <w:numFmt w:val="decimal"/>
      <w:pStyle w:val="Heading9"/>
      <w:lvlText w:val="%6.%7.%8.%9"/>
      <w:lvlJc w:val="left"/>
      <w:pPr>
        <w:tabs>
          <w:tab w:val="num" w:pos="720"/>
        </w:tabs>
        <w:ind w:left="720" w:hanging="720"/>
      </w:pPr>
      <w:rPr>
        <w:rFonts w:hint="default"/>
      </w:rPr>
    </w:lvl>
  </w:abstractNum>
  <w:abstractNum w:abstractNumId="55" w15:restartNumberingAfterBreak="0">
    <w:nsid w:val="76F55C23"/>
    <w:multiLevelType w:val="hybridMultilevel"/>
    <w:tmpl w:val="6A1C4254"/>
    <w:lvl w:ilvl="0" w:tplc="F654AEAA">
      <w:start w:val="1"/>
      <w:numFmt w:val="bullet"/>
      <w:pStyle w:val="BulletLevel1More"/>
      <w:lvlText w:val=""/>
      <w:lvlJc w:val="left"/>
      <w:pPr>
        <w:ind w:left="720" w:hanging="360"/>
      </w:pPr>
      <w:rPr>
        <w:rFonts w:ascii="Wingdings" w:hAnsi="Wingdings" w:hint="default"/>
        <w:b w:val="0"/>
        <w:i w:val="0"/>
        <w:caps w:val="0"/>
        <w:strike w:val="0"/>
        <w:dstrike w:val="0"/>
        <w:vanish w:val="0"/>
        <w:color w:val="7F7F7F" w:themeColor="text1" w:themeTint="80"/>
        <w:sz w:val="18"/>
        <w:szCs w:val="20"/>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9E359E0"/>
    <w:multiLevelType w:val="hybridMultilevel"/>
    <w:tmpl w:val="520640A0"/>
    <w:lvl w:ilvl="0" w:tplc="B5700B6C">
      <w:start w:val="1"/>
      <w:numFmt w:val="bullet"/>
      <w:pStyle w:val="ListBullet3"/>
      <w:lvlText w:val=""/>
      <w:lvlJc w:val="left"/>
      <w:pPr>
        <w:tabs>
          <w:tab w:val="num" w:pos="1080"/>
        </w:tabs>
        <w:ind w:left="1080" w:hanging="360"/>
      </w:pPr>
      <w:rPr>
        <w:rFonts w:ascii="Wingdings" w:hAnsi="Wingdings" w:hint="default"/>
        <w:sz w:val="20"/>
        <w:szCs w:val="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3B52FD"/>
    <w:multiLevelType w:val="hybridMultilevel"/>
    <w:tmpl w:val="045ECF30"/>
    <w:lvl w:ilvl="0" w:tplc="F04ACFE4">
      <w:start w:val="1"/>
      <w:numFmt w:val="bullet"/>
      <w:pStyle w:val="ListBullet5"/>
      <w:lvlText w:val=""/>
      <w:lvlJc w:val="left"/>
      <w:pPr>
        <w:tabs>
          <w:tab w:val="num" w:pos="1800"/>
        </w:tabs>
        <w:ind w:left="18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91381063">
    <w:abstractNumId w:val="54"/>
  </w:num>
  <w:num w:numId="2" w16cid:durableId="25570079">
    <w:abstractNumId w:val="35"/>
  </w:num>
  <w:num w:numId="3" w16cid:durableId="2041857082">
    <w:abstractNumId w:val="32"/>
  </w:num>
  <w:num w:numId="4" w16cid:durableId="1760448891">
    <w:abstractNumId w:val="24"/>
  </w:num>
  <w:num w:numId="5" w16cid:durableId="1714311264">
    <w:abstractNumId w:val="47"/>
  </w:num>
  <w:num w:numId="6" w16cid:durableId="1694308283">
    <w:abstractNumId w:val="8"/>
  </w:num>
  <w:num w:numId="7" w16cid:durableId="451019689">
    <w:abstractNumId w:val="56"/>
  </w:num>
  <w:num w:numId="8" w16cid:durableId="87777148">
    <w:abstractNumId w:val="4"/>
  </w:num>
  <w:num w:numId="9" w16cid:durableId="2042706426">
    <w:abstractNumId w:val="57"/>
  </w:num>
  <w:num w:numId="10" w16cid:durableId="1003968858">
    <w:abstractNumId w:val="31"/>
  </w:num>
  <w:num w:numId="11" w16cid:durableId="2088184041">
    <w:abstractNumId w:val="3"/>
  </w:num>
  <w:num w:numId="12" w16cid:durableId="1601336229">
    <w:abstractNumId w:val="2"/>
  </w:num>
  <w:num w:numId="13" w16cid:durableId="1605915640">
    <w:abstractNumId w:val="1"/>
  </w:num>
  <w:num w:numId="14" w16cid:durableId="1993485007">
    <w:abstractNumId w:val="0"/>
  </w:num>
  <w:num w:numId="15" w16cid:durableId="599601258">
    <w:abstractNumId w:val="5"/>
  </w:num>
  <w:num w:numId="16" w16cid:durableId="2087222524">
    <w:abstractNumId w:val="17"/>
  </w:num>
  <w:num w:numId="17" w16cid:durableId="2043705336">
    <w:abstractNumId w:val="27"/>
  </w:num>
  <w:num w:numId="18" w16cid:durableId="1718121330">
    <w:abstractNumId w:val="43"/>
  </w:num>
  <w:num w:numId="19" w16cid:durableId="1764766145">
    <w:abstractNumId w:val="41"/>
  </w:num>
  <w:num w:numId="20" w16cid:durableId="1929655705">
    <w:abstractNumId w:val="42"/>
  </w:num>
  <w:num w:numId="21" w16cid:durableId="1568998963">
    <w:abstractNumId w:val="9"/>
  </w:num>
  <w:num w:numId="22" w16cid:durableId="2032561325">
    <w:abstractNumId w:val="50"/>
  </w:num>
  <w:num w:numId="23" w16cid:durableId="687603828">
    <w:abstractNumId w:val="20"/>
  </w:num>
  <w:num w:numId="24" w16cid:durableId="264700535">
    <w:abstractNumId w:val="38"/>
  </w:num>
  <w:num w:numId="25" w16cid:durableId="810948573">
    <w:abstractNumId w:val="23"/>
  </w:num>
  <w:num w:numId="26" w16cid:durableId="1860660261">
    <w:abstractNumId w:val="13"/>
  </w:num>
  <w:num w:numId="27" w16cid:durableId="705258565">
    <w:abstractNumId w:val="30"/>
  </w:num>
  <w:num w:numId="28" w16cid:durableId="138768271">
    <w:abstractNumId w:val="16"/>
  </w:num>
  <w:num w:numId="29" w16cid:durableId="171115804">
    <w:abstractNumId w:val="28"/>
  </w:num>
  <w:num w:numId="30" w16cid:durableId="323164183">
    <w:abstractNumId w:val="33"/>
  </w:num>
  <w:num w:numId="31" w16cid:durableId="1451046291">
    <w:abstractNumId w:val="48"/>
  </w:num>
  <w:num w:numId="32" w16cid:durableId="25525016">
    <w:abstractNumId w:val="45"/>
  </w:num>
  <w:num w:numId="33" w16cid:durableId="1529249323">
    <w:abstractNumId w:val="19"/>
  </w:num>
  <w:num w:numId="34" w16cid:durableId="236671892">
    <w:abstractNumId w:val="18"/>
  </w:num>
  <w:num w:numId="35" w16cid:durableId="17388493">
    <w:abstractNumId w:val="49"/>
  </w:num>
  <w:num w:numId="36" w16cid:durableId="1843617860">
    <w:abstractNumId w:val="53"/>
  </w:num>
  <w:num w:numId="37" w16cid:durableId="1002052342">
    <w:abstractNumId w:val="26"/>
    <w:lvlOverride w:ilvl="0">
      <w:startOverride w:val="1"/>
    </w:lvlOverride>
  </w:num>
  <w:num w:numId="38" w16cid:durableId="3359612">
    <w:abstractNumId w:val="55"/>
  </w:num>
  <w:num w:numId="39" w16cid:durableId="699666205">
    <w:abstractNumId w:val="39"/>
  </w:num>
  <w:num w:numId="40" w16cid:durableId="1211917954">
    <w:abstractNumId w:val="25"/>
  </w:num>
  <w:num w:numId="41" w16cid:durableId="699890676">
    <w:abstractNumId w:val="7"/>
  </w:num>
  <w:num w:numId="42" w16cid:durableId="1557011992">
    <w:abstractNumId w:val="15"/>
  </w:num>
  <w:num w:numId="43" w16cid:durableId="580454667">
    <w:abstractNumId w:val="22"/>
  </w:num>
  <w:num w:numId="44" w16cid:durableId="500049502">
    <w:abstractNumId w:val="36"/>
  </w:num>
  <w:num w:numId="45" w16cid:durableId="219247122">
    <w:abstractNumId w:val="52"/>
  </w:num>
  <w:num w:numId="46" w16cid:durableId="1807971038">
    <w:abstractNumId w:val="12"/>
  </w:num>
  <w:num w:numId="47" w16cid:durableId="839782368">
    <w:abstractNumId w:val="34"/>
  </w:num>
  <w:num w:numId="48" w16cid:durableId="1517690110">
    <w:abstractNumId w:val="51"/>
  </w:num>
  <w:num w:numId="49" w16cid:durableId="1186092522">
    <w:abstractNumId w:val="29"/>
  </w:num>
  <w:num w:numId="50" w16cid:durableId="2096439072">
    <w:abstractNumId w:val="11"/>
  </w:num>
  <w:num w:numId="51" w16cid:durableId="1990860107">
    <w:abstractNumId w:val="44"/>
  </w:num>
  <w:num w:numId="52" w16cid:durableId="1581017554">
    <w:abstractNumId w:val="40"/>
  </w:num>
  <w:num w:numId="53" w16cid:durableId="1439909662">
    <w:abstractNumId w:val="54"/>
  </w:num>
  <w:num w:numId="54" w16cid:durableId="2079788198">
    <w:abstractNumId w:val="54"/>
  </w:num>
  <w:num w:numId="55" w16cid:durableId="993148409">
    <w:abstractNumId w:val="54"/>
  </w:num>
  <w:num w:numId="56" w16cid:durableId="626590368">
    <w:abstractNumId w:val="54"/>
  </w:num>
  <w:num w:numId="57" w16cid:durableId="119766255">
    <w:abstractNumId w:val="54"/>
  </w:num>
  <w:num w:numId="58" w16cid:durableId="168300567">
    <w:abstractNumId w:val="54"/>
  </w:num>
  <w:num w:numId="59" w16cid:durableId="1752505881">
    <w:abstractNumId w:val="54"/>
  </w:num>
  <w:num w:numId="60" w16cid:durableId="1656254312">
    <w:abstractNumId w:val="54"/>
  </w:num>
  <w:num w:numId="61" w16cid:durableId="984552769">
    <w:abstractNumId w:val="54"/>
  </w:num>
  <w:num w:numId="62" w16cid:durableId="153298743">
    <w:abstractNumId w:val="54"/>
  </w:num>
  <w:num w:numId="63" w16cid:durableId="1331981575">
    <w:abstractNumId w:val="6"/>
  </w:num>
  <w:num w:numId="64" w16cid:durableId="2097247732">
    <w:abstractNumId w:val="54"/>
  </w:num>
  <w:num w:numId="65" w16cid:durableId="854004961">
    <w:abstractNumId w:val="21"/>
  </w:num>
  <w:num w:numId="66" w16cid:durableId="193662959">
    <w:abstractNumId w:val="14"/>
  </w:num>
  <w:num w:numId="67" w16cid:durableId="2031758273">
    <w:abstractNumId w:val="54"/>
  </w:num>
  <w:num w:numId="68" w16cid:durableId="178810295">
    <w:abstractNumId w:val="46"/>
  </w:num>
  <w:num w:numId="69" w16cid:durableId="778448351">
    <w:abstractNumId w:val="10"/>
  </w:num>
  <w:num w:numId="70" w16cid:durableId="169224584">
    <w:abstractNumId w:val="42"/>
  </w:num>
  <w:num w:numId="71" w16cid:durableId="1925533012">
    <w:abstractNumId w:val="37"/>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allace, Sierra">
    <w15:presenceInfo w15:providerId="AD" w15:userId="S::siewal4852@geiconsultants.com::dddd8c67-9d5c-45ba-a2e9-f966a42f26a6"/>
  </w15:person>
  <w15:person w15:author="Wolosoff, Steven">
    <w15:presenceInfo w15:providerId="AD" w15:userId="S::SteWol3658@geiconsultants.com::e6004934-0238-44d0-99aa-02d42c9b7f3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gutterAtTop/>
  <w:proofState w:spelling="clean" w:grammar="clean"/>
  <w:stylePaneFormatFilter w:val="B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1"/>
  <w:stylePaneSortMethod w:val="0000"/>
  <w:defaultTabStop w:val="274"/>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CE3"/>
    <w:rsid w:val="0000058C"/>
    <w:rsid w:val="00000F04"/>
    <w:rsid w:val="000013C1"/>
    <w:rsid w:val="00001636"/>
    <w:rsid w:val="000021FD"/>
    <w:rsid w:val="00002425"/>
    <w:rsid w:val="0000263E"/>
    <w:rsid w:val="00002900"/>
    <w:rsid w:val="00002D5C"/>
    <w:rsid w:val="00003141"/>
    <w:rsid w:val="000039D1"/>
    <w:rsid w:val="00005959"/>
    <w:rsid w:val="0000671A"/>
    <w:rsid w:val="00006B10"/>
    <w:rsid w:val="00006BB6"/>
    <w:rsid w:val="00006CC2"/>
    <w:rsid w:val="00007599"/>
    <w:rsid w:val="00007FE2"/>
    <w:rsid w:val="00010861"/>
    <w:rsid w:val="000108C3"/>
    <w:rsid w:val="00010A1F"/>
    <w:rsid w:val="00010C9F"/>
    <w:rsid w:val="000112AE"/>
    <w:rsid w:val="00011DB4"/>
    <w:rsid w:val="000128DE"/>
    <w:rsid w:val="000136D5"/>
    <w:rsid w:val="000144CA"/>
    <w:rsid w:val="00015BC1"/>
    <w:rsid w:val="00015FB5"/>
    <w:rsid w:val="000165C3"/>
    <w:rsid w:val="00016ABF"/>
    <w:rsid w:val="0001782B"/>
    <w:rsid w:val="00017A6A"/>
    <w:rsid w:val="00017F0F"/>
    <w:rsid w:val="00020464"/>
    <w:rsid w:val="0002086A"/>
    <w:rsid w:val="00020DD2"/>
    <w:rsid w:val="0002117F"/>
    <w:rsid w:val="0002311E"/>
    <w:rsid w:val="0002319D"/>
    <w:rsid w:val="00023613"/>
    <w:rsid w:val="00023994"/>
    <w:rsid w:val="00023FE4"/>
    <w:rsid w:val="00024131"/>
    <w:rsid w:val="00024179"/>
    <w:rsid w:val="00024E7E"/>
    <w:rsid w:val="00025D2C"/>
    <w:rsid w:val="00025EB4"/>
    <w:rsid w:val="000267B9"/>
    <w:rsid w:val="00027133"/>
    <w:rsid w:val="00027663"/>
    <w:rsid w:val="000277E9"/>
    <w:rsid w:val="000278BF"/>
    <w:rsid w:val="00030ADC"/>
    <w:rsid w:val="000317F6"/>
    <w:rsid w:val="000318CA"/>
    <w:rsid w:val="00031DFA"/>
    <w:rsid w:val="000322E1"/>
    <w:rsid w:val="00032517"/>
    <w:rsid w:val="00033000"/>
    <w:rsid w:val="00033121"/>
    <w:rsid w:val="0003463B"/>
    <w:rsid w:val="000350D4"/>
    <w:rsid w:val="000351E5"/>
    <w:rsid w:val="000356ED"/>
    <w:rsid w:val="00035C48"/>
    <w:rsid w:val="00035DFD"/>
    <w:rsid w:val="00036243"/>
    <w:rsid w:val="000362F1"/>
    <w:rsid w:val="000364C8"/>
    <w:rsid w:val="00036BC6"/>
    <w:rsid w:val="00037050"/>
    <w:rsid w:val="00037E6E"/>
    <w:rsid w:val="00037F26"/>
    <w:rsid w:val="00040578"/>
    <w:rsid w:val="00040EA1"/>
    <w:rsid w:val="000411DD"/>
    <w:rsid w:val="0004156D"/>
    <w:rsid w:val="00041858"/>
    <w:rsid w:val="00041914"/>
    <w:rsid w:val="00041D02"/>
    <w:rsid w:val="0004254C"/>
    <w:rsid w:val="00042D05"/>
    <w:rsid w:val="00043815"/>
    <w:rsid w:val="000443B8"/>
    <w:rsid w:val="0004509E"/>
    <w:rsid w:val="00045D7B"/>
    <w:rsid w:val="000467EF"/>
    <w:rsid w:val="000473B3"/>
    <w:rsid w:val="00047982"/>
    <w:rsid w:val="000500C3"/>
    <w:rsid w:val="000505CF"/>
    <w:rsid w:val="00050C01"/>
    <w:rsid w:val="00050DBA"/>
    <w:rsid w:val="00051869"/>
    <w:rsid w:val="000524F1"/>
    <w:rsid w:val="0005254F"/>
    <w:rsid w:val="00052731"/>
    <w:rsid w:val="00052AAB"/>
    <w:rsid w:val="000530A0"/>
    <w:rsid w:val="00053292"/>
    <w:rsid w:val="00053E82"/>
    <w:rsid w:val="00054EFB"/>
    <w:rsid w:val="00055091"/>
    <w:rsid w:val="00056691"/>
    <w:rsid w:val="00056D57"/>
    <w:rsid w:val="00056E00"/>
    <w:rsid w:val="00056EB7"/>
    <w:rsid w:val="00057C6C"/>
    <w:rsid w:val="000601E8"/>
    <w:rsid w:val="0006023A"/>
    <w:rsid w:val="0006029B"/>
    <w:rsid w:val="00060F1D"/>
    <w:rsid w:val="000617BE"/>
    <w:rsid w:val="000619E8"/>
    <w:rsid w:val="00062561"/>
    <w:rsid w:val="000628CD"/>
    <w:rsid w:val="00063852"/>
    <w:rsid w:val="00063F34"/>
    <w:rsid w:val="0006469E"/>
    <w:rsid w:val="000652AB"/>
    <w:rsid w:val="00065487"/>
    <w:rsid w:val="0006569B"/>
    <w:rsid w:val="00065E2F"/>
    <w:rsid w:val="000660FC"/>
    <w:rsid w:val="000666AC"/>
    <w:rsid w:val="00066A91"/>
    <w:rsid w:val="00066B88"/>
    <w:rsid w:val="00066D7F"/>
    <w:rsid w:val="00067862"/>
    <w:rsid w:val="00067989"/>
    <w:rsid w:val="00067F76"/>
    <w:rsid w:val="00067FEB"/>
    <w:rsid w:val="000701D5"/>
    <w:rsid w:val="000702E1"/>
    <w:rsid w:val="00070911"/>
    <w:rsid w:val="00070AAB"/>
    <w:rsid w:val="0007102C"/>
    <w:rsid w:val="0007115D"/>
    <w:rsid w:val="00071255"/>
    <w:rsid w:val="000716E0"/>
    <w:rsid w:val="00072456"/>
    <w:rsid w:val="00072482"/>
    <w:rsid w:val="0007266F"/>
    <w:rsid w:val="00072A22"/>
    <w:rsid w:val="0007301D"/>
    <w:rsid w:val="00073FD5"/>
    <w:rsid w:val="00077FDF"/>
    <w:rsid w:val="0008025C"/>
    <w:rsid w:val="000802F3"/>
    <w:rsid w:val="000805DE"/>
    <w:rsid w:val="000808C2"/>
    <w:rsid w:val="000809D7"/>
    <w:rsid w:val="00082336"/>
    <w:rsid w:val="00082DDD"/>
    <w:rsid w:val="00082E45"/>
    <w:rsid w:val="00083070"/>
    <w:rsid w:val="0008321B"/>
    <w:rsid w:val="000833BB"/>
    <w:rsid w:val="00084691"/>
    <w:rsid w:val="00084857"/>
    <w:rsid w:val="00084AC7"/>
    <w:rsid w:val="00084ACF"/>
    <w:rsid w:val="00085A44"/>
    <w:rsid w:val="00085A60"/>
    <w:rsid w:val="00085DD9"/>
    <w:rsid w:val="00085DF5"/>
    <w:rsid w:val="00085E0A"/>
    <w:rsid w:val="00085E98"/>
    <w:rsid w:val="000860B6"/>
    <w:rsid w:val="00086711"/>
    <w:rsid w:val="00090567"/>
    <w:rsid w:val="00091558"/>
    <w:rsid w:val="0009197B"/>
    <w:rsid w:val="000919C9"/>
    <w:rsid w:val="00091DAA"/>
    <w:rsid w:val="00092A0D"/>
    <w:rsid w:val="00095703"/>
    <w:rsid w:val="000962F3"/>
    <w:rsid w:val="00096351"/>
    <w:rsid w:val="000A12AA"/>
    <w:rsid w:val="000A1B1C"/>
    <w:rsid w:val="000A2885"/>
    <w:rsid w:val="000A3759"/>
    <w:rsid w:val="000A41ED"/>
    <w:rsid w:val="000A444F"/>
    <w:rsid w:val="000A4625"/>
    <w:rsid w:val="000A5CDA"/>
    <w:rsid w:val="000A7506"/>
    <w:rsid w:val="000A7512"/>
    <w:rsid w:val="000A7CBB"/>
    <w:rsid w:val="000B003C"/>
    <w:rsid w:val="000B0AE1"/>
    <w:rsid w:val="000B0DEB"/>
    <w:rsid w:val="000B1828"/>
    <w:rsid w:val="000B1B17"/>
    <w:rsid w:val="000B2459"/>
    <w:rsid w:val="000B26DB"/>
    <w:rsid w:val="000B290D"/>
    <w:rsid w:val="000B3C00"/>
    <w:rsid w:val="000B41F0"/>
    <w:rsid w:val="000B42DB"/>
    <w:rsid w:val="000B4436"/>
    <w:rsid w:val="000B495F"/>
    <w:rsid w:val="000B4F42"/>
    <w:rsid w:val="000B4FC9"/>
    <w:rsid w:val="000B5613"/>
    <w:rsid w:val="000B586A"/>
    <w:rsid w:val="000B5A74"/>
    <w:rsid w:val="000B5AD9"/>
    <w:rsid w:val="000B7473"/>
    <w:rsid w:val="000B792A"/>
    <w:rsid w:val="000B7BB9"/>
    <w:rsid w:val="000C0254"/>
    <w:rsid w:val="000C091D"/>
    <w:rsid w:val="000C10BC"/>
    <w:rsid w:val="000C13A3"/>
    <w:rsid w:val="000C1AA1"/>
    <w:rsid w:val="000C1F91"/>
    <w:rsid w:val="000C25E3"/>
    <w:rsid w:val="000C2F77"/>
    <w:rsid w:val="000C39B4"/>
    <w:rsid w:val="000C3A43"/>
    <w:rsid w:val="000C3AAE"/>
    <w:rsid w:val="000C4166"/>
    <w:rsid w:val="000C5342"/>
    <w:rsid w:val="000C5D2D"/>
    <w:rsid w:val="000C65B0"/>
    <w:rsid w:val="000C6614"/>
    <w:rsid w:val="000C6656"/>
    <w:rsid w:val="000C6872"/>
    <w:rsid w:val="000C69CA"/>
    <w:rsid w:val="000C7A7F"/>
    <w:rsid w:val="000C7CDC"/>
    <w:rsid w:val="000D02F3"/>
    <w:rsid w:val="000D045F"/>
    <w:rsid w:val="000D0706"/>
    <w:rsid w:val="000D0C08"/>
    <w:rsid w:val="000D1431"/>
    <w:rsid w:val="000D1A2A"/>
    <w:rsid w:val="000D211D"/>
    <w:rsid w:val="000D21F5"/>
    <w:rsid w:val="000D26BB"/>
    <w:rsid w:val="000D2B16"/>
    <w:rsid w:val="000D43F9"/>
    <w:rsid w:val="000D4F21"/>
    <w:rsid w:val="000D57D3"/>
    <w:rsid w:val="000D62D1"/>
    <w:rsid w:val="000D633B"/>
    <w:rsid w:val="000D64AD"/>
    <w:rsid w:val="000D65ED"/>
    <w:rsid w:val="000D6A61"/>
    <w:rsid w:val="000D7063"/>
    <w:rsid w:val="000E0040"/>
    <w:rsid w:val="000E00AF"/>
    <w:rsid w:val="000E0163"/>
    <w:rsid w:val="000E22C5"/>
    <w:rsid w:val="000E2EFE"/>
    <w:rsid w:val="000E3419"/>
    <w:rsid w:val="000E3701"/>
    <w:rsid w:val="000E3A52"/>
    <w:rsid w:val="000E426E"/>
    <w:rsid w:val="000E434D"/>
    <w:rsid w:val="000E49C1"/>
    <w:rsid w:val="000E4F11"/>
    <w:rsid w:val="000E598E"/>
    <w:rsid w:val="000E613B"/>
    <w:rsid w:val="000E620B"/>
    <w:rsid w:val="000E640B"/>
    <w:rsid w:val="000E6730"/>
    <w:rsid w:val="000E675C"/>
    <w:rsid w:val="000E6C8F"/>
    <w:rsid w:val="000E73EA"/>
    <w:rsid w:val="000E7E22"/>
    <w:rsid w:val="000F0CDE"/>
    <w:rsid w:val="000F17D4"/>
    <w:rsid w:val="000F22F9"/>
    <w:rsid w:val="000F5010"/>
    <w:rsid w:val="000F57B0"/>
    <w:rsid w:val="000F5981"/>
    <w:rsid w:val="000F6983"/>
    <w:rsid w:val="000F7560"/>
    <w:rsid w:val="000F79E4"/>
    <w:rsid w:val="0010069B"/>
    <w:rsid w:val="00100BCD"/>
    <w:rsid w:val="00100E52"/>
    <w:rsid w:val="00101F55"/>
    <w:rsid w:val="001020F8"/>
    <w:rsid w:val="001022CD"/>
    <w:rsid w:val="001032CB"/>
    <w:rsid w:val="00103384"/>
    <w:rsid w:val="0010354A"/>
    <w:rsid w:val="00103604"/>
    <w:rsid w:val="00103F3D"/>
    <w:rsid w:val="00103FED"/>
    <w:rsid w:val="00104A95"/>
    <w:rsid w:val="0010512C"/>
    <w:rsid w:val="00106A75"/>
    <w:rsid w:val="00106C5A"/>
    <w:rsid w:val="001078AA"/>
    <w:rsid w:val="00107E87"/>
    <w:rsid w:val="001101A1"/>
    <w:rsid w:val="00110297"/>
    <w:rsid w:val="0011036F"/>
    <w:rsid w:val="00110BF9"/>
    <w:rsid w:val="001112DC"/>
    <w:rsid w:val="001114B8"/>
    <w:rsid w:val="001126F1"/>
    <w:rsid w:val="00112E95"/>
    <w:rsid w:val="001137AC"/>
    <w:rsid w:val="00114BB6"/>
    <w:rsid w:val="0011598B"/>
    <w:rsid w:val="00115AF5"/>
    <w:rsid w:val="00116146"/>
    <w:rsid w:val="001162C9"/>
    <w:rsid w:val="0011721A"/>
    <w:rsid w:val="001172CF"/>
    <w:rsid w:val="001209BC"/>
    <w:rsid w:val="00120C02"/>
    <w:rsid w:val="00121ADA"/>
    <w:rsid w:val="00121C79"/>
    <w:rsid w:val="00121F78"/>
    <w:rsid w:val="001222C5"/>
    <w:rsid w:val="001229B4"/>
    <w:rsid w:val="0012309B"/>
    <w:rsid w:val="001233EA"/>
    <w:rsid w:val="00123C94"/>
    <w:rsid w:val="00124253"/>
    <w:rsid w:val="001244C4"/>
    <w:rsid w:val="00124BF5"/>
    <w:rsid w:val="00124F3A"/>
    <w:rsid w:val="00124FC0"/>
    <w:rsid w:val="00125239"/>
    <w:rsid w:val="00125723"/>
    <w:rsid w:val="00125A42"/>
    <w:rsid w:val="001260F0"/>
    <w:rsid w:val="001263EE"/>
    <w:rsid w:val="001275FD"/>
    <w:rsid w:val="001276E0"/>
    <w:rsid w:val="00127C61"/>
    <w:rsid w:val="001301F7"/>
    <w:rsid w:val="0013030D"/>
    <w:rsid w:val="001304EF"/>
    <w:rsid w:val="00130E67"/>
    <w:rsid w:val="001314C4"/>
    <w:rsid w:val="001316B4"/>
    <w:rsid w:val="00133982"/>
    <w:rsid w:val="00133A08"/>
    <w:rsid w:val="001348E2"/>
    <w:rsid w:val="00135394"/>
    <w:rsid w:val="00135866"/>
    <w:rsid w:val="001366A8"/>
    <w:rsid w:val="00136F57"/>
    <w:rsid w:val="0013711A"/>
    <w:rsid w:val="00137C9E"/>
    <w:rsid w:val="00140038"/>
    <w:rsid w:val="00140614"/>
    <w:rsid w:val="0014129E"/>
    <w:rsid w:val="00141526"/>
    <w:rsid w:val="00141D30"/>
    <w:rsid w:val="00142A54"/>
    <w:rsid w:val="00142ECA"/>
    <w:rsid w:val="0014321E"/>
    <w:rsid w:val="00143DC4"/>
    <w:rsid w:val="001440CF"/>
    <w:rsid w:val="001452B7"/>
    <w:rsid w:val="00145C5F"/>
    <w:rsid w:val="00146D28"/>
    <w:rsid w:val="00146F09"/>
    <w:rsid w:val="001473D9"/>
    <w:rsid w:val="00147E33"/>
    <w:rsid w:val="00147EC7"/>
    <w:rsid w:val="001503F6"/>
    <w:rsid w:val="00150C28"/>
    <w:rsid w:val="00150E44"/>
    <w:rsid w:val="001519D8"/>
    <w:rsid w:val="00152CC1"/>
    <w:rsid w:val="00152ED8"/>
    <w:rsid w:val="001540C2"/>
    <w:rsid w:val="00154758"/>
    <w:rsid w:val="00154BC5"/>
    <w:rsid w:val="00155E93"/>
    <w:rsid w:val="0015608E"/>
    <w:rsid w:val="001567C9"/>
    <w:rsid w:val="00156F9F"/>
    <w:rsid w:val="0015766D"/>
    <w:rsid w:val="001579C9"/>
    <w:rsid w:val="00157A6F"/>
    <w:rsid w:val="00160273"/>
    <w:rsid w:val="001628BF"/>
    <w:rsid w:val="00163555"/>
    <w:rsid w:val="00163782"/>
    <w:rsid w:val="00164352"/>
    <w:rsid w:val="001662EB"/>
    <w:rsid w:val="0016688F"/>
    <w:rsid w:val="00166BA8"/>
    <w:rsid w:val="00166EEB"/>
    <w:rsid w:val="00167809"/>
    <w:rsid w:val="001678F0"/>
    <w:rsid w:val="00170730"/>
    <w:rsid w:val="001709FD"/>
    <w:rsid w:val="00170A16"/>
    <w:rsid w:val="00170F33"/>
    <w:rsid w:val="00171418"/>
    <w:rsid w:val="0017141F"/>
    <w:rsid w:val="00171A26"/>
    <w:rsid w:val="00172067"/>
    <w:rsid w:val="00172291"/>
    <w:rsid w:val="00172785"/>
    <w:rsid w:val="0017361B"/>
    <w:rsid w:val="0017420D"/>
    <w:rsid w:val="001745E0"/>
    <w:rsid w:val="00174952"/>
    <w:rsid w:val="00174B1D"/>
    <w:rsid w:val="00175203"/>
    <w:rsid w:val="00175F33"/>
    <w:rsid w:val="00176EFC"/>
    <w:rsid w:val="00180AA2"/>
    <w:rsid w:val="0018154B"/>
    <w:rsid w:val="0018171D"/>
    <w:rsid w:val="001827F1"/>
    <w:rsid w:val="001831CB"/>
    <w:rsid w:val="00183F1A"/>
    <w:rsid w:val="0018509D"/>
    <w:rsid w:val="00185A4D"/>
    <w:rsid w:val="0018753A"/>
    <w:rsid w:val="00187B33"/>
    <w:rsid w:val="00187BC2"/>
    <w:rsid w:val="00192495"/>
    <w:rsid w:val="00192815"/>
    <w:rsid w:val="00192E29"/>
    <w:rsid w:val="00193F2E"/>
    <w:rsid w:val="001957DF"/>
    <w:rsid w:val="0019591A"/>
    <w:rsid w:val="001965FE"/>
    <w:rsid w:val="00196E3E"/>
    <w:rsid w:val="00197B9F"/>
    <w:rsid w:val="001A0384"/>
    <w:rsid w:val="001A11DC"/>
    <w:rsid w:val="001A13A9"/>
    <w:rsid w:val="001A185A"/>
    <w:rsid w:val="001A270E"/>
    <w:rsid w:val="001A2DDF"/>
    <w:rsid w:val="001A32B4"/>
    <w:rsid w:val="001A336D"/>
    <w:rsid w:val="001A3672"/>
    <w:rsid w:val="001A4515"/>
    <w:rsid w:val="001A4929"/>
    <w:rsid w:val="001A50F7"/>
    <w:rsid w:val="001A5E6F"/>
    <w:rsid w:val="001A66F3"/>
    <w:rsid w:val="001A68D7"/>
    <w:rsid w:val="001A6DE2"/>
    <w:rsid w:val="001A70C2"/>
    <w:rsid w:val="001A74D1"/>
    <w:rsid w:val="001A7AFE"/>
    <w:rsid w:val="001A7FDA"/>
    <w:rsid w:val="001A7FFA"/>
    <w:rsid w:val="001B0039"/>
    <w:rsid w:val="001B1666"/>
    <w:rsid w:val="001B2AA7"/>
    <w:rsid w:val="001B3394"/>
    <w:rsid w:val="001B35EA"/>
    <w:rsid w:val="001B3CC4"/>
    <w:rsid w:val="001B5C86"/>
    <w:rsid w:val="001B5E03"/>
    <w:rsid w:val="001B6165"/>
    <w:rsid w:val="001B76FE"/>
    <w:rsid w:val="001B7931"/>
    <w:rsid w:val="001C015A"/>
    <w:rsid w:val="001C0225"/>
    <w:rsid w:val="001C067C"/>
    <w:rsid w:val="001C09BE"/>
    <w:rsid w:val="001C10CA"/>
    <w:rsid w:val="001C161F"/>
    <w:rsid w:val="001C1F10"/>
    <w:rsid w:val="001C2BD8"/>
    <w:rsid w:val="001C3069"/>
    <w:rsid w:val="001C3274"/>
    <w:rsid w:val="001C327E"/>
    <w:rsid w:val="001C3464"/>
    <w:rsid w:val="001C34C0"/>
    <w:rsid w:val="001C379D"/>
    <w:rsid w:val="001C3B3D"/>
    <w:rsid w:val="001C4516"/>
    <w:rsid w:val="001C4896"/>
    <w:rsid w:val="001C49D6"/>
    <w:rsid w:val="001C4EA3"/>
    <w:rsid w:val="001C501F"/>
    <w:rsid w:val="001C54AC"/>
    <w:rsid w:val="001C587B"/>
    <w:rsid w:val="001C7892"/>
    <w:rsid w:val="001D0204"/>
    <w:rsid w:val="001D07E3"/>
    <w:rsid w:val="001D0F45"/>
    <w:rsid w:val="001D111E"/>
    <w:rsid w:val="001D202E"/>
    <w:rsid w:val="001D23DF"/>
    <w:rsid w:val="001D25D0"/>
    <w:rsid w:val="001D3316"/>
    <w:rsid w:val="001D38B0"/>
    <w:rsid w:val="001D3E1F"/>
    <w:rsid w:val="001D4853"/>
    <w:rsid w:val="001D577C"/>
    <w:rsid w:val="001D6ED2"/>
    <w:rsid w:val="001D7B87"/>
    <w:rsid w:val="001E03D0"/>
    <w:rsid w:val="001E116E"/>
    <w:rsid w:val="001E11E5"/>
    <w:rsid w:val="001E13B2"/>
    <w:rsid w:val="001E1E45"/>
    <w:rsid w:val="001E1F4C"/>
    <w:rsid w:val="001E2C69"/>
    <w:rsid w:val="001E3BE6"/>
    <w:rsid w:val="001E4272"/>
    <w:rsid w:val="001E5D99"/>
    <w:rsid w:val="001E6222"/>
    <w:rsid w:val="001E7077"/>
    <w:rsid w:val="001E7D63"/>
    <w:rsid w:val="001E7EB4"/>
    <w:rsid w:val="001F0142"/>
    <w:rsid w:val="001F0AC5"/>
    <w:rsid w:val="001F0B56"/>
    <w:rsid w:val="001F14E4"/>
    <w:rsid w:val="001F1666"/>
    <w:rsid w:val="001F2BAE"/>
    <w:rsid w:val="001F2F08"/>
    <w:rsid w:val="001F33D8"/>
    <w:rsid w:val="001F3650"/>
    <w:rsid w:val="001F594E"/>
    <w:rsid w:val="001F5B64"/>
    <w:rsid w:val="001F5E96"/>
    <w:rsid w:val="001F60B2"/>
    <w:rsid w:val="001F6147"/>
    <w:rsid w:val="001F626C"/>
    <w:rsid w:val="001F6318"/>
    <w:rsid w:val="001F70FB"/>
    <w:rsid w:val="001F75D3"/>
    <w:rsid w:val="002008BE"/>
    <w:rsid w:val="00200B98"/>
    <w:rsid w:val="00200EFB"/>
    <w:rsid w:val="00200F6C"/>
    <w:rsid w:val="0020111E"/>
    <w:rsid w:val="00201F40"/>
    <w:rsid w:val="002026E9"/>
    <w:rsid w:val="00202899"/>
    <w:rsid w:val="002032EB"/>
    <w:rsid w:val="00203E74"/>
    <w:rsid w:val="00203FF9"/>
    <w:rsid w:val="0020468C"/>
    <w:rsid w:val="00204A70"/>
    <w:rsid w:val="00204E16"/>
    <w:rsid w:val="00204F76"/>
    <w:rsid w:val="00205C54"/>
    <w:rsid w:val="00205CA9"/>
    <w:rsid w:val="00206DBB"/>
    <w:rsid w:val="00206ECE"/>
    <w:rsid w:val="00207154"/>
    <w:rsid w:val="00207536"/>
    <w:rsid w:val="00207817"/>
    <w:rsid w:val="00207F76"/>
    <w:rsid w:val="002101BC"/>
    <w:rsid w:val="0021027C"/>
    <w:rsid w:val="0021179E"/>
    <w:rsid w:val="00212B3E"/>
    <w:rsid w:val="00213BA6"/>
    <w:rsid w:val="00214660"/>
    <w:rsid w:val="00214BD9"/>
    <w:rsid w:val="00214F7F"/>
    <w:rsid w:val="00214FE2"/>
    <w:rsid w:val="00215268"/>
    <w:rsid w:val="00215970"/>
    <w:rsid w:val="0021612D"/>
    <w:rsid w:val="002164F2"/>
    <w:rsid w:val="00216886"/>
    <w:rsid w:val="00216C51"/>
    <w:rsid w:val="002178BC"/>
    <w:rsid w:val="00217CD8"/>
    <w:rsid w:val="0022019A"/>
    <w:rsid w:val="00220768"/>
    <w:rsid w:val="00220868"/>
    <w:rsid w:val="00220CA7"/>
    <w:rsid w:val="0022338B"/>
    <w:rsid w:val="00223F5D"/>
    <w:rsid w:val="00223F9B"/>
    <w:rsid w:val="002246C3"/>
    <w:rsid w:val="0022498A"/>
    <w:rsid w:val="00224F00"/>
    <w:rsid w:val="00225243"/>
    <w:rsid w:val="0022540C"/>
    <w:rsid w:val="002254F1"/>
    <w:rsid w:val="0022563D"/>
    <w:rsid w:val="00226781"/>
    <w:rsid w:val="002270FB"/>
    <w:rsid w:val="00227C0C"/>
    <w:rsid w:val="00230BDC"/>
    <w:rsid w:val="0023167A"/>
    <w:rsid w:val="0023257A"/>
    <w:rsid w:val="00232993"/>
    <w:rsid w:val="002331BC"/>
    <w:rsid w:val="002335B8"/>
    <w:rsid w:val="00233AC5"/>
    <w:rsid w:val="00233EF5"/>
    <w:rsid w:val="00233FD3"/>
    <w:rsid w:val="0023455B"/>
    <w:rsid w:val="00234572"/>
    <w:rsid w:val="002348D2"/>
    <w:rsid w:val="00234E82"/>
    <w:rsid w:val="0023518E"/>
    <w:rsid w:val="0023539A"/>
    <w:rsid w:val="00235D22"/>
    <w:rsid w:val="00235F65"/>
    <w:rsid w:val="00236E18"/>
    <w:rsid w:val="00237EF0"/>
    <w:rsid w:val="002409A9"/>
    <w:rsid w:val="00241684"/>
    <w:rsid w:val="002419EF"/>
    <w:rsid w:val="00241B0D"/>
    <w:rsid w:val="00241B47"/>
    <w:rsid w:val="002424B4"/>
    <w:rsid w:val="002426AE"/>
    <w:rsid w:val="00242DA5"/>
    <w:rsid w:val="0024373F"/>
    <w:rsid w:val="00243B19"/>
    <w:rsid w:val="00244490"/>
    <w:rsid w:val="00244706"/>
    <w:rsid w:val="00244D04"/>
    <w:rsid w:val="0024567D"/>
    <w:rsid w:val="002456F6"/>
    <w:rsid w:val="00245D33"/>
    <w:rsid w:val="00246991"/>
    <w:rsid w:val="00246A1E"/>
    <w:rsid w:val="0024743E"/>
    <w:rsid w:val="00250401"/>
    <w:rsid w:val="00250583"/>
    <w:rsid w:val="00250B13"/>
    <w:rsid w:val="002511EB"/>
    <w:rsid w:val="00252E3F"/>
    <w:rsid w:val="0025324E"/>
    <w:rsid w:val="0025342E"/>
    <w:rsid w:val="00254144"/>
    <w:rsid w:val="00254236"/>
    <w:rsid w:val="00254B4F"/>
    <w:rsid w:val="00254ED6"/>
    <w:rsid w:val="002558B7"/>
    <w:rsid w:val="00255F4A"/>
    <w:rsid w:val="00256513"/>
    <w:rsid w:val="002566D0"/>
    <w:rsid w:val="00256711"/>
    <w:rsid w:val="00256BF9"/>
    <w:rsid w:val="0025705C"/>
    <w:rsid w:val="00257C9B"/>
    <w:rsid w:val="00257CD1"/>
    <w:rsid w:val="00260160"/>
    <w:rsid w:val="002608B7"/>
    <w:rsid w:val="00260C16"/>
    <w:rsid w:val="00260CE0"/>
    <w:rsid w:val="00261A83"/>
    <w:rsid w:val="00261EB4"/>
    <w:rsid w:val="00262350"/>
    <w:rsid w:val="002623B0"/>
    <w:rsid w:val="002631D8"/>
    <w:rsid w:val="0026342D"/>
    <w:rsid w:val="0026424C"/>
    <w:rsid w:val="00264318"/>
    <w:rsid w:val="00264C16"/>
    <w:rsid w:val="00265454"/>
    <w:rsid w:val="002659DF"/>
    <w:rsid w:val="00265EE4"/>
    <w:rsid w:val="00267108"/>
    <w:rsid w:val="00267708"/>
    <w:rsid w:val="00267CFD"/>
    <w:rsid w:val="00267E2F"/>
    <w:rsid w:val="00267EDD"/>
    <w:rsid w:val="00270410"/>
    <w:rsid w:val="002705D0"/>
    <w:rsid w:val="00270CA0"/>
    <w:rsid w:val="002714B2"/>
    <w:rsid w:val="002716FD"/>
    <w:rsid w:val="00271E0C"/>
    <w:rsid w:val="002725AD"/>
    <w:rsid w:val="00274726"/>
    <w:rsid w:val="00275039"/>
    <w:rsid w:val="00276664"/>
    <w:rsid w:val="00277861"/>
    <w:rsid w:val="0027788C"/>
    <w:rsid w:val="00277D2D"/>
    <w:rsid w:val="002807FC"/>
    <w:rsid w:val="00281958"/>
    <w:rsid w:val="00281BC3"/>
    <w:rsid w:val="00281DD1"/>
    <w:rsid w:val="0028335F"/>
    <w:rsid w:val="0028393A"/>
    <w:rsid w:val="00284122"/>
    <w:rsid w:val="00284244"/>
    <w:rsid w:val="002857F0"/>
    <w:rsid w:val="002858BC"/>
    <w:rsid w:val="00286206"/>
    <w:rsid w:val="00286272"/>
    <w:rsid w:val="002862F3"/>
    <w:rsid w:val="002870C6"/>
    <w:rsid w:val="00290DFE"/>
    <w:rsid w:val="00290EDF"/>
    <w:rsid w:val="002918A9"/>
    <w:rsid w:val="00291929"/>
    <w:rsid w:val="0029202D"/>
    <w:rsid w:val="00292264"/>
    <w:rsid w:val="00292FE7"/>
    <w:rsid w:val="0029421B"/>
    <w:rsid w:val="0029447E"/>
    <w:rsid w:val="00294837"/>
    <w:rsid w:val="002949C2"/>
    <w:rsid w:val="0029597D"/>
    <w:rsid w:val="00295E3B"/>
    <w:rsid w:val="00295F30"/>
    <w:rsid w:val="00296351"/>
    <w:rsid w:val="00297104"/>
    <w:rsid w:val="0029722E"/>
    <w:rsid w:val="00297AC3"/>
    <w:rsid w:val="00297BE9"/>
    <w:rsid w:val="002A0018"/>
    <w:rsid w:val="002A04B6"/>
    <w:rsid w:val="002A0C16"/>
    <w:rsid w:val="002A1324"/>
    <w:rsid w:val="002A14B3"/>
    <w:rsid w:val="002A1728"/>
    <w:rsid w:val="002A193D"/>
    <w:rsid w:val="002A2239"/>
    <w:rsid w:val="002A2F27"/>
    <w:rsid w:val="002A37BA"/>
    <w:rsid w:val="002A3F2E"/>
    <w:rsid w:val="002A4B86"/>
    <w:rsid w:val="002A523C"/>
    <w:rsid w:val="002A5936"/>
    <w:rsid w:val="002A5D2B"/>
    <w:rsid w:val="002A5F36"/>
    <w:rsid w:val="002A6453"/>
    <w:rsid w:val="002A73EF"/>
    <w:rsid w:val="002A77B4"/>
    <w:rsid w:val="002A78D1"/>
    <w:rsid w:val="002A790F"/>
    <w:rsid w:val="002B048A"/>
    <w:rsid w:val="002B084A"/>
    <w:rsid w:val="002B0A75"/>
    <w:rsid w:val="002B0CE3"/>
    <w:rsid w:val="002B1025"/>
    <w:rsid w:val="002B19AA"/>
    <w:rsid w:val="002B1EA4"/>
    <w:rsid w:val="002B2364"/>
    <w:rsid w:val="002B2836"/>
    <w:rsid w:val="002B2849"/>
    <w:rsid w:val="002B3885"/>
    <w:rsid w:val="002B4005"/>
    <w:rsid w:val="002B50E7"/>
    <w:rsid w:val="002B5B02"/>
    <w:rsid w:val="002B5DAC"/>
    <w:rsid w:val="002B6821"/>
    <w:rsid w:val="002B682A"/>
    <w:rsid w:val="002B6F1B"/>
    <w:rsid w:val="002B6FC3"/>
    <w:rsid w:val="002B7380"/>
    <w:rsid w:val="002B747E"/>
    <w:rsid w:val="002B75BA"/>
    <w:rsid w:val="002C0943"/>
    <w:rsid w:val="002C1DFF"/>
    <w:rsid w:val="002C1E0A"/>
    <w:rsid w:val="002C1FD1"/>
    <w:rsid w:val="002C1FF9"/>
    <w:rsid w:val="002C2408"/>
    <w:rsid w:val="002C2483"/>
    <w:rsid w:val="002C35FE"/>
    <w:rsid w:val="002C37A8"/>
    <w:rsid w:val="002C3EDE"/>
    <w:rsid w:val="002C3FEB"/>
    <w:rsid w:val="002C43E8"/>
    <w:rsid w:val="002C68F9"/>
    <w:rsid w:val="002C7461"/>
    <w:rsid w:val="002C7922"/>
    <w:rsid w:val="002D05EB"/>
    <w:rsid w:val="002D0904"/>
    <w:rsid w:val="002D0C75"/>
    <w:rsid w:val="002D0F7A"/>
    <w:rsid w:val="002D0FB8"/>
    <w:rsid w:val="002D104A"/>
    <w:rsid w:val="002D117B"/>
    <w:rsid w:val="002D11FD"/>
    <w:rsid w:val="002D131E"/>
    <w:rsid w:val="002D14B4"/>
    <w:rsid w:val="002D199A"/>
    <w:rsid w:val="002D1EB9"/>
    <w:rsid w:val="002D2C70"/>
    <w:rsid w:val="002D4B9B"/>
    <w:rsid w:val="002D4F80"/>
    <w:rsid w:val="002D58C7"/>
    <w:rsid w:val="002D5D74"/>
    <w:rsid w:val="002D6315"/>
    <w:rsid w:val="002D6FF4"/>
    <w:rsid w:val="002D754A"/>
    <w:rsid w:val="002E053D"/>
    <w:rsid w:val="002E08F6"/>
    <w:rsid w:val="002E0914"/>
    <w:rsid w:val="002E0CB2"/>
    <w:rsid w:val="002E11B9"/>
    <w:rsid w:val="002E11EB"/>
    <w:rsid w:val="002E1B43"/>
    <w:rsid w:val="002E3F4A"/>
    <w:rsid w:val="002E41E9"/>
    <w:rsid w:val="002E4710"/>
    <w:rsid w:val="002E4953"/>
    <w:rsid w:val="002E4ABB"/>
    <w:rsid w:val="002E4DC6"/>
    <w:rsid w:val="002E591E"/>
    <w:rsid w:val="002E6886"/>
    <w:rsid w:val="002E7113"/>
    <w:rsid w:val="002E7132"/>
    <w:rsid w:val="002E73F9"/>
    <w:rsid w:val="002F13CA"/>
    <w:rsid w:val="002F1A63"/>
    <w:rsid w:val="002F237D"/>
    <w:rsid w:val="002F2F25"/>
    <w:rsid w:val="002F4461"/>
    <w:rsid w:val="002F4542"/>
    <w:rsid w:val="002F49C2"/>
    <w:rsid w:val="002F4B82"/>
    <w:rsid w:val="002F5340"/>
    <w:rsid w:val="002F5A04"/>
    <w:rsid w:val="002F631E"/>
    <w:rsid w:val="002F6733"/>
    <w:rsid w:val="002F6C5A"/>
    <w:rsid w:val="002F7097"/>
    <w:rsid w:val="002F71E4"/>
    <w:rsid w:val="002F7792"/>
    <w:rsid w:val="00300352"/>
    <w:rsid w:val="003003C8"/>
    <w:rsid w:val="003012BE"/>
    <w:rsid w:val="003012ED"/>
    <w:rsid w:val="00301553"/>
    <w:rsid w:val="00301DDF"/>
    <w:rsid w:val="00301F8F"/>
    <w:rsid w:val="003047ED"/>
    <w:rsid w:val="00304F8A"/>
    <w:rsid w:val="00305922"/>
    <w:rsid w:val="003060F6"/>
    <w:rsid w:val="00307A72"/>
    <w:rsid w:val="00307A7E"/>
    <w:rsid w:val="0031009F"/>
    <w:rsid w:val="003129FC"/>
    <w:rsid w:val="00312B19"/>
    <w:rsid w:val="00312D06"/>
    <w:rsid w:val="003134C4"/>
    <w:rsid w:val="00313722"/>
    <w:rsid w:val="003137D2"/>
    <w:rsid w:val="00313D85"/>
    <w:rsid w:val="003145FD"/>
    <w:rsid w:val="00314680"/>
    <w:rsid w:val="00314D11"/>
    <w:rsid w:val="003161E0"/>
    <w:rsid w:val="00316CEA"/>
    <w:rsid w:val="0031723E"/>
    <w:rsid w:val="003174EA"/>
    <w:rsid w:val="00320424"/>
    <w:rsid w:val="00320F65"/>
    <w:rsid w:val="00320F93"/>
    <w:rsid w:val="00321346"/>
    <w:rsid w:val="0032172E"/>
    <w:rsid w:val="003218C9"/>
    <w:rsid w:val="0032190B"/>
    <w:rsid w:val="00321FA6"/>
    <w:rsid w:val="00322421"/>
    <w:rsid w:val="00322738"/>
    <w:rsid w:val="00323917"/>
    <w:rsid w:val="00323B0A"/>
    <w:rsid w:val="003244FA"/>
    <w:rsid w:val="0032549C"/>
    <w:rsid w:val="003259F9"/>
    <w:rsid w:val="00325CFE"/>
    <w:rsid w:val="00325EDE"/>
    <w:rsid w:val="00325F17"/>
    <w:rsid w:val="00326375"/>
    <w:rsid w:val="00326A8C"/>
    <w:rsid w:val="00327034"/>
    <w:rsid w:val="00327EE2"/>
    <w:rsid w:val="00330A29"/>
    <w:rsid w:val="00330C8D"/>
    <w:rsid w:val="00330E78"/>
    <w:rsid w:val="00331184"/>
    <w:rsid w:val="00331786"/>
    <w:rsid w:val="0033228E"/>
    <w:rsid w:val="00332BDF"/>
    <w:rsid w:val="00332E70"/>
    <w:rsid w:val="00333A0B"/>
    <w:rsid w:val="00333DF9"/>
    <w:rsid w:val="0033537B"/>
    <w:rsid w:val="00335650"/>
    <w:rsid w:val="0033685C"/>
    <w:rsid w:val="00336888"/>
    <w:rsid w:val="00336B0A"/>
    <w:rsid w:val="00336C98"/>
    <w:rsid w:val="00337743"/>
    <w:rsid w:val="00337C01"/>
    <w:rsid w:val="00337D77"/>
    <w:rsid w:val="00337F82"/>
    <w:rsid w:val="003402FA"/>
    <w:rsid w:val="0034121D"/>
    <w:rsid w:val="00341D54"/>
    <w:rsid w:val="003420B5"/>
    <w:rsid w:val="00342177"/>
    <w:rsid w:val="00343822"/>
    <w:rsid w:val="003440DF"/>
    <w:rsid w:val="00344313"/>
    <w:rsid w:val="0034444C"/>
    <w:rsid w:val="003445F2"/>
    <w:rsid w:val="00344B9B"/>
    <w:rsid w:val="00345320"/>
    <w:rsid w:val="003476E0"/>
    <w:rsid w:val="0035062C"/>
    <w:rsid w:val="003509F8"/>
    <w:rsid w:val="00350D3A"/>
    <w:rsid w:val="00351104"/>
    <w:rsid w:val="00351131"/>
    <w:rsid w:val="00352442"/>
    <w:rsid w:val="003530C7"/>
    <w:rsid w:val="00353D2B"/>
    <w:rsid w:val="003540B4"/>
    <w:rsid w:val="00354436"/>
    <w:rsid w:val="00354553"/>
    <w:rsid w:val="003546B7"/>
    <w:rsid w:val="00354943"/>
    <w:rsid w:val="00354F3B"/>
    <w:rsid w:val="00354FC6"/>
    <w:rsid w:val="00355E4C"/>
    <w:rsid w:val="00356971"/>
    <w:rsid w:val="00356D72"/>
    <w:rsid w:val="00357B22"/>
    <w:rsid w:val="00360330"/>
    <w:rsid w:val="003609A9"/>
    <w:rsid w:val="00360B24"/>
    <w:rsid w:val="0036101F"/>
    <w:rsid w:val="00361780"/>
    <w:rsid w:val="00361A99"/>
    <w:rsid w:val="00362FAF"/>
    <w:rsid w:val="00362FEA"/>
    <w:rsid w:val="0036431D"/>
    <w:rsid w:val="0036471F"/>
    <w:rsid w:val="00364F93"/>
    <w:rsid w:val="00365DB5"/>
    <w:rsid w:val="003668CA"/>
    <w:rsid w:val="00370F3C"/>
    <w:rsid w:val="0037107F"/>
    <w:rsid w:val="003716B5"/>
    <w:rsid w:val="00371986"/>
    <w:rsid w:val="00371ABC"/>
    <w:rsid w:val="00372D5F"/>
    <w:rsid w:val="00372EC4"/>
    <w:rsid w:val="00373361"/>
    <w:rsid w:val="00373941"/>
    <w:rsid w:val="003741D0"/>
    <w:rsid w:val="00374AB9"/>
    <w:rsid w:val="00375CB5"/>
    <w:rsid w:val="00375DFD"/>
    <w:rsid w:val="00376250"/>
    <w:rsid w:val="00376E2B"/>
    <w:rsid w:val="00377279"/>
    <w:rsid w:val="003772DA"/>
    <w:rsid w:val="0037735A"/>
    <w:rsid w:val="00377B17"/>
    <w:rsid w:val="00380017"/>
    <w:rsid w:val="00380185"/>
    <w:rsid w:val="0038051B"/>
    <w:rsid w:val="00380C26"/>
    <w:rsid w:val="00380D78"/>
    <w:rsid w:val="003814B4"/>
    <w:rsid w:val="003824B6"/>
    <w:rsid w:val="003825E0"/>
    <w:rsid w:val="0038264A"/>
    <w:rsid w:val="00382EFF"/>
    <w:rsid w:val="00383ADD"/>
    <w:rsid w:val="00383E85"/>
    <w:rsid w:val="00384127"/>
    <w:rsid w:val="00384635"/>
    <w:rsid w:val="0038548E"/>
    <w:rsid w:val="003873EF"/>
    <w:rsid w:val="003878A1"/>
    <w:rsid w:val="00387E75"/>
    <w:rsid w:val="00387E86"/>
    <w:rsid w:val="00390699"/>
    <w:rsid w:val="0039075B"/>
    <w:rsid w:val="0039090E"/>
    <w:rsid w:val="00390AFD"/>
    <w:rsid w:val="0039228F"/>
    <w:rsid w:val="00392513"/>
    <w:rsid w:val="003926F6"/>
    <w:rsid w:val="00392B0E"/>
    <w:rsid w:val="00393A64"/>
    <w:rsid w:val="0039511F"/>
    <w:rsid w:val="00395520"/>
    <w:rsid w:val="00395F76"/>
    <w:rsid w:val="003968AF"/>
    <w:rsid w:val="003971A8"/>
    <w:rsid w:val="003976CB"/>
    <w:rsid w:val="00397B61"/>
    <w:rsid w:val="00397E38"/>
    <w:rsid w:val="003A094C"/>
    <w:rsid w:val="003A1C90"/>
    <w:rsid w:val="003A22D9"/>
    <w:rsid w:val="003A30AF"/>
    <w:rsid w:val="003A34AF"/>
    <w:rsid w:val="003A4C5D"/>
    <w:rsid w:val="003A51E3"/>
    <w:rsid w:val="003A5913"/>
    <w:rsid w:val="003A61BF"/>
    <w:rsid w:val="003A6503"/>
    <w:rsid w:val="003A6823"/>
    <w:rsid w:val="003A6D67"/>
    <w:rsid w:val="003A764E"/>
    <w:rsid w:val="003B0559"/>
    <w:rsid w:val="003B0B7D"/>
    <w:rsid w:val="003B1037"/>
    <w:rsid w:val="003B1188"/>
    <w:rsid w:val="003B16B0"/>
    <w:rsid w:val="003B1B2D"/>
    <w:rsid w:val="003B348E"/>
    <w:rsid w:val="003B34E5"/>
    <w:rsid w:val="003B39B9"/>
    <w:rsid w:val="003B3AEE"/>
    <w:rsid w:val="003B41F0"/>
    <w:rsid w:val="003B53F4"/>
    <w:rsid w:val="003B5734"/>
    <w:rsid w:val="003B7459"/>
    <w:rsid w:val="003B75CB"/>
    <w:rsid w:val="003B7ED3"/>
    <w:rsid w:val="003B7EF3"/>
    <w:rsid w:val="003C048D"/>
    <w:rsid w:val="003C06A2"/>
    <w:rsid w:val="003C0D8C"/>
    <w:rsid w:val="003C0ECA"/>
    <w:rsid w:val="003C0EE8"/>
    <w:rsid w:val="003C1CBE"/>
    <w:rsid w:val="003C1FC2"/>
    <w:rsid w:val="003C3194"/>
    <w:rsid w:val="003C33D0"/>
    <w:rsid w:val="003C38A4"/>
    <w:rsid w:val="003C3E65"/>
    <w:rsid w:val="003C4BFF"/>
    <w:rsid w:val="003C5341"/>
    <w:rsid w:val="003C5481"/>
    <w:rsid w:val="003C57A6"/>
    <w:rsid w:val="003C5D26"/>
    <w:rsid w:val="003C6114"/>
    <w:rsid w:val="003C684A"/>
    <w:rsid w:val="003C6E3F"/>
    <w:rsid w:val="003C78B2"/>
    <w:rsid w:val="003C7A6E"/>
    <w:rsid w:val="003C7E2D"/>
    <w:rsid w:val="003C7EC4"/>
    <w:rsid w:val="003D1857"/>
    <w:rsid w:val="003D1B7D"/>
    <w:rsid w:val="003D2708"/>
    <w:rsid w:val="003D2827"/>
    <w:rsid w:val="003D2A4D"/>
    <w:rsid w:val="003D477F"/>
    <w:rsid w:val="003D4825"/>
    <w:rsid w:val="003D63BD"/>
    <w:rsid w:val="003D691B"/>
    <w:rsid w:val="003D6A13"/>
    <w:rsid w:val="003D6AE3"/>
    <w:rsid w:val="003D6C0E"/>
    <w:rsid w:val="003D6FE2"/>
    <w:rsid w:val="003D7117"/>
    <w:rsid w:val="003D79F1"/>
    <w:rsid w:val="003D7ADE"/>
    <w:rsid w:val="003D7F22"/>
    <w:rsid w:val="003E1C36"/>
    <w:rsid w:val="003E1F7F"/>
    <w:rsid w:val="003E2B59"/>
    <w:rsid w:val="003E365C"/>
    <w:rsid w:val="003E42C7"/>
    <w:rsid w:val="003E5334"/>
    <w:rsid w:val="003E5BBD"/>
    <w:rsid w:val="003E6C3A"/>
    <w:rsid w:val="003F069B"/>
    <w:rsid w:val="003F0D51"/>
    <w:rsid w:val="003F19BF"/>
    <w:rsid w:val="003F2653"/>
    <w:rsid w:val="003F2690"/>
    <w:rsid w:val="003F2761"/>
    <w:rsid w:val="003F408A"/>
    <w:rsid w:val="003F568D"/>
    <w:rsid w:val="003F6616"/>
    <w:rsid w:val="003F687E"/>
    <w:rsid w:val="003F6B09"/>
    <w:rsid w:val="003F7066"/>
    <w:rsid w:val="003F7F98"/>
    <w:rsid w:val="004004AC"/>
    <w:rsid w:val="004007EA"/>
    <w:rsid w:val="00400C52"/>
    <w:rsid w:val="0040126B"/>
    <w:rsid w:val="004014E7"/>
    <w:rsid w:val="00401AC4"/>
    <w:rsid w:val="00402287"/>
    <w:rsid w:val="004025A7"/>
    <w:rsid w:val="00402ABD"/>
    <w:rsid w:val="00402E43"/>
    <w:rsid w:val="00403DC0"/>
    <w:rsid w:val="00404341"/>
    <w:rsid w:val="004045B7"/>
    <w:rsid w:val="004045C4"/>
    <w:rsid w:val="00404F65"/>
    <w:rsid w:val="004051C5"/>
    <w:rsid w:val="004053C4"/>
    <w:rsid w:val="004057C5"/>
    <w:rsid w:val="00406B94"/>
    <w:rsid w:val="004071C3"/>
    <w:rsid w:val="00407509"/>
    <w:rsid w:val="00407CB6"/>
    <w:rsid w:val="00407F31"/>
    <w:rsid w:val="0041041A"/>
    <w:rsid w:val="004106FE"/>
    <w:rsid w:val="00410D36"/>
    <w:rsid w:val="00411C91"/>
    <w:rsid w:val="00412F73"/>
    <w:rsid w:val="004137CC"/>
    <w:rsid w:val="00414396"/>
    <w:rsid w:val="00414AB5"/>
    <w:rsid w:val="00414D89"/>
    <w:rsid w:val="00415475"/>
    <w:rsid w:val="00415863"/>
    <w:rsid w:val="004163FD"/>
    <w:rsid w:val="00417661"/>
    <w:rsid w:val="0041782D"/>
    <w:rsid w:val="00417B59"/>
    <w:rsid w:val="0042024A"/>
    <w:rsid w:val="00420EB4"/>
    <w:rsid w:val="00420F88"/>
    <w:rsid w:val="00421EB5"/>
    <w:rsid w:val="00422129"/>
    <w:rsid w:val="00423D78"/>
    <w:rsid w:val="00424148"/>
    <w:rsid w:val="00424210"/>
    <w:rsid w:val="0042444E"/>
    <w:rsid w:val="00424556"/>
    <w:rsid w:val="00424791"/>
    <w:rsid w:val="00424E89"/>
    <w:rsid w:val="0042513D"/>
    <w:rsid w:val="00425401"/>
    <w:rsid w:val="004261FB"/>
    <w:rsid w:val="004266C5"/>
    <w:rsid w:val="00426B2E"/>
    <w:rsid w:val="00426FFB"/>
    <w:rsid w:val="00427553"/>
    <w:rsid w:val="00427B52"/>
    <w:rsid w:val="00427C89"/>
    <w:rsid w:val="0043055F"/>
    <w:rsid w:val="004308EF"/>
    <w:rsid w:val="00430DA8"/>
    <w:rsid w:val="0043168F"/>
    <w:rsid w:val="00431867"/>
    <w:rsid w:val="0043349C"/>
    <w:rsid w:val="0043426A"/>
    <w:rsid w:val="004344B7"/>
    <w:rsid w:val="00434D76"/>
    <w:rsid w:val="00435CFF"/>
    <w:rsid w:val="00435E2E"/>
    <w:rsid w:val="00436444"/>
    <w:rsid w:val="00436868"/>
    <w:rsid w:val="0043770E"/>
    <w:rsid w:val="00437F39"/>
    <w:rsid w:val="00440292"/>
    <w:rsid w:val="00440CE8"/>
    <w:rsid w:val="00441058"/>
    <w:rsid w:val="004412EB"/>
    <w:rsid w:val="004419A0"/>
    <w:rsid w:val="004434BD"/>
    <w:rsid w:val="00443EDA"/>
    <w:rsid w:val="00444111"/>
    <w:rsid w:val="0044489F"/>
    <w:rsid w:val="0044557F"/>
    <w:rsid w:val="00445BC4"/>
    <w:rsid w:val="00447025"/>
    <w:rsid w:val="00447143"/>
    <w:rsid w:val="0044720C"/>
    <w:rsid w:val="00447320"/>
    <w:rsid w:val="00447D98"/>
    <w:rsid w:val="004504F4"/>
    <w:rsid w:val="00450E09"/>
    <w:rsid w:val="00450E5C"/>
    <w:rsid w:val="0045114C"/>
    <w:rsid w:val="00451566"/>
    <w:rsid w:val="00451619"/>
    <w:rsid w:val="004522F2"/>
    <w:rsid w:val="00452853"/>
    <w:rsid w:val="00452DAC"/>
    <w:rsid w:val="004536EC"/>
    <w:rsid w:val="004555CC"/>
    <w:rsid w:val="00455B72"/>
    <w:rsid w:val="0045657A"/>
    <w:rsid w:val="0045657D"/>
    <w:rsid w:val="0045795F"/>
    <w:rsid w:val="00457A27"/>
    <w:rsid w:val="00460139"/>
    <w:rsid w:val="004605B0"/>
    <w:rsid w:val="00460DCE"/>
    <w:rsid w:val="0046119A"/>
    <w:rsid w:val="00462AD5"/>
    <w:rsid w:val="00463AFF"/>
    <w:rsid w:val="00463B28"/>
    <w:rsid w:val="00463B38"/>
    <w:rsid w:val="00466412"/>
    <w:rsid w:val="0046641F"/>
    <w:rsid w:val="00466605"/>
    <w:rsid w:val="004669E8"/>
    <w:rsid w:val="00466F75"/>
    <w:rsid w:val="004672EF"/>
    <w:rsid w:val="004700B1"/>
    <w:rsid w:val="00470922"/>
    <w:rsid w:val="004717FB"/>
    <w:rsid w:val="004726C4"/>
    <w:rsid w:val="00472752"/>
    <w:rsid w:val="004741DE"/>
    <w:rsid w:val="004746BC"/>
    <w:rsid w:val="004746BD"/>
    <w:rsid w:val="004746FB"/>
    <w:rsid w:val="0047512E"/>
    <w:rsid w:val="00475403"/>
    <w:rsid w:val="0047618C"/>
    <w:rsid w:val="00476320"/>
    <w:rsid w:val="0048087A"/>
    <w:rsid w:val="0048098E"/>
    <w:rsid w:val="00480A8C"/>
    <w:rsid w:val="00481811"/>
    <w:rsid w:val="0048191F"/>
    <w:rsid w:val="004822CC"/>
    <w:rsid w:val="00482391"/>
    <w:rsid w:val="00482805"/>
    <w:rsid w:val="00482B14"/>
    <w:rsid w:val="004833B9"/>
    <w:rsid w:val="00483FE2"/>
    <w:rsid w:val="004843D8"/>
    <w:rsid w:val="00484C03"/>
    <w:rsid w:val="00485128"/>
    <w:rsid w:val="0048591F"/>
    <w:rsid w:val="00485F99"/>
    <w:rsid w:val="004864FF"/>
    <w:rsid w:val="00486965"/>
    <w:rsid w:val="00486D2C"/>
    <w:rsid w:val="0048717B"/>
    <w:rsid w:val="0048783C"/>
    <w:rsid w:val="0049020A"/>
    <w:rsid w:val="00490368"/>
    <w:rsid w:val="00490B0B"/>
    <w:rsid w:val="00491896"/>
    <w:rsid w:val="00491A23"/>
    <w:rsid w:val="00491F09"/>
    <w:rsid w:val="004920EB"/>
    <w:rsid w:val="00492B1D"/>
    <w:rsid w:val="00492C4A"/>
    <w:rsid w:val="0049348F"/>
    <w:rsid w:val="00493BA9"/>
    <w:rsid w:val="00495395"/>
    <w:rsid w:val="00496695"/>
    <w:rsid w:val="00496BF0"/>
    <w:rsid w:val="004976BC"/>
    <w:rsid w:val="00497859"/>
    <w:rsid w:val="004A01C2"/>
    <w:rsid w:val="004A0F37"/>
    <w:rsid w:val="004A257F"/>
    <w:rsid w:val="004A2813"/>
    <w:rsid w:val="004A28D5"/>
    <w:rsid w:val="004A344E"/>
    <w:rsid w:val="004A46E2"/>
    <w:rsid w:val="004A4B4B"/>
    <w:rsid w:val="004A50AF"/>
    <w:rsid w:val="004A5762"/>
    <w:rsid w:val="004A6045"/>
    <w:rsid w:val="004A6998"/>
    <w:rsid w:val="004A76CB"/>
    <w:rsid w:val="004A7DFB"/>
    <w:rsid w:val="004B0BB1"/>
    <w:rsid w:val="004B0EA6"/>
    <w:rsid w:val="004B131F"/>
    <w:rsid w:val="004B2A9B"/>
    <w:rsid w:val="004B2DE0"/>
    <w:rsid w:val="004B33C0"/>
    <w:rsid w:val="004B36A9"/>
    <w:rsid w:val="004B42DB"/>
    <w:rsid w:val="004B4688"/>
    <w:rsid w:val="004B4A6E"/>
    <w:rsid w:val="004B4FFA"/>
    <w:rsid w:val="004B508E"/>
    <w:rsid w:val="004B671C"/>
    <w:rsid w:val="004B6BB2"/>
    <w:rsid w:val="004B70F8"/>
    <w:rsid w:val="004B7408"/>
    <w:rsid w:val="004B7E82"/>
    <w:rsid w:val="004C0170"/>
    <w:rsid w:val="004C03A4"/>
    <w:rsid w:val="004C0B1B"/>
    <w:rsid w:val="004C0C58"/>
    <w:rsid w:val="004C162B"/>
    <w:rsid w:val="004C196C"/>
    <w:rsid w:val="004C1AF4"/>
    <w:rsid w:val="004C23CC"/>
    <w:rsid w:val="004C25F7"/>
    <w:rsid w:val="004C26D4"/>
    <w:rsid w:val="004C2925"/>
    <w:rsid w:val="004C2BD9"/>
    <w:rsid w:val="004C302A"/>
    <w:rsid w:val="004C51EE"/>
    <w:rsid w:val="004C6081"/>
    <w:rsid w:val="004C6C97"/>
    <w:rsid w:val="004C74C7"/>
    <w:rsid w:val="004C7E4D"/>
    <w:rsid w:val="004D022A"/>
    <w:rsid w:val="004D0CC8"/>
    <w:rsid w:val="004D1B4D"/>
    <w:rsid w:val="004D270C"/>
    <w:rsid w:val="004D2C4D"/>
    <w:rsid w:val="004D3217"/>
    <w:rsid w:val="004D3589"/>
    <w:rsid w:val="004D44AB"/>
    <w:rsid w:val="004D49A0"/>
    <w:rsid w:val="004D4B2E"/>
    <w:rsid w:val="004D773A"/>
    <w:rsid w:val="004D7DA7"/>
    <w:rsid w:val="004E02C2"/>
    <w:rsid w:val="004E0551"/>
    <w:rsid w:val="004E0746"/>
    <w:rsid w:val="004E0866"/>
    <w:rsid w:val="004E094B"/>
    <w:rsid w:val="004E09E6"/>
    <w:rsid w:val="004E0C01"/>
    <w:rsid w:val="004E0DD7"/>
    <w:rsid w:val="004E0E56"/>
    <w:rsid w:val="004E192F"/>
    <w:rsid w:val="004E1A44"/>
    <w:rsid w:val="004E1E5D"/>
    <w:rsid w:val="004E1E5F"/>
    <w:rsid w:val="004E2DB9"/>
    <w:rsid w:val="004E3212"/>
    <w:rsid w:val="004E39FD"/>
    <w:rsid w:val="004E4ADE"/>
    <w:rsid w:val="004E4B63"/>
    <w:rsid w:val="004E5875"/>
    <w:rsid w:val="004E58B1"/>
    <w:rsid w:val="004E5FF8"/>
    <w:rsid w:val="004E68FC"/>
    <w:rsid w:val="004E6EA2"/>
    <w:rsid w:val="004E7685"/>
    <w:rsid w:val="004E787F"/>
    <w:rsid w:val="004F07B5"/>
    <w:rsid w:val="004F0C1B"/>
    <w:rsid w:val="004F1791"/>
    <w:rsid w:val="004F1AF7"/>
    <w:rsid w:val="004F28D4"/>
    <w:rsid w:val="004F2B05"/>
    <w:rsid w:val="004F35AF"/>
    <w:rsid w:val="004F37A8"/>
    <w:rsid w:val="004F40ED"/>
    <w:rsid w:val="004F42BD"/>
    <w:rsid w:val="004F4EEC"/>
    <w:rsid w:val="004F52E7"/>
    <w:rsid w:val="004F5397"/>
    <w:rsid w:val="004F600E"/>
    <w:rsid w:val="004F60FD"/>
    <w:rsid w:val="004F6228"/>
    <w:rsid w:val="004F66D8"/>
    <w:rsid w:val="004F67C7"/>
    <w:rsid w:val="004F6881"/>
    <w:rsid w:val="004F6C36"/>
    <w:rsid w:val="004F74F8"/>
    <w:rsid w:val="004F76E1"/>
    <w:rsid w:val="005001BE"/>
    <w:rsid w:val="00500D92"/>
    <w:rsid w:val="005015C4"/>
    <w:rsid w:val="0050261E"/>
    <w:rsid w:val="00502BE1"/>
    <w:rsid w:val="0050335B"/>
    <w:rsid w:val="005033FB"/>
    <w:rsid w:val="00503676"/>
    <w:rsid w:val="00505B13"/>
    <w:rsid w:val="00505FF5"/>
    <w:rsid w:val="00507625"/>
    <w:rsid w:val="00507B66"/>
    <w:rsid w:val="0051048B"/>
    <w:rsid w:val="00510758"/>
    <w:rsid w:val="00511286"/>
    <w:rsid w:val="005114BC"/>
    <w:rsid w:val="00511650"/>
    <w:rsid w:val="00511C57"/>
    <w:rsid w:val="00511FBD"/>
    <w:rsid w:val="005127E0"/>
    <w:rsid w:val="00512845"/>
    <w:rsid w:val="00512D11"/>
    <w:rsid w:val="0051351A"/>
    <w:rsid w:val="00514928"/>
    <w:rsid w:val="0051503B"/>
    <w:rsid w:val="00515785"/>
    <w:rsid w:val="00515FC2"/>
    <w:rsid w:val="0051600B"/>
    <w:rsid w:val="00516E87"/>
    <w:rsid w:val="00517FAD"/>
    <w:rsid w:val="005204F3"/>
    <w:rsid w:val="00520E63"/>
    <w:rsid w:val="00520E79"/>
    <w:rsid w:val="00520ECF"/>
    <w:rsid w:val="00521148"/>
    <w:rsid w:val="00521DE1"/>
    <w:rsid w:val="00521DEA"/>
    <w:rsid w:val="005222B7"/>
    <w:rsid w:val="00522983"/>
    <w:rsid w:val="005236A4"/>
    <w:rsid w:val="00523814"/>
    <w:rsid w:val="0052393B"/>
    <w:rsid w:val="0052393D"/>
    <w:rsid w:val="00523E4E"/>
    <w:rsid w:val="005246CD"/>
    <w:rsid w:val="00524B29"/>
    <w:rsid w:val="00524E47"/>
    <w:rsid w:val="00524E98"/>
    <w:rsid w:val="00524F10"/>
    <w:rsid w:val="00526ECD"/>
    <w:rsid w:val="00530733"/>
    <w:rsid w:val="00530AEF"/>
    <w:rsid w:val="00531B87"/>
    <w:rsid w:val="005324DC"/>
    <w:rsid w:val="005338C8"/>
    <w:rsid w:val="0053396B"/>
    <w:rsid w:val="00533E37"/>
    <w:rsid w:val="00533FAC"/>
    <w:rsid w:val="005340A9"/>
    <w:rsid w:val="00534895"/>
    <w:rsid w:val="00534921"/>
    <w:rsid w:val="00535398"/>
    <w:rsid w:val="005357E6"/>
    <w:rsid w:val="005358E2"/>
    <w:rsid w:val="00535906"/>
    <w:rsid w:val="00535AEC"/>
    <w:rsid w:val="005364F7"/>
    <w:rsid w:val="00537B08"/>
    <w:rsid w:val="00537D0B"/>
    <w:rsid w:val="00537E0B"/>
    <w:rsid w:val="005401EE"/>
    <w:rsid w:val="0054058B"/>
    <w:rsid w:val="005417C8"/>
    <w:rsid w:val="00541E25"/>
    <w:rsid w:val="00542BCA"/>
    <w:rsid w:val="0054343F"/>
    <w:rsid w:val="0054448D"/>
    <w:rsid w:val="005448DB"/>
    <w:rsid w:val="00544CF1"/>
    <w:rsid w:val="00545900"/>
    <w:rsid w:val="00545B19"/>
    <w:rsid w:val="00546177"/>
    <w:rsid w:val="0054640F"/>
    <w:rsid w:val="00546842"/>
    <w:rsid w:val="00546A89"/>
    <w:rsid w:val="00546B0A"/>
    <w:rsid w:val="005477E4"/>
    <w:rsid w:val="00547C65"/>
    <w:rsid w:val="00547E5B"/>
    <w:rsid w:val="005512D0"/>
    <w:rsid w:val="00551E26"/>
    <w:rsid w:val="00551F40"/>
    <w:rsid w:val="00551FD0"/>
    <w:rsid w:val="00551FFE"/>
    <w:rsid w:val="005521D5"/>
    <w:rsid w:val="00552B96"/>
    <w:rsid w:val="00552C47"/>
    <w:rsid w:val="00553826"/>
    <w:rsid w:val="00553965"/>
    <w:rsid w:val="00553C78"/>
    <w:rsid w:val="00553CBA"/>
    <w:rsid w:val="005542A8"/>
    <w:rsid w:val="005542CC"/>
    <w:rsid w:val="00554402"/>
    <w:rsid w:val="005544C6"/>
    <w:rsid w:val="00554571"/>
    <w:rsid w:val="00554658"/>
    <w:rsid w:val="00555D73"/>
    <w:rsid w:val="00556E14"/>
    <w:rsid w:val="0055795F"/>
    <w:rsid w:val="00560C1F"/>
    <w:rsid w:val="00561B7F"/>
    <w:rsid w:val="00561BB2"/>
    <w:rsid w:val="005620DB"/>
    <w:rsid w:val="005627AB"/>
    <w:rsid w:val="00562F16"/>
    <w:rsid w:val="00563250"/>
    <w:rsid w:val="0056381E"/>
    <w:rsid w:val="00563A56"/>
    <w:rsid w:val="00563ED0"/>
    <w:rsid w:val="00564402"/>
    <w:rsid w:val="00564C4E"/>
    <w:rsid w:val="00565D9B"/>
    <w:rsid w:val="00567412"/>
    <w:rsid w:val="0056798C"/>
    <w:rsid w:val="00567BE5"/>
    <w:rsid w:val="00567ED8"/>
    <w:rsid w:val="0057013E"/>
    <w:rsid w:val="0057071C"/>
    <w:rsid w:val="00570953"/>
    <w:rsid w:val="00571DE4"/>
    <w:rsid w:val="00572B44"/>
    <w:rsid w:val="00573704"/>
    <w:rsid w:val="0057376B"/>
    <w:rsid w:val="00573F5D"/>
    <w:rsid w:val="00574275"/>
    <w:rsid w:val="0057486A"/>
    <w:rsid w:val="005759C8"/>
    <w:rsid w:val="0057767E"/>
    <w:rsid w:val="00577773"/>
    <w:rsid w:val="005800AD"/>
    <w:rsid w:val="00580526"/>
    <w:rsid w:val="00581430"/>
    <w:rsid w:val="005815FB"/>
    <w:rsid w:val="00583560"/>
    <w:rsid w:val="005836E3"/>
    <w:rsid w:val="00583984"/>
    <w:rsid w:val="00583AA9"/>
    <w:rsid w:val="0058457C"/>
    <w:rsid w:val="00584DCB"/>
    <w:rsid w:val="00584E18"/>
    <w:rsid w:val="005853BD"/>
    <w:rsid w:val="005862B8"/>
    <w:rsid w:val="0058657D"/>
    <w:rsid w:val="0058667D"/>
    <w:rsid w:val="00586975"/>
    <w:rsid w:val="00587585"/>
    <w:rsid w:val="0059082C"/>
    <w:rsid w:val="005919C8"/>
    <w:rsid w:val="00591A13"/>
    <w:rsid w:val="0059265B"/>
    <w:rsid w:val="0059296C"/>
    <w:rsid w:val="00593354"/>
    <w:rsid w:val="00593411"/>
    <w:rsid w:val="00593817"/>
    <w:rsid w:val="00593E70"/>
    <w:rsid w:val="00593E75"/>
    <w:rsid w:val="00595313"/>
    <w:rsid w:val="00595832"/>
    <w:rsid w:val="005966C5"/>
    <w:rsid w:val="00596A56"/>
    <w:rsid w:val="00597590"/>
    <w:rsid w:val="005A0B33"/>
    <w:rsid w:val="005A0BDE"/>
    <w:rsid w:val="005A0EC3"/>
    <w:rsid w:val="005A0F40"/>
    <w:rsid w:val="005A2256"/>
    <w:rsid w:val="005A23D6"/>
    <w:rsid w:val="005A3704"/>
    <w:rsid w:val="005A3CE3"/>
    <w:rsid w:val="005A3E55"/>
    <w:rsid w:val="005A4DFA"/>
    <w:rsid w:val="005A52E6"/>
    <w:rsid w:val="005A57E8"/>
    <w:rsid w:val="005A64F2"/>
    <w:rsid w:val="005B0586"/>
    <w:rsid w:val="005B0DE7"/>
    <w:rsid w:val="005B11BB"/>
    <w:rsid w:val="005B1231"/>
    <w:rsid w:val="005B1435"/>
    <w:rsid w:val="005B3A0E"/>
    <w:rsid w:val="005B4266"/>
    <w:rsid w:val="005B5E65"/>
    <w:rsid w:val="005B6C1C"/>
    <w:rsid w:val="005B6E7C"/>
    <w:rsid w:val="005B6FF2"/>
    <w:rsid w:val="005B7830"/>
    <w:rsid w:val="005C03F3"/>
    <w:rsid w:val="005C0FB9"/>
    <w:rsid w:val="005C1035"/>
    <w:rsid w:val="005C10C4"/>
    <w:rsid w:val="005C1466"/>
    <w:rsid w:val="005C16A3"/>
    <w:rsid w:val="005C1A62"/>
    <w:rsid w:val="005C2824"/>
    <w:rsid w:val="005C2833"/>
    <w:rsid w:val="005C30BB"/>
    <w:rsid w:val="005C33B8"/>
    <w:rsid w:val="005C368A"/>
    <w:rsid w:val="005C3C5A"/>
    <w:rsid w:val="005C3FAC"/>
    <w:rsid w:val="005C40D0"/>
    <w:rsid w:val="005C421B"/>
    <w:rsid w:val="005C4422"/>
    <w:rsid w:val="005C5CD4"/>
    <w:rsid w:val="005C62EF"/>
    <w:rsid w:val="005C6AF2"/>
    <w:rsid w:val="005C6D74"/>
    <w:rsid w:val="005C75E9"/>
    <w:rsid w:val="005C76B9"/>
    <w:rsid w:val="005C7CFF"/>
    <w:rsid w:val="005D0E77"/>
    <w:rsid w:val="005D1A38"/>
    <w:rsid w:val="005D2112"/>
    <w:rsid w:val="005D242F"/>
    <w:rsid w:val="005D2BFB"/>
    <w:rsid w:val="005D2E38"/>
    <w:rsid w:val="005D35AA"/>
    <w:rsid w:val="005D3607"/>
    <w:rsid w:val="005D3BFB"/>
    <w:rsid w:val="005D4628"/>
    <w:rsid w:val="005D5335"/>
    <w:rsid w:val="005D54A7"/>
    <w:rsid w:val="005D5595"/>
    <w:rsid w:val="005D5F0E"/>
    <w:rsid w:val="005D6525"/>
    <w:rsid w:val="005E1807"/>
    <w:rsid w:val="005E22CD"/>
    <w:rsid w:val="005E28CE"/>
    <w:rsid w:val="005E3BB6"/>
    <w:rsid w:val="005E4AE4"/>
    <w:rsid w:val="005E4CAA"/>
    <w:rsid w:val="005E5303"/>
    <w:rsid w:val="005E58F5"/>
    <w:rsid w:val="005E6D37"/>
    <w:rsid w:val="005E73A2"/>
    <w:rsid w:val="005F059B"/>
    <w:rsid w:val="005F0C51"/>
    <w:rsid w:val="005F0E48"/>
    <w:rsid w:val="005F112B"/>
    <w:rsid w:val="005F1239"/>
    <w:rsid w:val="005F13C0"/>
    <w:rsid w:val="005F13F0"/>
    <w:rsid w:val="005F21F6"/>
    <w:rsid w:val="005F42A0"/>
    <w:rsid w:val="005F4AA0"/>
    <w:rsid w:val="005F4C71"/>
    <w:rsid w:val="005F54BF"/>
    <w:rsid w:val="005F5716"/>
    <w:rsid w:val="005F6169"/>
    <w:rsid w:val="005F7AEB"/>
    <w:rsid w:val="0060038C"/>
    <w:rsid w:val="00600391"/>
    <w:rsid w:val="00600663"/>
    <w:rsid w:val="00600E33"/>
    <w:rsid w:val="00601185"/>
    <w:rsid w:val="00601308"/>
    <w:rsid w:val="00602DC7"/>
    <w:rsid w:val="0060354E"/>
    <w:rsid w:val="00603593"/>
    <w:rsid w:val="00603E40"/>
    <w:rsid w:val="00604A78"/>
    <w:rsid w:val="00604A90"/>
    <w:rsid w:val="00604D1C"/>
    <w:rsid w:val="00604D58"/>
    <w:rsid w:val="0060518C"/>
    <w:rsid w:val="00606570"/>
    <w:rsid w:val="00607516"/>
    <w:rsid w:val="00607C9E"/>
    <w:rsid w:val="006105C0"/>
    <w:rsid w:val="00611095"/>
    <w:rsid w:val="0061155F"/>
    <w:rsid w:val="00611E03"/>
    <w:rsid w:val="00612233"/>
    <w:rsid w:val="00612551"/>
    <w:rsid w:val="00612F94"/>
    <w:rsid w:val="0061323C"/>
    <w:rsid w:val="00613689"/>
    <w:rsid w:val="00613877"/>
    <w:rsid w:val="00613C50"/>
    <w:rsid w:val="006141C2"/>
    <w:rsid w:val="006150D0"/>
    <w:rsid w:val="00615D2B"/>
    <w:rsid w:val="00615E4A"/>
    <w:rsid w:val="0061607E"/>
    <w:rsid w:val="006161D1"/>
    <w:rsid w:val="00616C92"/>
    <w:rsid w:val="00617497"/>
    <w:rsid w:val="006177A1"/>
    <w:rsid w:val="00617C26"/>
    <w:rsid w:val="0062000F"/>
    <w:rsid w:val="00621096"/>
    <w:rsid w:val="006235A0"/>
    <w:rsid w:val="006237E0"/>
    <w:rsid w:val="00623837"/>
    <w:rsid w:val="00624040"/>
    <w:rsid w:val="00624254"/>
    <w:rsid w:val="006243BD"/>
    <w:rsid w:val="00624815"/>
    <w:rsid w:val="00624D3B"/>
    <w:rsid w:val="00624F28"/>
    <w:rsid w:val="006251BF"/>
    <w:rsid w:val="006252BB"/>
    <w:rsid w:val="0062658A"/>
    <w:rsid w:val="006265CE"/>
    <w:rsid w:val="00627649"/>
    <w:rsid w:val="006308FD"/>
    <w:rsid w:val="00631C8A"/>
    <w:rsid w:val="0063289F"/>
    <w:rsid w:val="0063298A"/>
    <w:rsid w:val="00632FFA"/>
    <w:rsid w:val="00633507"/>
    <w:rsid w:val="00633608"/>
    <w:rsid w:val="006337EC"/>
    <w:rsid w:val="00633C80"/>
    <w:rsid w:val="00633E36"/>
    <w:rsid w:val="00634352"/>
    <w:rsid w:val="0063449E"/>
    <w:rsid w:val="00634DA4"/>
    <w:rsid w:val="006350E0"/>
    <w:rsid w:val="00635C52"/>
    <w:rsid w:val="006367B6"/>
    <w:rsid w:val="00636CB5"/>
    <w:rsid w:val="00636DDB"/>
    <w:rsid w:val="00637264"/>
    <w:rsid w:val="00637889"/>
    <w:rsid w:val="00637B5A"/>
    <w:rsid w:val="00637C1C"/>
    <w:rsid w:val="0064053F"/>
    <w:rsid w:val="006406E5"/>
    <w:rsid w:val="0064116B"/>
    <w:rsid w:val="0064159A"/>
    <w:rsid w:val="00641B30"/>
    <w:rsid w:val="00641FED"/>
    <w:rsid w:val="0064213C"/>
    <w:rsid w:val="006423D7"/>
    <w:rsid w:val="00642AC2"/>
    <w:rsid w:val="00642C6E"/>
    <w:rsid w:val="00642F33"/>
    <w:rsid w:val="006431C6"/>
    <w:rsid w:val="00644BEA"/>
    <w:rsid w:val="006452D5"/>
    <w:rsid w:val="006453BC"/>
    <w:rsid w:val="006465ED"/>
    <w:rsid w:val="00646711"/>
    <w:rsid w:val="00647269"/>
    <w:rsid w:val="00647FF1"/>
    <w:rsid w:val="00650379"/>
    <w:rsid w:val="00650D41"/>
    <w:rsid w:val="006513EB"/>
    <w:rsid w:val="00651B10"/>
    <w:rsid w:val="00652593"/>
    <w:rsid w:val="006527FC"/>
    <w:rsid w:val="00652898"/>
    <w:rsid w:val="006530A2"/>
    <w:rsid w:val="00653473"/>
    <w:rsid w:val="00653752"/>
    <w:rsid w:val="00653EF0"/>
    <w:rsid w:val="00654109"/>
    <w:rsid w:val="0065460F"/>
    <w:rsid w:val="00655DE8"/>
    <w:rsid w:val="00655F08"/>
    <w:rsid w:val="00656542"/>
    <w:rsid w:val="00656C30"/>
    <w:rsid w:val="00656DF9"/>
    <w:rsid w:val="006579BF"/>
    <w:rsid w:val="00657A47"/>
    <w:rsid w:val="00657A7B"/>
    <w:rsid w:val="00657EE2"/>
    <w:rsid w:val="00657FFC"/>
    <w:rsid w:val="0066222D"/>
    <w:rsid w:val="006624DB"/>
    <w:rsid w:val="00662937"/>
    <w:rsid w:val="0066391E"/>
    <w:rsid w:val="00663A12"/>
    <w:rsid w:val="006644C3"/>
    <w:rsid w:val="00664D53"/>
    <w:rsid w:val="006657F6"/>
    <w:rsid w:val="0066591D"/>
    <w:rsid w:val="006660B4"/>
    <w:rsid w:val="00666174"/>
    <w:rsid w:val="00666A53"/>
    <w:rsid w:val="00667990"/>
    <w:rsid w:val="006703DB"/>
    <w:rsid w:val="006707E2"/>
    <w:rsid w:val="006713A8"/>
    <w:rsid w:val="0067143A"/>
    <w:rsid w:val="00671C1C"/>
    <w:rsid w:val="00672B40"/>
    <w:rsid w:val="00672B79"/>
    <w:rsid w:val="006732EF"/>
    <w:rsid w:val="00673910"/>
    <w:rsid w:val="00673E08"/>
    <w:rsid w:val="006748C0"/>
    <w:rsid w:val="00674D98"/>
    <w:rsid w:val="00674FEA"/>
    <w:rsid w:val="006750DF"/>
    <w:rsid w:val="00675224"/>
    <w:rsid w:val="00675A5F"/>
    <w:rsid w:val="00676080"/>
    <w:rsid w:val="0067693E"/>
    <w:rsid w:val="00676CD6"/>
    <w:rsid w:val="006773B3"/>
    <w:rsid w:val="006809FB"/>
    <w:rsid w:val="00680D95"/>
    <w:rsid w:val="00681C5E"/>
    <w:rsid w:val="00682FF1"/>
    <w:rsid w:val="00683429"/>
    <w:rsid w:val="00683490"/>
    <w:rsid w:val="0068370E"/>
    <w:rsid w:val="006841B5"/>
    <w:rsid w:val="006849F4"/>
    <w:rsid w:val="006858FE"/>
    <w:rsid w:val="006859A1"/>
    <w:rsid w:val="0068651A"/>
    <w:rsid w:val="00687660"/>
    <w:rsid w:val="00687EFA"/>
    <w:rsid w:val="0069044E"/>
    <w:rsid w:val="00690788"/>
    <w:rsid w:val="0069159F"/>
    <w:rsid w:val="00691CFE"/>
    <w:rsid w:val="006926AC"/>
    <w:rsid w:val="00692ED9"/>
    <w:rsid w:val="00693130"/>
    <w:rsid w:val="006942F2"/>
    <w:rsid w:val="006944B2"/>
    <w:rsid w:val="00694555"/>
    <w:rsid w:val="00695340"/>
    <w:rsid w:val="006962C7"/>
    <w:rsid w:val="00696EBC"/>
    <w:rsid w:val="00696F6A"/>
    <w:rsid w:val="006978EA"/>
    <w:rsid w:val="006A1ACF"/>
    <w:rsid w:val="006A219A"/>
    <w:rsid w:val="006A29C9"/>
    <w:rsid w:val="006A2A99"/>
    <w:rsid w:val="006A2FF0"/>
    <w:rsid w:val="006A3332"/>
    <w:rsid w:val="006A416E"/>
    <w:rsid w:val="006A43C1"/>
    <w:rsid w:val="006A49D7"/>
    <w:rsid w:val="006A5C92"/>
    <w:rsid w:val="006A60D2"/>
    <w:rsid w:val="006A6B75"/>
    <w:rsid w:val="006A6EC3"/>
    <w:rsid w:val="006A6FFA"/>
    <w:rsid w:val="006A7026"/>
    <w:rsid w:val="006A7136"/>
    <w:rsid w:val="006B07D6"/>
    <w:rsid w:val="006B0B73"/>
    <w:rsid w:val="006B115C"/>
    <w:rsid w:val="006B1560"/>
    <w:rsid w:val="006B21AD"/>
    <w:rsid w:val="006B25F9"/>
    <w:rsid w:val="006B26BC"/>
    <w:rsid w:val="006B2CE4"/>
    <w:rsid w:val="006B40EA"/>
    <w:rsid w:val="006B61E0"/>
    <w:rsid w:val="006B67DE"/>
    <w:rsid w:val="006B6B3C"/>
    <w:rsid w:val="006B7CE6"/>
    <w:rsid w:val="006B7F06"/>
    <w:rsid w:val="006C0093"/>
    <w:rsid w:val="006C04D3"/>
    <w:rsid w:val="006C07D9"/>
    <w:rsid w:val="006C0CCB"/>
    <w:rsid w:val="006C16EC"/>
    <w:rsid w:val="006C1E23"/>
    <w:rsid w:val="006C21C1"/>
    <w:rsid w:val="006C2507"/>
    <w:rsid w:val="006C2795"/>
    <w:rsid w:val="006C2A5D"/>
    <w:rsid w:val="006C2DE7"/>
    <w:rsid w:val="006C3B95"/>
    <w:rsid w:val="006C3E0C"/>
    <w:rsid w:val="006C45A4"/>
    <w:rsid w:val="006C45C0"/>
    <w:rsid w:val="006C4B93"/>
    <w:rsid w:val="006C4BD7"/>
    <w:rsid w:val="006C4D14"/>
    <w:rsid w:val="006C5B1A"/>
    <w:rsid w:val="006C5EE2"/>
    <w:rsid w:val="006C6083"/>
    <w:rsid w:val="006C6977"/>
    <w:rsid w:val="006C704B"/>
    <w:rsid w:val="006C708D"/>
    <w:rsid w:val="006C70F8"/>
    <w:rsid w:val="006C71BD"/>
    <w:rsid w:val="006D074E"/>
    <w:rsid w:val="006D0DB0"/>
    <w:rsid w:val="006D0E15"/>
    <w:rsid w:val="006D1BDC"/>
    <w:rsid w:val="006D28A8"/>
    <w:rsid w:val="006D2E22"/>
    <w:rsid w:val="006D3795"/>
    <w:rsid w:val="006D3BA8"/>
    <w:rsid w:val="006D3D80"/>
    <w:rsid w:val="006D3FD8"/>
    <w:rsid w:val="006D4511"/>
    <w:rsid w:val="006D4524"/>
    <w:rsid w:val="006D45DB"/>
    <w:rsid w:val="006D4ADE"/>
    <w:rsid w:val="006D4DD3"/>
    <w:rsid w:val="006D51F4"/>
    <w:rsid w:val="006D595D"/>
    <w:rsid w:val="006D60F0"/>
    <w:rsid w:val="006D61A4"/>
    <w:rsid w:val="006D73A6"/>
    <w:rsid w:val="006D74D7"/>
    <w:rsid w:val="006D7593"/>
    <w:rsid w:val="006D78C4"/>
    <w:rsid w:val="006E09D3"/>
    <w:rsid w:val="006E0AE6"/>
    <w:rsid w:val="006E0B8C"/>
    <w:rsid w:val="006E0BD8"/>
    <w:rsid w:val="006E10E6"/>
    <w:rsid w:val="006E12C7"/>
    <w:rsid w:val="006E176B"/>
    <w:rsid w:val="006E2D07"/>
    <w:rsid w:val="006E3633"/>
    <w:rsid w:val="006E36D9"/>
    <w:rsid w:val="006E4606"/>
    <w:rsid w:val="006E47FE"/>
    <w:rsid w:val="006E4EC7"/>
    <w:rsid w:val="006E50E4"/>
    <w:rsid w:val="006E53D9"/>
    <w:rsid w:val="006E66D0"/>
    <w:rsid w:val="006F018F"/>
    <w:rsid w:val="006F026A"/>
    <w:rsid w:val="006F0C7A"/>
    <w:rsid w:val="006F1210"/>
    <w:rsid w:val="006F1359"/>
    <w:rsid w:val="006F17A9"/>
    <w:rsid w:val="006F240E"/>
    <w:rsid w:val="006F24FE"/>
    <w:rsid w:val="006F33DD"/>
    <w:rsid w:val="006F3D35"/>
    <w:rsid w:val="006F4032"/>
    <w:rsid w:val="006F40E7"/>
    <w:rsid w:val="006F412D"/>
    <w:rsid w:val="006F4ACC"/>
    <w:rsid w:val="006F57A6"/>
    <w:rsid w:val="006F5811"/>
    <w:rsid w:val="006F5874"/>
    <w:rsid w:val="006F59B7"/>
    <w:rsid w:val="006F6199"/>
    <w:rsid w:val="006F65AD"/>
    <w:rsid w:val="006F700E"/>
    <w:rsid w:val="006F79F0"/>
    <w:rsid w:val="006F7E81"/>
    <w:rsid w:val="00700CDD"/>
    <w:rsid w:val="0070124E"/>
    <w:rsid w:val="00701902"/>
    <w:rsid w:val="00701E6C"/>
    <w:rsid w:val="00703AD7"/>
    <w:rsid w:val="007040B8"/>
    <w:rsid w:val="007044FE"/>
    <w:rsid w:val="0070459D"/>
    <w:rsid w:val="00704F96"/>
    <w:rsid w:val="00705676"/>
    <w:rsid w:val="00705A45"/>
    <w:rsid w:val="00706022"/>
    <w:rsid w:val="00706B48"/>
    <w:rsid w:val="00710406"/>
    <w:rsid w:val="007110B7"/>
    <w:rsid w:val="0071134E"/>
    <w:rsid w:val="00711640"/>
    <w:rsid w:val="00711922"/>
    <w:rsid w:val="00711C11"/>
    <w:rsid w:val="00713063"/>
    <w:rsid w:val="0071370A"/>
    <w:rsid w:val="00713E40"/>
    <w:rsid w:val="00713EAD"/>
    <w:rsid w:val="00714633"/>
    <w:rsid w:val="00714698"/>
    <w:rsid w:val="00714A62"/>
    <w:rsid w:val="00714E2E"/>
    <w:rsid w:val="00715771"/>
    <w:rsid w:val="0071625C"/>
    <w:rsid w:val="00716E16"/>
    <w:rsid w:val="00717C69"/>
    <w:rsid w:val="0072042D"/>
    <w:rsid w:val="007208AC"/>
    <w:rsid w:val="00720E4A"/>
    <w:rsid w:val="00721E03"/>
    <w:rsid w:val="007234AF"/>
    <w:rsid w:val="0072500D"/>
    <w:rsid w:val="0072662F"/>
    <w:rsid w:val="00726C03"/>
    <w:rsid w:val="007275A9"/>
    <w:rsid w:val="007301B0"/>
    <w:rsid w:val="00730382"/>
    <w:rsid w:val="00730D56"/>
    <w:rsid w:val="00730F70"/>
    <w:rsid w:val="00732361"/>
    <w:rsid w:val="007329BB"/>
    <w:rsid w:val="00732E6E"/>
    <w:rsid w:val="007341FE"/>
    <w:rsid w:val="007350DF"/>
    <w:rsid w:val="007355E0"/>
    <w:rsid w:val="007363AE"/>
    <w:rsid w:val="0073698F"/>
    <w:rsid w:val="00736E08"/>
    <w:rsid w:val="00740765"/>
    <w:rsid w:val="0074127B"/>
    <w:rsid w:val="00741A2C"/>
    <w:rsid w:val="00741B3D"/>
    <w:rsid w:val="007426DD"/>
    <w:rsid w:val="00742C73"/>
    <w:rsid w:val="00743480"/>
    <w:rsid w:val="00743D29"/>
    <w:rsid w:val="007440E0"/>
    <w:rsid w:val="00744744"/>
    <w:rsid w:val="00744959"/>
    <w:rsid w:val="00744B54"/>
    <w:rsid w:val="00744CE9"/>
    <w:rsid w:val="00744EA4"/>
    <w:rsid w:val="007459FC"/>
    <w:rsid w:val="00746184"/>
    <w:rsid w:val="0074682F"/>
    <w:rsid w:val="007469F2"/>
    <w:rsid w:val="00746C87"/>
    <w:rsid w:val="0074730C"/>
    <w:rsid w:val="007475D4"/>
    <w:rsid w:val="00747CDA"/>
    <w:rsid w:val="00750963"/>
    <w:rsid w:val="00750C67"/>
    <w:rsid w:val="00750C9F"/>
    <w:rsid w:val="00750E3A"/>
    <w:rsid w:val="007513F7"/>
    <w:rsid w:val="00751481"/>
    <w:rsid w:val="00751DC2"/>
    <w:rsid w:val="00753CBD"/>
    <w:rsid w:val="0075427E"/>
    <w:rsid w:val="00754634"/>
    <w:rsid w:val="0075551B"/>
    <w:rsid w:val="00755B79"/>
    <w:rsid w:val="00755D44"/>
    <w:rsid w:val="00756290"/>
    <w:rsid w:val="00756E69"/>
    <w:rsid w:val="00760E91"/>
    <w:rsid w:val="007619EE"/>
    <w:rsid w:val="007619FB"/>
    <w:rsid w:val="00761B78"/>
    <w:rsid w:val="00761DE7"/>
    <w:rsid w:val="00762AF9"/>
    <w:rsid w:val="00762D7A"/>
    <w:rsid w:val="00764537"/>
    <w:rsid w:val="00764815"/>
    <w:rsid w:val="00764DF5"/>
    <w:rsid w:val="00765A58"/>
    <w:rsid w:val="00765FBC"/>
    <w:rsid w:val="007663CE"/>
    <w:rsid w:val="0076712C"/>
    <w:rsid w:val="007673DB"/>
    <w:rsid w:val="007673E7"/>
    <w:rsid w:val="0076786A"/>
    <w:rsid w:val="00767B9C"/>
    <w:rsid w:val="00770A7B"/>
    <w:rsid w:val="00771616"/>
    <w:rsid w:val="00771A67"/>
    <w:rsid w:val="00771C64"/>
    <w:rsid w:val="0077235D"/>
    <w:rsid w:val="007728E1"/>
    <w:rsid w:val="00773254"/>
    <w:rsid w:val="00773DD7"/>
    <w:rsid w:val="0077463D"/>
    <w:rsid w:val="00774B41"/>
    <w:rsid w:val="00774CEA"/>
    <w:rsid w:val="007750E1"/>
    <w:rsid w:val="00776C95"/>
    <w:rsid w:val="007778B9"/>
    <w:rsid w:val="00777AC9"/>
    <w:rsid w:val="00777B98"/>
    <w:rsid w:val="00780192"/>
    <w:rsid w:val="00780519"/>
    <w:rsid w:val="00781728"/>
    <w:rsid w:val="007817B0"/>
    <w:rsid w:val="00781BA6"/>
    <w:rsid w:val="0078291C"/>
    <w:rsid w:val="007835FB"/>
    <w:rsid w:val="007838A1"/>
    <w:rsid w:val="007842CA"/>
    <w:rsid w:val="00784603"/>
    <w:rsid w:val="0078479C"/>
    <w:rsid w:val="00784A08"/>
    <w:rsid w:val="0078508D"/>
    <w:rsid w:val="007852DA"/>
    <w:rsid w:val="00785944"/>
    <w:rsid w:val="00785CD6"/>
    <w:rsid w:val="00786CDE"/>
    <w:rsid w:val="00786E1F"/>
    <w:rsid w:val="007870E6"/>
    <w:rsid w:val="007872EA"/>
    <w:rsid w:val="007875A7"/>
    <w:rsid w:val="00787A27"/>
    <w:rsid w:val="00787A4A"/>
    <w:rsid w:val="0079023C"/>
    <w:rsid w:val="00791ADA"/>
    <w:rsid w:val="007926DF"/>
    <w:rsid w:val="007936E1"/>
    <w:rsid w:val="00793B1B"/>
    <w:rsid w:val="00793B2B"/>
    <w:rsid w:val="0079463C"/>
    <w:rsid w:val="00795B56"/>
    <w:rsid w:val="0079614E"/>
    <w:rsid w:val="00797C89"/>
    <w:rsid w:val="00797F2B"/>
    <w:rsid w:val="007A014C"/>
    <w:rsid w:val="007A0B89"/>
    <w:rsid w:val="007A0F07"/>
    <w:rsid w:val="007A1EF2"/>
    <w:rsid w:val="007A2319"/>
    <w:rsid w:val="007A39F9"/>
    <w:rsid w:val="007A4159"/>
    <w:rsid w:val="007A459E"/>
    <w:rsid w:val="007A4C04"/>
    <w:rsid w:val="007A70A7"/>
    <w:rsid w:val="007B00DF"/>
    <w:rsid w:val="007B07A9"/>
    <w:rsid w:val="007B0AEC"/>
    <w:rsid w:val="007B1519"/>
    <w:rsid w:val="007B163C"/>
    <w:rsid w:val="007B2955"/>
    <w:rsid w:val="007B3837"/>
    <w:rsid w:val="007B4464"/>
    <w:rsid w:val="007B45A4"/>
    <w:rsid w:val="007B4655"/>
    <w:rsid w:val="007B470C"/>
    <w:rsid w:val="007B47DE"/>
    <w:rsid w:val="007B484D"/>
    <w:rsid w:val="007B4DFA"/>
    <w:rsid w:val="007B521B"/>
    <w:rsid w:val="007B6043"/>
    <w:rsid w:val="007B6091"/>
    <w:rsid w:val="007B618F"/>
    <w:rsid w:val="007B6A24"/>
    <w:rsid w:val="007B6E53"/>
    <w:rsid w:val="007B7713"/>
    <w:rsid w:val="007C0B01"/>
    <w:rsid w:val="007C19D7"/>
    <w:rsid w:val="007C2E16"/>
    <w:rsid w:val="007C35F8"/>
    <w:rsid w:val="007C3C5B"/>
    <w:rsid w:val="007C5206"/>
    <w:rsid w:val="007C7D38"/>
    <w:rsid w:val="007D0BF9"/>
    <w:rsid w:val="007D1776"/>
    <w:rsid w:val="007D17AD"/>
    <w:rsid w:val="007D1F6F"/>
    <w:rsid w:val="007D239F"/>
    <w:rsid w:val="007D2614"/>
    <w:rsid w:val="007D2E22"/>
    <w:rsid w:val="007D3720"/>
    <w:rsid w:val="007D445B"/>
    <w:rsid w:val="007D4E42"/>
    <w:rsid w:val="007D5847"/>
    <w:rsid w:val="007D5DD4"/>
    <w:rsid w:val="007D686B"/>
    <w:rsid w:val="007D6C09"/>
    <w:rsid w:val="007D7890"/>
    <w:rsid w:val="007D7B02"/>
    <w:rsid w:val="007D7B5D"/>
    <w:rsid w:val="007D7BBB"/>
    <w:rsid w:val="007D7DEF"/>
    <w:rsid w:val="007E0731"/>
    <w:rsid w:val="007E0EA6"/>
    <w:rsid w:val="007E10AA"/>
    <w:rsid w:val="007E1134"/>
    <w:rsid w:val="007E2291"/>
    <w:rsid w:val="007E277C"/>
    <w:rsid w:val="007E2B70"/>
    <w:rsid w:val="007E2D8A"/>
    <w:rsid w:val="007E337E"/>
    <w:rsid w:val="007E3F79"/>
    <w:rsid w:val="007E4893"/>
    <w:rsid w:val="007E4B24"/>
    <w:rsid w:val="007E5C5F"/>
    <w:rsid w:val="007E5EA5"/>
    <w:rsid w:val="007E5F22"/>
    <w:rsid w:val="007E6C49"/>
    <w:rsid w:val="007E6CED"/>
    <w:rsid w:val="007E6E36"/>
    <w:rsid w:val="007E78AB"/>
    <w:rsid w:val="007E7B71"/>
    <w:rsid w:val="007E7F05"/>
    <w:rsid w:val="007F01F3"/>
    <w:rsid w:val="007F05C4"/>
    <w:rsid w:val="007F0B8D"/>
    <w:rsid w:val="007F1704"/>
    <w:rsid w:val="007F1B76"/>
    <w:rsid w:val="007F2747"/>
    <w:rsid w:val="007F2873"/>
    <w:rsid w:val="007F2F95"/>
    <w:rsid w:val="007F3597"/>
    <w:rsid w:val="007F37F4"/>
    <w:rsid w:val="007F63A5"/>
    <w:rsid w:val="007F6606"/>
    <w:rsid w:val="007F71D3"/>
    <w:rsid w:val="008015E2"/>
    <w:rsid w:val="008018CB"/>
    <w:rsid w:val="00801DF0"/>
    <w:rsid w:val="00802FDB"/>
    <w:rsid w:val="00802FDC"/>
    <w:rsid w:val="008030DD"/>
    <w:rsid w:val="008032CE"/>
    <w:rsid w:val="00803603"/>
    <w:rsid w:val="00803929"/>
    <w:rsid w:val="00803C05"/>
    <w:rsid w:val="00804DC7"/>
    <w:rsid w:val="00804F87"/>
    <w:rsid w:val="00805018"/>
    <w:rsid w:val="00805038"/>
    <w:rsid w:val="00805069"/>
    <w:rsid w:val="00806533"/>
    <w:rsid w:val="00806945"/>
    <w:rsid w:val="008069E8"/>
    <w:rsid w:val="00811000"/>
    <w:rsid w:val="00811F83"/>
    <w:rsid w:val="008121F7"/>
    <w:rsid w:val="00812641"/>
    <w:rsid w:val="008128F3"/>
    <w:rsid w:val="0081329F"/>
    <w:rsid w:val="0081389C"/>
    <w:rsid w:val="008138B2"/>
    <w:rsid w:val="00813C7D"/>
    <w:rsid w:val="00814877"/>
    <w:rsid w:val="00814AE5"/>
    <w:rsid w:val="00814BA2"/>
    <w:rsid w:val="00814BB8"/>
    <w:rsid w:val="00814D09"/>
    <w:rsid w:val="00815A54"/>
    <w:rsid w:val="00815B6D"/>
    <w:rsid w:val="00815E93"/>
    <w:rsid w:val="008162D4"/>
    <w:rsid w:val="00816388"/>
    <w:rsid w:val="0081668A"/>
    <w:rsid w:val="00816CF8"/>
    <w:rsid w:val="00817F22"/>
    <w:rsid w:val="00820FFA"/>
    <w:rsid w:val="008211BB"/>
    <w:rsid w:val="00821A4B"/>
    <w:rsid w:val="00821A8F"/>
    <w:rsid w:val="008222C8"/>
    <w:rsid w:val="00822C2D"/>
    <w:rsid w:val="00822FA9"/>
    <w:rsid w:val="00823192"/>
    <w:rsid w:val="00824777"/>
    <w:rsid w:val="008250F3"/>
    <w:rsid w:val="00825E7D"/>
    <w:rsid w:val="00826292"/>
    <w:rsid w:val="00826629"/>
    <w:rsid w:val="00826A62"/>
    <w:rsid w:val="008271C2"/>
    <w:rsid w:val="00827214"/>
    <w:rsid w:val="0082726A"/>
    <w:rsid w:val="00827F0B"/>
    <w:rsid w:val="00830255"/>
    <w:rsid w:val="008304A7"/>
    <w:rsid w:val="008305DD"/>
    <w:rsid w:val="00830E3B"/>
    <w:rsid w:val="00831485"/>
    <w:rsid w:val="00831A11"/>
    <w:rsid w:val="00831F2D"/>
    <w:rsid w:val="008329C0"/>
    <w:rsid w:val="00832CA7"/>
    <w:rsid w:val="00834F47"/>
    <w:rsid w:val="0083532C"/>
    <w:rsid w:val="008357DF"/>
    <w:rsid w:val="00835B18"/>
    <w:rsid w:val="00835BD5"/>
    <w:rsid w:val="00836F72"/>
    <w:rsid w:val="0083714A"/>
    <w:rsid w:val="00837CD0"/>
    <w:rsid w:val="00840FC6"/>
    <w:rsid w:val="00841103"/>
    <w:rsid w:val="00841234"/>
    <w:rsid w:val="00841423"/>
    <w:rsid w:val="0084170E"/>
    <w:rsid w:val="00841B19"/>
    <w:rsid w:val="008421FA"/>
    <w:rsid w:val="00842595"/>
    <w:rsid w:val="0084391B"/>
    <w:rsid w:val="0084414D"/>
    <w:rsid w:val="008443B2"/>
    <w:rsid w:val="00844DB7"/>
    <w:rsid w:val="00845538"/>
    <w:rsid w:val="00845AF7"/>
    <w:rsid w:val="0084604C"/>
    <w:rsid w:val="0084649F"/>
    <w:rsid w:val="0084676E"/>
    <w:rsid w:val="00846A2D"/>
    <w:rsid w:val="00846EC5"/>
    <w:rsid w:val="00847300"/>
    <w:rsid w:val="008478C9"/>
    <w:rsid w:val="008503C3"/>
    <w:rsid w:val="008509BC"/>
    <w:rsid w:val="00850D84"/>
    <w:rsid w:val="00850EBC"/>
    <w:rsid w:val="00851EA4"/>
    <w:rsid w:val="008529E7"/>
    <w:rsid w:val="00852B43"/>
    <w:rsid w:val="00853994"/>
    <w:rsid w:val="00853A13"/>
    <w:rsid w:val="00853BBE"/>
    <w:rsid w:val="00854609"/>
    <w:rsid w:val="00854EB0"/>
    <w:rsid w:val="0085542D"/>
    <w:rsid w:val="00855A92"/>
    <w:rsid w:val="00855B36"/>
    <w:rsid w:val="008560B1"/>
    <w:rsid w:val="008574EF"/>
    <w:rsid w:val="00857B9A"/>
    <w:rsid w:val="00857FBF"/>
    <w:rsid w:val="00860E97"/>
    <w:rsid w:val="00861236"/>
    <w:rsid w:val="00861539"/>
    <w:rsid w:val="0086192C"/>
    <w:rsid w:val="00861F03"/>
    <w:rsid w:val="00862049"/>
    <w:rsid w:val="008623E5"/>
    <w:rsid w:val="00862C87"/>
    <w:rsid w:val="00862EED"/>
    <w:rsid w:val="00863B27"/>
    <w:rsid w:val="008648CC"/>
    <w:rsid w:val="008648D9"/>
    <w:rsid w:val="008653A4"/>
    <w:rsid w:val="00865F67"/>
    <w:rsid w:val="00866357"/>
    <w:rsid w:val="00866A64"/>
    <w:rsid w:val="008673E7"/>
    <w:rsid w:val="00870935"/>
    <w:rsid w:val="0087209D"/>
    <w:rsid w:val="008734E9"/>
    <w:rsid w:val="008737A4"/>
    <w:rsid w:val="008739C9"/>
    <w:rsid w:val="00873B9F"/>
    <w:rsid w:val="00873FE1"/>
    <w:rsid w:val="00874C24"/>
    <w:rsid w:val="00875644"/>
    <w:rsid w:val="00875A68"/>
    <w:rsid w:val="00875AB4"/>
    <w:rsid w:val="00875D07"/>
    <w:rsid w:val="008761AA"/>
    <w:rsid w:val="008762E6"/>
    <w:rsid w:val="00876B4C"/>
    <w:rsid w:val="00876CF6"/>
    <w:rsid w:val="00876ECA"/>
    <w:rsid w:val="00877018"/>
    <w:rsid w:val="00877C06"/>
    <w:rsid w:val="00877CDA"/>
    <w:rsid w:val="00877D74"/>
    <w:rsid w:val="00877DC4"/>
    <w:rsid w:val="00880175"/>
    <w:rsid w:val="00880915"/>
    <w:rsid w:val="00880EFA"/>
    <w:rsid w:val="008815C2"/>
    <w:rsid w:val="008817F9"/>
    <w:rsid w:val="008818D4"/>
    <w:rsid w:val="008831EB"/>
    <w:rsid w:val="0088378B"/>
    <w:rsid w:val="00884B09"/>
    <w:rsid w:val="00884DF3"/>
    <w:rsid w:val="0088594B"/>
    <w:rsid w:val="0088668F"/>
    <w:rsid w:val="00886DE7"/>
    <w:rsid w:val="00890D72"/>
    <w:rsid w:val="00891173"/>
    <w:rsid w:val="00891574"/>
    <w:rsid w:val="0089157D"/>
    <w:rsid w:val="008925A2"/>
    <w:rsid w:val="00892A43"/>
    <w:rsid w:val="00892CA4"/>
    <w:rsid w:val="008938FD"/>
    <w:rsid w:val="00893E3F"/>
    <w:rsid w:val="00893F9D"/>
    <w:rsid w:val="008941AE"/>
    <w:rsid w:val="008945F1"/>
    <w:rsid w:val="00894734"/>
    <w:rsid w:val="00894EFE"/>
    <w:rsid w:val="00894F39"/>
    <w:rsid w:val="0089643C"/>
    <w:rsid w:val="00897C96"/>
    <w:rsid w:val="008A065B"/>
    <w:rsid w:val="008A193F"/>
    <w:rsid w:val="008A1BBB"/>
    <w:rsid w:val="008A1C30"/>
    <w:rsid w:val="008A3BCF"/>
    <w:rsid w:val="008A4237"/>
    <w:rsid w:val="008A43A4"/>
    <w:rsid w:val="008A4D76"/>
    <w:rsid w:val="008A52FC"/>
    <w:rsid w:val="008A53FD"/>
    <w:rsid w:val="008A5792"/>
    <w:rsid w:val="008A5AA4"/>
    <w:rsid w:val="008A5C98"/>
    <w:rsid w:val="008A5EA0"/>
    <w:rsid w:val="008A5FC0"/>
    <w:rsid w:val="008A694E"/>
    <w:rsid w:val="008A71DB"/>
    <w:rsid w:val="008A73A5"/>
    <w:rsid w:val="008A7BA7"/>
    <w:rsid w:val="008B1321"/>
    <w:rsid w:val="008B18D3"/>
    <w:rsid w:val="008B26ED"/>
    <w:rsid w:val="008B3480"/>
    <w:rsid w:val="008B3894"/>
    <w:rsid w:val="008B3F33"/>
    <w:rsid w:val="008B4A53"/>
    <w:rsid w:val="008B4F70"/>
    <w:rsid w:val="008B58EE"/>
    <w:rsid w:val="008B5D14"/>
    <w:rsid w:val="008B7FF9"/>
    <w:rsid w:val="008C132A"/>
    <w:rsid w:val="008C15F5"/>
    <w:rsid w:val="008C1F29"/>
    <w:rsid w:val="008C26AF"/>
    <w:rsid w:val="008C2DE6"/>
    <w:rsid w:val="008C33CC"/>
    <w:rsid w:val="008C3D4F"/>
    <w:rsid w:val="008C3F31"/>
    <w:rsid w:val="008C40CA"/>
    <w:rsid w:val="008C4177"/>
    <w:rsid w:val="008C4340"/>
    <w:rsid w:val="008C47B9"/>
    <w:rsid w:val="008C4CA5"/>
    <w:rsid w:val="008C4CC7"/>
    <w:rsid w:val="008C5578"/>
    <w:rsid w:val="008C59F2"/>
    <w:rsid w:val="008D00F5"/>
    <w:rsid w:val="008D0492"/>
    <w:rsid w:val="008D08CB"/>
    <w:rsid w:val="008D096D"/>
    <w:rsid w:val="008D0C1E"/>
    <w:rsid w:val="008D1187"/>
    <w:rsid w:val="008D198D"/>
    <w:rsid w:val="008D1A75"/>
    <w:rsid w:val="008D2683"/>
    <w:rsid w:val="008D28BA"/>
    <w:rsid w:val="008D2966"/>
    <w:rsid w:val="008D3949"/>
    <w:rsid w:val="008D39EE"/>
    <w:rsid w:val="008D3E5A"/>
    <w:rsid w:val="008D4667"/>
    <w:rsid w:val="008D4A2D"/>
    <w:rsid w:val="008D5232"/>
    <w:rsid w:val="008D5B84"/>
    <w:rsid w:val="008D6688"/>
    <w:rsid w:val="008D673B"/>
    <w:rsid w:val="008D6C63"/>
    <w:rsid w:val="008D6DE8"/>
    <w:rsid w:val="008D75B6"/>
    <w:rsid w:val="008D78F9"/>
    <w:rsid w:val="008D7B91"/>
    <w:rsid w:val="008D7C55"/>
    <w:rsid w:val="008E0392"/>
    <w:rsid w:val="008E070A"/>
    <w:rsid w:val="008E0EE8"/>
    <w:rsid w:val="008E1198"/>
    <w:rsid w:val="008E267C"/>
    <w:rsid w:val="008E3100"/>
    <w:rsid w:val="008E33BD"/>
    <w:rsid w:val="008E375D"/>
    <w:rsid w:val="008E3A72"/>
    <w:rsid w:val="008E3C47"/>
    <w:rsid w:val="008E4510"/>
    <w:rsid w:val="008E525F"/>
    <w:rsid w:val="008E5BB4"/>
    <w:rsid w:val="008E660E"/>
    <w:rsid w:val="008E6F13"/>
    <w:rsid w:val="008E7B1E"/>
    <w:rsid w:val="008E7C70"/>
    <w:rsid w:val="008F11F7"/>
    <w:rsid w:val="008F15AA"/>
    <w:rsid w:val="008F1D0F"/>
    <w:rsid w:val="008F235B"/>
    <w:rsid w:val="008F2BEF"/>
    <w:rsid w:val="008F2CD0"/>
    <w:rsid w:val="008F4636"/>
    <w:rsid w:val="008F4AB0"/>
    <w:rsid w:val="008F4EED"/>
    <w:rsid w:val="008F4F11"/>
    <w:rsid w:val="008F5CBB"/>
    <w:rsid w:val="008F5E4A"/>
    <w:rsid w:val="008F5FD9"/>
    <w:rsid w:val="008F62D3"/>
    <w:rsid w:val="008F669E"/>
    <w:rsid w:val="008F6ACB"/>
    <w:rsid w:val="008F700E"/>
    <w:rsid w:val="008F7B62"/>
    <w:rsid w:val="009001FF"/>
    <w:rsid w:val="0090169C"/>
    <w:rsid w:val="00901713"/>
    <w:rsid w:val="00901FC0"/>
    <w:rsid w:val="00903DFA"/>
    <w:rsid w:val="00904729"/>
    <w:rsid w:val="00904D64"/>
    <w:rsid w:val="00904D81"/>
    <w:rsid w:val="00904EFA"/>
    <w:rsid w:val="009056A6"/>
    <w:rsid w:val="009056E1"/>
    <w:rsid w:val="009058F5"/>
    <w:rsid w:val="009062A6"/>
    <w:rsid w:val="0090749B"/>
    <w:rsid w:val="009079BA"/>
    <w:rsid w:val="00910001"/>
    <w:rsid w:val="00910587"/>
    <w:rsid w:val="0091080D"/>
    <w:rsid w:val="00911939"/>
    <w:rsid w:val="00911FF8"/>
    <w:rsid w:val="0091207F"/>
    <w:rsid w:val="009128D6"/>
    <w:rsid w:val="0091407C"/>
    <w:rsid w:val="0091448D"/>
    <w:rsid w:val="009152A4"/>
    <w:rsid w:val="00915772"/>
    <w:rsid w:val="00915AEC"/>
    <w:rsid w:val="00915FD3"/>
    <w:rsid w:val="00916281"/>
    <w:rsid w:val="0091633A"/>
    <w:rsid w:val="00916AC3"/>
    <w:rsid w:val="00916FC0"/>
    <w:rsid w:val="00917104"/>
    <w:rsid w:val="00917191"/>
    <w:rsid w:val="0091748C"/>
    <w:rsid w:val="0091794C"/>
    <w:rsid w:val="00920B37"/>
    <w:rsid w:val="00920C6A"/>
    <w:rsid w:val="00920C9D"/>
    <w:rsid w:val="00920DF8"/>
    <w:rsid w:val="00921AB8"/>
    <w:rsid w:val="00922172"/>
    <w:rsid w:val="00922EA8"/>
    <w:rsid w:val="0092341A"/>
    <w:rsid w:val="00924B9D"/>
    <w:rsid w:val="00925408"/>
    <w:rsid w:val="00925583"/>
    <w:rsid w:val="00925664"/>
    <w:rsid w:val="00925F54"/>
    <w:rsid w:val="009268FD"/>
    <w:rsid w:val="00926B68"/>
    <w:rsid w:val="00926F1D"/>
    <w:rsid w:val="00930DAB"/>
    <w:rsid w:val="009318F9"/>
    <w:rsid w:val="00931E97"/>
    <w:rsid w:val="00931F22"/>
    <w:rsid w:val="0093222D"/>
    <w:rsid w:val="00932C46"/>
    <w:rsid w:val="00932EA8"/>
    <w:rsid w:val="0093382A"/>
    <w:rsid w:val="00933E8D"/>
    <w:rsid w:val="00934092"/>
    <w:rsid w:val="00934BF0"/>
    <w:rsid w:val="00934BF5"/>
    <w:rsid w:val="00934D93"/>
    <w:rsid w:val="009351A5"/>
    <w:rsid w:val="0093565F"/>
    <w:rsid w:val="009356F9"/>
    <w:rsid w:val="00935B72"/>
    <w:rsid w:val="0093606B"/>
    <w:rsid w:val="009361C6"/>
    <w:rsid w:val="00936478"/>
    <w:rsid w:val="00936974"/>
    <w:rsid w:val="00936D93"/>
    <w:rsid w:val="00937805"/>
    <w:rsid w:val="009379F0"/>
    <w:rsid w:val="00937A52"/>
    <w:rsid w:val="00937B08"/>
    <w:rsid w:val="00940049"/>
    <w:rsid w:val="00940996"/>
    <w:rsid w:val="009410A1"/>
    <w:rsid w:val="009410F0"/>
    <w:rsid w:val="00942528"/>
    <w:rsid w:val="00943A68"/>
    <w:rsid w:val="00943ABD"/>
    <w:rsid w:val="00943B33"/>
    <w:rsid w:val="00944353"/>
    <w:rsid w:val="00944573"/>
    <w:rsid w:val="009450F1"/>
    <w:rsid w:val="00945CB5"/>
    <w:rsid w:val="00946897"/>
    <w:rsid w:val="00946996"/>
    <w:rsid w:val="00946F54"/>
    <w:rsid w:val="009474EC"/>
    <w:rsid w:val="009475A8"/>
    <w:rsid w:val="00947775"/>
    <w:rsid w:val="00951124"/>
    <w:rsid w:val="00951466"/>
    <w:rsid w:val="00952880"/>
    <w:rsid w:val="00953BC7"/>
    <w:rsid w:val="00953F9B"/>
    <w:rsid w:val="0095436D"/>
    <w:rsid w:val="00955287"/>
    <w:rsid w:val="009556BC"/>
    <w:rsid w:val="00955B10"/>
    <w:rsid w:val="00955E12"/>
    <w:rsid w:val="0095640A"/>
    <w:rsid w:val="009568C2"/>
    <w:rsid w:val="00956F9C"/>
    <w:rsid w:val="009603E0"/>
    <w:rsid w:val="009609E5"/>
    <w:rsid w:val="00960B87"/>
    <w:rsid w:val="00960D46"/>
    <w:rsid w:val="00960E11"/>
    <w:rsid w:val="00960F5C"/>
    <w:rsid w:val="009610FB"/>
    <w:rsid w:val="0096157F"/>
    <w:rsid w:val="00962185"/>
    <w:rsid w:val="009624E1"/>
    <w:rsid w:val="00962DA9"/>
    <w:rsid w:val="009631F6"/>
    <w:rsid w:val="00963259"/>
    <w:rsid w:val="0096343A"/>
    <w:rsid w:val="0096411A"/>
    <w:rsid w:val="00964722"/>
    <w:rsid w:val="009651DA"/>
    <w:rsid w:val="009652B6"/>
    <w:rsid w:val="0096598F"/>
    <w:rsid w:val="00965B0A"/>
    <w:rsid w:val="00966653"/>
    <w:rsid w:val="00967D08"/>
    <w:rsid w:val="00967DD4"/>
    <w:rsid w:val="0097067D"/>
    <w:rsid w:val="00971738"/>
    <w:rsid w:val="0097242E"/>
    <w:rsid w:val="009728D1"/>
    <w:rsid w:val="00972B57"/>
    <w:rsid w:val="00973384"/>
    <w:rsid w:val="00973CBE"/>
    <w:rsid w:val="0097492C"/>
    <w:rsid w:val="00974A12"/>
    <w:rsid w:val="00974D25"/>
    <w:rsid w:val="009752EB"/>
    <w:rsid w:val="00975592"/>
    <w:rsid w:val="00975774"/>
    <w:rsid w:val="009758B3"/>
    <w:rsid w:val="00975F5F"/>
    <w:rsid w:val="009764EC"/>
    <w:rsid w:val="00977C16"/>
    <w:rsid w:val="00980B57"/>
    <w:rsid w:val="00980FB0"/>
    <w:rsid w:val="0098152E"/>
    <w:rsid w:val="0098195C"/>
    <w:rsid w:val="00981BC5"/>
    <w:rsid w:val="00982441"/>
    <w:rsid w:val="009829BF"/>
    <w:rsid w:val="00982D39"/>
    <w:rsid w:val="00984011"/>
    <w:rsid w:val="00984EA9"/>
    <w:rsid w:val="00985C78"/>
    <w:rsid w:val="00987C06"/>
    <w:rsid w:val="009903E8"/>
    <w:rsid w:val="00990737"/>
    <w:rsid w:val="009908CA"/>
    <w:rsid w:val="00990B21"/>
    <w:rsid w:val="00991689"/>
    <w:rsid w:val="00991946"/>
    <w:rsid w:val="0099298B"/>
    <w:rsid w:val="009929C3"/>
    <w:rsid w:val="00994178"/>
    <w:rsid w:val="009942BA"/>
    <w:rsid w:val="0099537E"/>
    <w:rsid w:val="00995422"/>
    <w:rsid w:val="00995C8B"/>
    <w:rsid w:val="0099623D"/>
    <w:rsid w:val="00996BE3"/>
    <w:rsid w:val="00996C09"/>
    <w:rsid w:val="00996CAB"/>
    <w:rsid w:val="00996F2C"/>
    <w:rsid w:val="00997D3F"/>
    <w:rsid w:val="009A0440"/>
    <w:rsid w:val="009A0524"/>
    <w:rsid w:val="009A194F"/>
    <w:rsid w:val="009A1B95"/>
    <w:rsid w:val="009A1CF7"/>
    <w:rsid w:val="009A251C"/>
    <w:rsid w:val="009A3168"/>
    <w:rsid w:val="009A39C4"/>
    <w:rsid w:val="009A3E2B"/>
    <w:rsid w:val="009A4554"/>
    <w:rsid w:val="009A4656"/>
    <w:rsid w:val="009A4E1B"/>
    <w:rsid w:val="009A54CD"/>
    <w:rsid w:val="009A5C62"/>
    <w:rsid w:val="009A6E51"/>
    <w:rsid w:val="009A7623"/>
    <w:rsid w:val="009A7697"/>
    <w:rsid w:val="009A79EF"/>
    <w:rsid w:val="009B034E"/>
    <w:rsid w:val="009B0441"/>
    <w:rsid w:val="009B0D6A"/>
    <w:rsid w:val="009B1382"/>
    <w:rsid w:val="009B1499"/>
    <w:rsid w:val="009B2B1C"/>
    <w:rsid w:val="009B2E1B"/>
    <w:rsid w:val="009B306A"/>
    <w:rsid w:val="009B345A"/>
    <w:rsid w:val="009B3772"/>
    <w:rsid w:val="009B3AE8"/>
    <w:rsid w:val="009B3E30"/>
    <w:rsid w:val="009B3EB0"/>
    <w:rsid w:val="009B433C"/>
    <w:rsid w:val="009B452F"/>
    <w:rsid w:val="009B4C7C"/>
    <w:rsid w:val="009B4CE5"/>
    <w:rsid w:val="009B502C"/>
    <w:rsid w:val="009B59A3"/>
    <w:rsid w:val="009B65C8"/>
    <w:rsid w:val="009B67B6"/>
    <w:rsid w:val="009B79EA"/>
    <w:rsid w:val="009C1112"/>
    <w:rsid w:val="009C1370"/>
    <w:rsid w:val="009C19FC"/>
    <w:rsid w:val="009C1B5B"/>
    <w:rsid w:val="009C2C11"/>
    <w:rsid w:val="009C3BB1"/>
    <w:rsid w:val="009C3C35"/>
    <w:rsid w:val="009C4132"/>
    <w:rsid w:val="009C420F"/>
    <w:rsid w:val="009C4459"/>
    <w:rsid w:val="009C48E4"/>
    <w:rsid w:val="009C48FD"/>
    <w:rsid w:val="009C4ADB"/>
    <w:rsid w:val="009C60C5"/>
    <w:rsid w:val="009C6283"/>
    <w:rsid w:val="009C686E"/>
    <w:rsid w:val="009C6A31"/>
    <w:rsid w:val="009C7941"/>
    <w:rsid w:val="009C7B1A"/>
    <w:rsid w:val="009D034B"/>
    <w:rsid w:val="009D03C3"/>
    <w:rsid w:val="009D06E7"/>
    <w:rsid w:val="009D077A"/>
    <w:rsid w:val="009D0E02"/>
    <w:rsid w:val="009D0EFF"/>
    <w:rsid w:val="009D1C9F"/>
    <w:rsid w:val="009D1E8F"/>
    <w:rsid w:val="009D21DC"/>
    <w:rsid w:val="009D2858"/>
    <w:rsid w:val="009D2DF3"/>
    <w:rsid w:val="009D3538"/>
    <w:rsid w:val="009D3879"/>
    <w:rsid w:val="009D3DD5"/>
    <w:rsid w:val="009D4D44"/>
    <w:rsid w:val="009D5227"/>
    <w:rsid w:val="009D54F9"/>
    <w:rsid w:val="009D5978"/>
    <w:rsid w:val="009D5FC7"/>
    <w:rsid w:val="009D6164"/>
    <w:rsid w:val="009D6BC8"/>
    <w:rsid w:val="009D74D1"/>
    <w:rsid w:val="009D752E"/>
    <w:rsid w:val="009D7610"/>
    <w:rsid w:val="009D7C83"/>
    <w:rsid w:val="009E01FB"/>
    <w:rsid w:val="009E01FD"/>
    <w:rsid w:val="009E0ADE"/>
    <w:rsid w:val="009E0B9B"/>
    <w:rsid w:val="009E118B"/>
    <w:rsid w:val="009E17FD"/>
    <w:rsid w:val="009E1884"/>
    <w:rsid w:val="009E1B97"/>
    <w:rsid w:val="009E1E9A"/>
    <w:rsid w:val="009E27D1"/>
    <w:rsid w:val="009E2881"/>
    <w:rsid w:val="009E2BAA"/>
    <w:rsid w:val="009E4298"/>
    <w:rsid w:val="009E436C"/>
    <w:rsid w:val="009E4476"/>
    <w:rsid w:val="009E5095"/>
    <w:rsid w:val="009E5403"/>
    <w:rsid w:val="009E5DEA"/>
    <w:rsid w:val="009E61B8"/>
    <w:rsid w:val="009E6486"/>
    <w:rsid w:val="009E692A"/>
    <w:rsid w:val="009E6C61"/>
    <w:rsid w:val="009E6C91"/>
    <w:rsid w:val="009E7A50"/>
    <w:rsid w:val="009E7AB5"/>
    <w:rsid w:val="009F0474"/>
    <w:rsid w:val="009F04EA"/>
    <w:rsid w:val="009F05CC"/>
    <w:rsid w:val="009F08ED"/>
    <w:rsid w:val="009F09E9"/>
    <w:rsid w:val="009F1402"/>
    <w:rsid w:val="009F14BC"/>
    <w:rsid w:val="009F14C6"/>
    <w:rsid w:val="009F212A"/>
    <w:rsid w:val="009F34E5"/>
    <w:rsid w:val="009F3801"/>
    <w:rsid w:val="009F3E12"/>
    <w:rsid w:val="009F43BF"/>
    <w:rsid w:val="009F4509"/>
    <w:rsid w:val="009F5BE8"/>
    <w:rsid w:val="009F6A8E"/>
    <w:rsid w:val="009F6F7F"/>
    <w:rsid w:val="009F71D7"/>
    <w:rsid w:val="009F7714"/>
    <w:rsid w:val="009F7AC3"/>
    <w:rsid w:val="009F7B3F"/>
    <w:rsid w:val="009F7CCE"/>
    <w:rsid w:val="00A0019D"/>
    <w:rsid w:val="00A00713"/>
    <w:rsid w:val="00A00DE4"/>
    <w:rsid w:val="00A015F5"/>
    <w:rsid w:val="00A0168D"/>
    <w:rsid w:val="00A01AE2"/>
    <w:rsid w:val="00A01FC3"/>
    <w:rsid w:val="00A02F34"/>
    <w:rsid w:val="00A03828"/>
    <w:rsid w:val="00A03BF2"/>
    <w:rsid w:val="00A03CD7"/>
    <w:rsid w:val="00A03DC5"/>
    <w:rsid w:val="00A0461D"/>
    <w:rsid w:val="00A047C8"/>
    <w:rsid w:val="00A05939"/>
    <w:rsid w:val="00A05DEC"/>
    <w:rsid w:val="00A0630A"/>
    <w:rsid w:val="00A104FB"/>
    <w:rsid w:val="00A10893"/>
    <w:rsid w:val="00A10B6F"/>
    <w:rsid w:val="00A11F84"/>
    <w:rsid w:val="00A12053"/>
    <w:rsid w:val="00A125C8"/>
    <w:rsid w:val="00A12AE8"/>
    <w:rsid w:val="00A13D35"/>
    <w:rsid w:val="00A15884"/>
    <w:rsid w:val="00A1591D"/>
    <w:rsid w:val="00A1615D"/>
    <w:rsid w:val="00A16CFD"/>
    <w:rsid w:val="00A17925"/>
    <w:rsid w:val="00A20F2D"/>
    <w:rsid w:val="00A21D0D"/>
    <w:rsid w:val="00A228D0"/>
    <w:rsid w:val="00A22E16"/>
    <w:rsid w:val="00A2392F"/>
    <w:rsid w:val="00A24072"/>
    <w:rsid w:val="00A25AA0"/>
    <w:rsid w:val="00A25ABA"/>
    <w:rsid w:val="00A26805"/>
    <w:rsid w:val="00A2685C"/>
    <w:rsid w:val="00A26D49"/>
    <w:rsid w:val="00A26D66"/>
    <w:rsid w:val="00A2713C"/>
    <w:rsid w:val="00A27BFA"/>
    <w:rsid w:val="00A30ABF"/>
    <w:rsid w:val="00A30B8C"/>
    <w:rsid w:val="00A30E12"/>
    <w:rsid w:val="00A30F19"/>
    <w:rsid w:val="00A313B2"/>
    <w:rsid w:val="00A31B76"/>
    <w:rsid w:val="00A32008"/>
    <w:rsid w:val="00A32F99"/>
    <w:rsid w:val="00A3310F"/>
    <w:rsid w:val="00A33458"/>
    <w:rsid w:val="00A34E16"/>
    <w:rsid w:val="00A34E87"/>
    <w:rsid w:val="00A34F14"/>
    <w:rsid w:val="00A355D2"/>
    <w:rsid w:val="00A361D8"/>
    <w:rsid w:val="00A367B3"/>
    <w:rsid w:val="00A3763F"/>
    <w:rsid w:val="00A37862"/>
    <w:rsid w:val="00A37FF7"/>
    <w:rsid w:val="00A40A72"/>
    <w:rsid w:val="00A40EAD"/>
    <w:rsid w:val="00A40F5B"/>
    <w:rsid w:val="00A41285"/>
    <w:rsid w:val="00A417E1"/>
    <w:rsid w:val="00A41B16"/>
    <w:rsid w:val="00A424CD"/>
    <w:rsid w:val="00A427D2"/>
    <w:rsid w:val="00A42B9B"/>
    <w:rsid w:val="00A42F70"/>
    <w:rsid w:val="00A42FBE"/>
    <w:rsid w:val="00A4324A"/>
    <w:rsid w:val="00A43406"/>
    <w:rsid w:val="00A44075"/>
    <w:rsid w:val="00A44626"/>
    <w:rsid w:val="00A452C4"/>
    <w:rsid w:val="00A4559C"/>
    <w:rsid w:val="00A455F5"/>
    <w:rsid w:val="00A46029"/>
    <w:rsid w:val="00A46B13"/>
    <w:rsid w:val="00A4700B"/>
    <w:rsid w:val="00A47B82"/>
    <w:rsid w:val="00A47B98"/>
    <w:rsid w:val="00A47BF2"/>
    <w:rsid w:val="00A50044"/>
    <w:rsid w:val="00A50F5A"/>
    <w:rsid w:val="00A514F9"/>
    <w:rsid w:val="00A5159B"/>
    <w:rsid w:val="00A51A00"/>
    <w:rsid w:val="00A5203F"/>
    <w:rsid w:val="00A53564"/>
    <w:rsid w:val="00A53A5D"/>
    <w:rsid w:val="00A5528C"/>
    <w:rsid w:val="00A553B8"/>
    <w:rsid w:val="00A555F3"/>
    <w:rsid w:val="00A55BA8"/>
    <w:rsid w:val="00A56084"/>
    <w:rsid w:val="00A564FF"/>
    <w:rsid w:val="00A56EAF"/>
    <w:rsid w:val="00A57099"/>
    <w:rsid w:val="00A60266"/>
    <w:rsid w:val="00A60A54"/>
    <w:rsid w:val="00A6152C"/>
    <w:rsid w:val="00A61BD2"/>
    <w:rsid w:val="00A61C84"/>
    <w:rsid w:val="00A62721"/>
    <w:rsid w:val="00A6287A"/>
    <w:rsid w:val="00A62F73"/>
    <w:rsid w:val="00A6359C"/>
    <w:rsid w:val="00A64890"/>
    <w:rsid w:val="00A64ED5"/>
    <w:rsid w:val="00A653D3"/>
    <w:rsid w:val="00A66DBB"/>
    <w:rsid w:val="00A67505"/>
    <w:rsid w:val="00A67B16"/>
    <w:rsid w:val="00A701C1"/>
    <w:rsid w:val="00A701C5"/>
    <w:rsid w:val="00A707F8"/>
    <w:rsid w:val="00A71E98"/>
    <w:rsid w:val="00A729CD"/>
    <w:rsid w:val="00A7389B"/>
    <w:rsid w:val="00A74754"/>
    <w:rsid w:val="00A74ABA"/>
    <w:rsid w:val="00A75528"/>
    <w:rsid w:val="00A75D27"/>
    <w:rsid w:val="00A76390"/>
    <w:rsid w:val="00A763E6"/>
    <w:rsid w:val="00A7734A"/>
    <w:rsid w:val="00A773DE"/>
    <w:rsid w:val="00A77FEF"/>
    <w:rsid w:val="00A8074A"/>
    <w:rsid w:val="00A80977"/>
    <w:rsid w:val="00A80C73"/>
    <w:rsid w:val="00A80DF6"/>
    <w:rsid w:val="00A81745"/>
    <w:rsid w:val="00A81DFB"/>
    <w:rsid w:val="00A820DE"/>
    <w:rsid w:val="00A8227F"/>
    <w:rsid w:val="00A823AB"/>
    <w:rsid w:val="00A82667"/>
    <w:rsid w:val="00A8408B"/>
    <w:rsid w:val="00A85C11"/>
    <w:rsid w:val="00A85F78"/>
    <w:rsid w:val="00A861BD"/>
    <w:rsid w:val="00A8663C"/>
    <w:rsid w:val="00A86676"/>
    <w:rsid w:val="00A87216"/>
    <w:rsid w:val="00A87367"/>
    <w:rsid w:val="00A87400"/>
    <w:rsid w:val="00A87850"/>
    <w:rsid w:val="00A90B1D"/>
    <w:rsid w:val="00A90CFA"/>
    <w:rsid w:val="00A9100F"/>
    <w:rsid w:val="00A91D6C"/>
    <w:rsid w:val="00A92010"/>
    <w:rsid w:val="00A9257C"/>
    <w:rsid w:val="00A92B2B"/>
    <w:rsid w:val="00A94411"/>
    <w:rsid w:val="00A949A9"/>
    <w:rsid w:val="00A94C6A"/>
    <w:rsid w:val="00A94C91"/>
    <w:rsid w:val="00A960A4"/>
    <w:rsid w:val="00A964EE"/>
    <w:rsid w:val="00A96DE0"/>
    <w:rsid w:val="00A96DF7"/>
    <w:rsid w:val="00A970E0"/>
    <w:rsid w:val="00A971C3"/>
    <w:rsid w:val="00A97650"/>
    <w:rsid w:val="00AA0D62"/>
    <w:rsid w:val="00AA0D9D"/>
    <w:rsid w:val="00AA0E38"/>
    <w:rsid w:val="00AA1253"/>
    <w:rsid w:val="00AA315A"/>
    <w:rsid w:val="00AA34F3"/>
    <w:rsid w:val="00AA3D8A"/>
    <w:rsid w:val="00AA51AC"/>
    <w:rsid w:val="00AA57D2"/>
    <w:rsid w:val="00AA6DF6"/>
    <w:rsid w:val="00AA7301"/>
    <w:rsid w:val="00AA7653"/>
    <w:rsid w:val="00AB1107"/>
    <w:rsid w:val="00AB188E"/>
    <w:rsid w:val="00AB21D3"/>
    <w:rsid w:val="00AB2362"/>
    <w:rsid w:val="00AB25EA"/>
    <w:rsid w:val="00AB28A2"/>
    <w:rsid w:val="00AB3D2D"/>
    <w:rsid w:val="00AB3DD8"/>
    <w:rsid w:val="00AB4081"/>
    <w:rsid w:val="00AB411D"/>
    <w:rsid w:val="00AB5DCD"/>
    <w:rsid w:val="00AB60E5"/>
    <w:rsid w:val="00AB6585"/>
    <w:rsid w:val="00AC0079"/>
    <w:rsid w:val="00AC0F14"/>
    <w:rsid w:val="00AC0FC2"/>
    <w:rsid w:val="00AC23CA"/>
    <w:rsid w:val="00AC40E8"/>
    <w:rsid w:val="00AC438B"/>
    <w:rsid w:val="00AC43DC"/>
    <w:rsid w:val="00AC4A4C"/>
    <w:rsid w:val="00AC4FBB"/>
    <w:rsid w:val="00AC50B0"/>
    <w:rsid w:val="00AC58E8"/>
    <w:rsid w:val="00AC5AF5"/>
    <w:rsid w:val="00AC5BC2"/>
    <w:rsid w:val="00AC69A1"/>
    <w:rsid w:val="00AC7B07"/>
    <w:rsid w:val="00AD0EF7"/>
    <w:rsid w:val="00AD1182"/>
    <w:rsid w:val="00AD2382"/>
    <w:rsid w:val="00AD251C"/>
    <w:rsid w:val="00AD2DC1"/>
    <w:rsid w:val="00AD2EC0"/>
    <w:rsid w:val="00AD3FC3"/>
    <w:rsid w:val="00AD3FE6"/>
    <w:rsid w:val="00AD41B0"/>
    <w:rsid w:val="00AD5281"/>
    <w:rsid w:val="00AD53B1"/>
    <w:rsid w:val="00AD58F1"/>
    <w:rsid w:val="00AD5EAA"/>
    <w:rsid w:val="00AD6B72"/>
    <w:rsid w:val="00AD733A"/>
    <w:rsid w:val="00AD7344"/>
    <w:rsid w:val="00AD78D8"/>
    <w:rsid w:val="00AD7932"/>
    <w:rsid w:val="00AD7E31"/>
    <w:rsid w:val="00AE054C"/>
    <w:rsid w:val="00AE2394"/>
    <w:rsid w:val="00AE324A"/>
    <w:rsid w:val="00AE3C0A"/>
    <w:rsid w:val="00AE3EC7"/>
    <w:rsid w:val="00AE5098"/>
    <w:rsid w:val="00AE515D"/>
    <w:rsid w:val="00AE5D20"/>
    <w:rsid w:val="00AE6494"/>
    <w:rsid w:val="00AE7A21"/>
    <w:rsid w:val="00AE7B97"/>
    <w:rsid w:val="00AF08B3"/>
    <w:rsid w:val="00AF0E47"/>
    <w:rsid w:val="00AF1EFB"/>
    <w:rsid w:val="00AF30DA"/>
    <w:rsid w:val="00AF315F"/>
    <w:rsid w:val="00AF33CE"/>
    <w:rsid w:val="00AF3675"/>
    <w:rsid w:val="00AF36CB"/>
    <w:rsid w:val="00AF390D"/>
    <w:rsid w:val="00AF3A60"/>
    <w:rsid w:val="00AF3A87"/>
    <w:rsid w:val="00AF3E35"/>
    <w:rsid w:val="00AF3EBF"/>
    <w:rsid w:val="00AF4ABF"/>
    <w:rsid w:val="00AF503C"/>
    <w:rsid w:val="00AF66F0"/>
    <w:rsid w:val="00AF6896"/>
    <w:rsid w:val="00AF774C"/>
    <w:rsid w:val="00AF7E7A"/>
    <w:rsid w:val="00B002B1"/>
    <w:rsid w:val="00B00B4D"/>
    <w:rsid w:val="00B014B1"/>
    <w:rsid w:val="00B036BD"/>
    <w:rsid w:val="00B03727"/>
    <w:rsid w:val="00B04206"/>
    <w:rsid w:val="00B04764"/>
    <w:rsid w:val="00B04E19"/>
    <w:rsid w:val="00B061B7"/>
    <w:rsid w:val="00B06E4E"/>
    <w:rsid w:val="00B07096"/>
    <w:rsid w:val="00B07BCB"/>
    <w:rsid w:val="00B1057D"/>
    <w:rsid w:val="00B107D5"/>
    <w:rsid w:val="00B108C3"/>
    <w:rsid w:val="00B10A8F"/>
    <w:rsid w:val="00B11007"/>
    <w:rsid w:val="00B120DB"/>
    <w:rsid w:val="00B1285E"/>
    <w:rsid w:val="00B12D2C"/>
    <w:rsid w:val="00B13256"/>
    <w:rsid w:val="00B13405"/>
    <w:rsid w:val="00B13FD7"/>
    <w:rsid w:val="00B14F74"/>
    <w:rsid w:val="00B154F0"/>
    <w:rsid w:val="00B1599F"/>
    <w:rsid w:val="00B161F7"/>
    <w:rsid w:val="00B162FC"/>
    <w:rsid w:val="00B163A8"/>
    <w:rsid w:val="00B17D75"/>
    <w:rsid w:val="00B208B4"/>
    <w:rsid w:val="00B20E35"/>
    <w:rsid w:val="00B21231"/>
    <w:rsid w:val="00B2153F"/>
    <w:rsid w:val="00B223DD"/>
    <w:rsid w:val="00B224C0"/>
    <w:rsid w:val="00B227A0"/>
    <w:rsid w:val="00B22C0E"/>
    <w:rsid w:val="00B22D49"/>
    <w:rsid w:val="00B22E9E"/>
    <w:rsid w:val="00B232AB"/>
    <w:rsid w:val="00B24202"/>
    <w:rsid w:val="00B24453"/>
    <w:rsid w:val="00B24615"/>
    <w:rsid w:val="00B2563A"/>
    <w:rsid w:val="00B25B04"/>
    <w:rsid w:val="00B26B45"/>
    <w:rsid w:val="00B27FCA"/>
    <w:rsid w:val="00B30A86"/>
    <w:rsid w:val="00B312EC"/>
    <w:rsid w:val="00B31751"/>
    <w:rsid w:val="00B32764"/>
    <w:rsid w:val="00B32B16"/>
    <w:rsid w:val="00B33039"/>
    <w:rsid w:val="00B334EB"/>
    <w:rsid w:val="00B3391F"/>
    <w:rsid w:val="00B33FBB"/>
    <w:rsid w:val="00B34344"/>
    <w:rsid w:val="00B34DCD"/>
    <w:rsid w:val="00B3569C"/>
    <w:rsid w:val="00B36297"/>
    <w:rsid w:val="00B36C04"/>
    <w:rsid w:val="00B401BA"/>
    <w:rsid w:val="00B40E8C"/>
    <w:rsid w:val="00B419CC"/>
    <w:rsid w:val="00B42495"/>
    <w:rsid w:val="00B42AEA"/>
    <w:rsid w:val="00B42AFF"/>
    <w:rsid w:val="00B42CCB"/>
    <w:rsid w:val="00B42EE3"/>
    <w:rsid w:val="00B42FC9"/>
    <w:rsid w:val="00B4314E"/>
    <w:rsid w:val="00B43E00"/>
    <w:rsid w:val="00B44482"/>
    <w:rsid w:val="00B444F1"/>
    <w:rsid w:val="00B445C2"/>
    <w:rsid w:val="00B45677"/>
    <w:rsid w:val="00B460DB"/>
    <w:rsid w:val="00B46494"/>
    <w:rsid w:val="00B4650C"/>
    <w:rsid w:val="00B46A25"/>
    <w:rsid w:val="00B46C57"/>
    <w:rsid w:val="00B46C6D"/>
    <w:rsid w:val="00B470D8"/>
    <w:rsid w:val="00B5116C"/>
    <w:rsid w:val="00B512CD"/>
    <w:rsid w:val="00B51C84"/>
    <w:rsid w:val="00B522A5"/>
    <w:rsid w:val="00B52625"/>
    <w:rsid w:val="00B526B5"/>
    <w:rsid w:val="00B536CC"/>
    <w:rsid w:val="00B54017"/>
    <w:rsid w:val="00B557A2"/>
    <w:rsid w:val="00B55A87"/>
    <w:rsid w:val="00B55BBB"/>
    <w:rsid w:val="00B56110"/>
    <w:rsid w:val="00B567E5"/>
    <w:rsid w:val="00B56C7C"/>
    <w:rsid w:val="00B56CCC"/>
    <w:rsid w:val="00B56CFA"/>
    <w:rsid w:val="00B570F8"/>
    <w:rsid w:val="00B57223"/>
    <w:rsid w:val="00B57325"/>
    <w:rsid w:val="00B575F3"/>
    <w:rsid w:val="00B60202"/>
    <w:rsid w:val="00B60942"/>
    <w:rsid w:val="00B61292"/>
    <w:rsid w:val="00B6145D"/>
    <w:rsid w:val="00B619D4"/>
    <w:rsid w:val="00B61B63"/>
    <w:rsid w:val="00B629CB"/>
    <w:rsid w:val="00B62C78"/>
    <w:rsid w:val="00B63373"/>
    <w:rsid w:val="00B636DF"/>
    <w:rsid w:val="00B6478D"/>
    <w:rsid w:val="00B64FD0"/>
    <w:rsid w:val="00B66172"/>
    <w:rsid w:val="00B66394"/>
    <w:rsid w:val="00B66D4C"/>
    <w:rsid w:val="00B67E62"/>
    <w:rsid w:val="00B700C3"/>
    <w:rsid w:val="00B70E43"/>
    <w:rsid w:val="00B71852"/>
    <w:rsid w:val="00B720E0"/>
    <w:rsid w:val="00B723E2"/>
    <w:rsid w:val="00B72860"/>
    <w:rsid w:val="00B731B7"/>
    <w:rsid w:val="00B731D7"/>
    <w:rsid w:val="00B733AA"/>
    <w:rsid w:val="00B7406F"/>
    <w:rsid w:val="00B74B9D"/>
    <w:rsid w:val="00B74C2D"/>
    <w:rsid w:val="00B74C76"/>
    <w:rsid w:val="00B7512C"/>
    <w:rsid w:val="00B753A6"/>
    <w:rsid w:val="00B75B12"/>
    <w:rsid w:val="00B75BEE"/>
    <w:rsid w:val="00B764AC"/>
    <w:rsid w:val="00B76695"/>
    <w:rsid w:val="00B766CC"/>
    <w:rsid w:val="00B767C2"/>
    <w:rsid w:val="00B8053A"/>
    <w:rsid w:val="00B80731"/>
    <w:rsid w:val="00B80F8A"/>
    <w:rsid w:val="00B8100F"/>
    <w:rsid w:val="00B81333"/>
    <w:rsid w:val="00B813A2"/>
    <w:rsid w:val="00B817AB"/>
    <w:rsid w:val="00B821B2"/>
    <w:rsid w:val="00B83192"/>
    <w:rsid w:val="00B834C5"/>
    <w:rsid w:val="00B83DEF"/>
    <w:rsid w:val="00B83F77"/>
    <w:rsid w:val="00B8555D"/>
    <w:rsid w:val="00B865C9"/>
    <w:rsid w:val="00B869C6"/>
    <w:rsid w:val="00B86D5F"/>
    <w:rsid w:val="00B87A70"/>
    <w:rsid w:val="00B87FD1"/>
    <w:rsid w:val="00B9020F"/>
    <w:rsid w:val="00B90FA9"/>
    <w:rsid w:val="00B9219B"/>
    <w:rsid w:val="00B92594"/>
    <w:rsid w:val="00B937BC"/>
    <w:rsid w:val="00B937E4"/>
    <w:rsid w:val="00B9437D"/>
    <w:rsid w:val="00B9442E"/>
    <w:rsid w:val="00B954C8"/>
    <w:rsid w:val="00B96381"/>
    <w:rsid w:val="00B96F1D"/>
    <w:rsid w:val="00B97876"/>
    <w:rsid w:val="00B97A6C"/>
    <w:rsid w:val="00BA0746"/>
    <w:rsid w:val="00BA0DDF"/>
    <w:rsid w:val="00BA0E73"/>
    <w:rsid w:val="00BA1418"/>
    <w:rsid w:val="00BA1E4C"/>
    <w:rsid w:val="00BA1E65"/>
    <w:rsid w:val="00BA21C6"/>
    <w:rsid w:val="00BA26BC"/>
    <w:rsid w:val="00BA27BC"/>
    <w:rsid w:val="00BA27DA"/>
    <w:rsid w:val="00BA32D8"/>
    <w:rsid w:val="00BA356F"/>
    <w:rsid w:val="00BA39DC"/>
    <w:rsid w:val="00BA3F4F"/>
    <w:rsid w:val="00BA4AD0"/>
    <w:rsid w:val="00BA5147"/>
    <w:rsid w:val="00BA530B"/>
    <w:rsid w:val="00BA5855"/>
    <w:rsid w:val="00BA5A81"/>
    <w:rsid w:val="00BA5FF9"/>
    <w:rsid w:val="00BB0D16"/>
    <w:rsid w:val="00BB0D93"/>
    <w:rsid w:val="00BB318E"/>
    <w:rsid w:val="00BB3339"/>
    <w:rsid w:val="00BB34C9"/>
    <w:rsid w:val="00BB3848"/>
    <w:rsid w:val="00BB3FA6"/>
    <w:rsid w:val="00BB4786"/>
    <w:rsid w:val="00BB4F6C"/>
    <w:rsid w:val="00BB5242"/>
    <w:rsid w:val="00BB5EE4"/>
    <w:rsid w:val="00BB5F53"/>
    <w:rsid w:val="00BB625C"/>
    <w:rsid w:val="00BB73C5"/>
    <w:rsid w:val="00BB7B6D"/>
    <w:rsid w:val="00BB7C0E"/>
    <w:rsid w:val="00BB7C41"/>
    <w:rsid w:val="00BC1238"/>
    <w:rsid w:val="00BC1B35"/>
    <w:rsid w:val="00BC1EDF"/>
    <w:rsid w:val="00BC275C"/>
    <w:rsid w:val="00BC2AFE"/>
    <w:rsid w:val="00BC2EF8"/>
    <w:rsid w:val="00BC336A"/>
    <w:rsid w:val="00BC3ED2"/>
    <w:rsid w:val="00BC487C"/>
    <w:rsid w:val="00BC4BDE"/>
    <w:rsid w:val="00BC517A"/>
    <w:rsid w:val="00BC5523"/>
    <w:rsid w:val="00BC59A4"/>
    <w:rsid w:val="00BC5A19"/>
    <w:rsid w:val="00BC63A1"/>
    <w:rsid w:val="00BC64EF"/>
    <w:rsid w:val="00BC6D6F"/>
    <w:rsid w:val="00BD041F"/>
    <w:rsid w:val="00BD069E"/>
    <w:rsid w:val="00BD19A2"/>
    <w:rsid w:val="00BD1C78"/>
    <w:rsid w:val="00BD2233"/>
    <w:rsid w:val="00BD285C"/>
    <w:rsid w:val="00BD2E8C"/>
    <w:rsid w:val="00BD3871"/>
    <w:rsid w:val="00BD401A"/>
    <w:rsid w:val="00BD5468"/>
    <w:rsid w:val="00BD5653"/>
    <w:rsid w:val="00BD5794"/>
    <w:rsid w:val="00BD6179"/>
    <w:rsid w:val="00BD62FF"/>
    <w:rsid w:val="00BD653C"/>
    <w:rsid w:val="00BD7042"/>
    <w:rsid w:val="00BD7078"/>
    <w:rsid w:val="00BD71AC"/>
    <w:rsid w:val="00BD72EC"/>
    <w:rsid w:val="00BD73B7"/>
    <w:rsid w:val="00BD7901"/>
    <w:rsid w:val="00BD7EBD"/>
    <w:rsid w:val="00BE00C9"/>
    <w:rsid w:val="00BE0484"/>
    <w:rsid w:val="00BE07A6"/>
    <w:rsid w:val="00BE09FB"/>
    <w:rsid w:val="00BE0F13"/>
    <w:rsid w:val="00BE0FC6"/>
    <w:rsid w:val="00BE106B"/>
    <w:rsid w:val="00BE1267"/>
    <w:rsid w:val="00BE1C99"/>
    <w:rsid w:val="00BE23B8"/>
    <w:rsid w:val="00BE27F8"/>
    <w:rsid w:val="00BE2BAC"/>
    <w:rsid w:val="00BE3159"/>
    <w:rsid w:val="00BE421E"/>
    <w:rsid w:val="00BE42BC"/>
    <w:rsid w:val="00BE44B6"/>
    <w:rsid w:val="00BE59AE"/>
    <w:rsid w:val="00BE5B12"/>
    <w:rsid w:val="00BE5C0F"/>
    <w:rsid w:val="00BE5DE6"/>
    <w:rsid w:val="00BE6195"/>
    <w:rsid w:val="00BE655A"/>
    <w:rsid w:val="00BE7810"/>
    <w:rsid w:val="00BF0479"/>
    <w:rsid w:val="00BF0C65"/>
    <w:rsid w:val="00BF0ED4"/>
    <w:rsid w:val="00BF117D"/>
    <w:rsid w:val="00BF19BD"/>
    <w:rsid w:val="00BF202D"/>
    <w:rsid w:val="00BF2B69"/>
    <w:rsid w:val="00BF2C72"/>
    <w:rsid w:val="00BF2CFF"/>
    <w:rsid w:val="00BF3247"/>
    <w:rsid w:val="00BF357E"/>
    <w:rsid w:val="00BF3DC3"/>
    <w:rsid w:val="00BF490C"/>
    <w:rsid w:val="00BF4C31"/>
    <w:rsid w:val="00BF5A32"/>
    <w:rsid w:val="00BF5BD6"/>
    <w:rsid w:val="00BF5F41"/>
    <w:rsid w:val="00BF6EA5"/>
    <w:rsid w:val="00BF735C"/>
    <w:rsid w:val="00C001AF"/>
    <w:rsid w:val="00C00338"/>
    <w:rsid w:val="00C006F7"/>
    <w:rsid w:val="00C00CB6"/>
    <w:rsid w:val="00C01B92"/>
    <w:rsid w:val="00C0271A"/>
    <w:rsid w:val="00C02BCC"/>
    <w:rsid w:val="00C032D2"/>
    <w:rsid w:val="00C034BF"/>
    <w:rsid w:val="00C0353E"/>
    <w:rsid w:val="00C0385C"/>
    <w:rsid w:val="00C039F2"/>
    <w:rsid w:val="00C044F9"/>
    <w:rsid w:val="00C045BF"/>
    <w:rsid w:val="00C05E56"/>
    <w:rsid w:val="00C061E5"/>
    <w:rsid w:val="00C065A0"/>
    <w:rsid w:val="00C0667E"/>
    <w:rsid w:val="00C0693A"/>
    <w:rsid w:val="00C06AA5"/>
    <w:rsid w:val="00C075C3"/>
    <w:rsid w:val="00C10A6E"/>
    <w:rsid w:val="00C10CC9"/>
    <w:rsid w:val="00C10EF6"/>
    <w:rsid w:val="00C11128"/>
    <w:rsid w:val="00C111F0"/>
    <w:rsid w:val="00C119FE"/>
    <w:rsid w:val="00C11AEC"/>
    <w:rsid w:val="00C11DCD"/>
    <w:rsid w:val="00C122B9"/>
    <w:rsid w:val="00C12BEB"/>
    <w:rsid w:val="00C12F4F"/>
    <w:rsid w:val="00C1317A"/>
    <w:rsid w:val="00C139A2"/>
    <w:rsid w:val="00C144DB"/>
    <w:rsid w:val="00C14686"/>
    <w:rsid w:val="00C14EE6"/>
    <w:rsid w:val="00C15204"/>
    <w:rsid w:val="00C15267"/>
    <w:rsid w:val="00C159CA"/>
    <w:rsid w:val="00C16585"/>
    <w:rsid w:val="00C17D8C"/>
    <w:rsid w:val="00C201C5"/>
    <w:rsid w:val="00C20E9E"/>
    <w:rsid w:val="00C2116A"/>
    <w:rsid w:val="00C21BF5"/>
    <w:rsid w:val="00C2245A"/>
    <w:rsid w:val="00C22A8D"/>
    <w:rsid w:val="00C22BF1"/>
    <w:rsid w:val="00C22F73"/>
    <w:rsid w:val="00C2327B"/>
    <w:rsid w:val="00C238B5"/>
    <w:rsid w:val="00C243B8"/>
    <w:rsid w:val="00C24B1E"/>
    <w:rsid w:val="00C26ABB"/>
    <w:rsid w:val="00C26BBD"/>
    <w:rsid w:val="00C26BF0"/>
    <w:rsid w:val="00C27009"/>
    <w:rsid w:val="00C270E3"/>
    <w:rsid w:val="00C2729C"/>
    <w:rsid w:val="00C27A1A"/>
    <w:rsid w:val="00C31497"/>
    <w:rsid w:val="00C31AC5"/>
    <w:rsid w:val="00C3271D"/>
    <w:rsid w:val="00C335D6"/>
    <w:rsid w:val="00C34072"/>
    <w:rsid w:val="00C34485"/>
    <w:rsid w:val="00C34B81"/>
    <w:rsid w:val="00C34BAB"/>
    <w:rsid w:val="00C34ED2"/>
    <w:rsid w:val="00C360A6"/>
    <w:rsid w:val="00C3615E"/>
    <w:rsid w:val="00C3617B"/>
    <w:rsid w:val="00C371F9"/>
    <w:rsid w:val="00C37695"/>
    <w:rsid w:val="00C37BBC"/>
    <w:rsid w:val="00C37E0E"/>
    <w:rsid w:val="00C4062C"/>
    <w:rsid w:val="00C40C94"/>
    <w:rsid w:val="00C40F36"/>
    <w:rsid w:val="00C41734"/>
    <w:rsid w:val="00C42160"/>
    <w:rsid w:val="00C428A5"/>
    <w:rsid w:val="00C42D45"/>
    <w:rsid w:val="00C43104"/>
    <w:rsid w:val="00C434A3"/>
    <w:rsid w:val="00C438CC"/>
    <w:rsid w:val="00C43987"/>
    <w:rsid w:val="00C45A64"/>
    <w:rsid w:val="00C45A71"/>
    <w:rsid w:val="00C45D81"/>
    <w:rsid w:val="00C4722B"/>
    <w:rsid w:val="00C50079"/>
    <w:rsid w:val="00C50B9D"/>
    <w:rsid w:val="00C513EE"/>
    <w:rsid w:val="00C5207A"/>
    <w:rsid w:val="00C52234"/>
    <w:rsid w:val="00C539D5"/>
    <w:rsid w:val="00C53C0A"/>
    <w:rsid w:val="00C53FA5"/>
    <w:rsid w:val="00C54A94"/>
    <w:rsid w:val="00C54F0F"/>
    <w:rsid w:val="00C553D2"/>
    <w:rsid w:val="00C5546E"/>
    <w:rsid w:val="00C55876"/>
    <w:rsid w:val="00C55BA5"/>
    <w:rsid w:val="00C55BB3"/>
    <w:rsid w:val="00C55C25"/>
    <w:rsid w:val="00C560B7"/>
    <w:rsid w:val="00C56451"/>
    <w:rsid w:val="00C56A00"/>
    <w:rsid w:val="00C56E39"/>
    <w:rsid w:val="00C56F38"/>
    <w:rsid w:val="00C56F64"/>
    <w:rsid w:val="00C57BF8"/>
    <w:rsid w:val="00C57FC0"/>
    <w:rsid w:val="00C60288"/>
    <w:rsid w:val="00C60306"/>
    <w:rsid w:val="00C603FC"/>
    <w:rsid w:val="00C6050D"/>
    <w:rsid w:val="00C60C0F"/>
    <w:rsid w:val="00C60CBB"/>
    <w:rsid w:val="00C60E55"/>
    <w:rsid w:val="00C616B1"/>
    <w:rsid w:val="00C61A82"/>
    <w:rsid w:val="00C61E9D"/>
    <w:rsid w:val="00C625DD"/>
    <w:rsid w:val="00C62BA3"/>
    <w:rsid w:val="00C6304C"/>
    <w:rsid w:val="00C63404"/>
    <w:rsid w:val="00C6348B"/>
    <w:rsid w:val="00C63A9C"/>
    <w:rsid w:val="00C63E01"/>
    <w:rsid w:val="00C6465F"/>
    <w:rsid w:val="00C646C9"/>
    <w:rsid w:val="00C647BB"/>
    <w:rsid w:val="00C64C24"/>
    <w:rsid w:val="00C66F13"/>
    <w:rsid w:val="00C673D6"/>
    <w:rsid w:val="00C70718"/>
    <w:rsid w:val="00C70F81"/>
    <w:rsid w:val="00C7132F"/>
    <w:rsid w:val="00C71FBE"/>
    <w:rsid w:val="00C72894"/>
    <w:rsid w:val="00C72F8A"/>
    <w:rsid w:val="00C730C1"/>
    <w:rsid w:val="00C73994"/>
    <w:rsid w:val="00C73BA5"/>
    <w:rsid w:val="00C73D52"/>
    <w:rsid w:val="00C7407E"/>
    <w:rsid w:val="00C741EC"/>
    <w:rsid w:val="00C74596"/>
    <w:rsid w:val="00C749FF"/>
    <w:rsid w:val="00C74BC7"/>
    <w:rsid w:val="00C75183"/>
    <w:rsid w:val="00C75FC1"/>
    <w:rsid w:val="00C7672C"/>
    <w:rsid w:val="00C76FA7"/>
    <w:rsid w:val="00C81A7E"/>
    <w:rsid w:val="00C82264"/>
    <w:rsid w:val="00C8328B"/>
    <w:rsid w:val="00C83526"/>
    <w:rsid w:val="00C83969"/>
    <w:rsid w:val="00C83E24"/>
    <w:rsid w:val="00C84387"/>
    <w:rsid w:val="00C84596"/>
    <w:rsid w:val="00C848CB"/>
    <w:rsid w:val="00C84B7D"/>
    <w:rsid w:val="00C85404"/>
    <w:rsid w:val="00C859A8"/>
    <w:rsid w:val="00C85ED2"/>
    <w:rsid w:val="00C87128"/>
    <w:rsid w:val="00C87AD0"/>
    <w:rsid w:val="00C90355"/>
    <w:rsid w:val="00C9061B"/>
    <w:rsid w:val="00C90BE7"/>
    <w:rsid w:val="00C90ED0"/>
    <w:rsid w:val="00C91295"/>
    <w:rsid w:val="00C9160D"/>
    <w:rsid w:val="00C91967"/>
    <w:rsid w:val="00C919B1"/>
    <w:rsid w:val="00C92B12"/>
    <w:rsid w:val="00C9314C"/>
    <w:rsid w:val="00C93533"/>
    <w:rsid w:val="00C935B8"/>
    <w:rsid w:val="00C9417A"/>
    <w:rsid w:val="00C9426C"/>
    <w:rsid w:val="00C94D55"/>
    <w:rsid w:val="00C958A8"/>
    <w:rsid w:val="00C96BB3"/>
    <w:rsid w:val="00C97120"/>
    <w:rsid w:val="00C97591"/>
    <w:rsid w:val="00C975A7"/>
    <w:rsid w:val="00CA04E0"/>
    <w:rsid w:val="00CA068F"/>
    <w:rsid w:val="00CA0A12"/>
    <w:rsid w:val="00CA2621"/>
    <w:rsid w:val="00CA38C1"/>
    <w:rsid w:val="00CA3CA3"/>
    <w:rsid w:val="00CA5647"/>
    <w:rsid w:val="00CA5B05"/>
    <w:rsid w:val="00CA5BD1"/>
    <w:rsid w:val="00CA64ED"/>
    <w:rsid w:val="00CA67C7"/>
    <w:rsid w:val="00CA6BAF"/>
    <w:rsid w:val="00CA6FB0"/>
    <w:rsid w:val="00CA6FDA"/>
    <w:rsid w:val="00CA718B"/>
    <w:rsid w:val="00CA73D2"/>
    <w:rsid w:val="00CA75A2"/>
    <w:rsid w:val="00CA77FC"/>
    <w:rsid w:val="00CA7E5C"/>
    <w:rsid w:val="00CB09A2"/>
    <w:rsid w:val="00CB0B52"/>
    <w:rsid w:val="00CB1604"/>
    <w:rsid w:val="00CB1743"/>
    <w:rsid w:val="00CB1B6A"/>
    <w:rsid w:val="00CB24A9"/>
    <w:rsid w:val="00CB38D7"/>
    <w:rsid w:val="00CB3A4E"/>
    <w:rsid w:val="00CB3D1C"/>
    <w:rsid w:val="00CB3FC0"/>
    <w:rsid w:val="00CB623A"/>
    <w:rsid w:val="00CB6605"/>
    <w:rsid w:val="00CB72C4"/>
    <w:rsid w:val="00CB774F"/>
    <w:rsid w:val="00CB7BD1"/>
    <w:rsid w:val="00CC0600"/>
    <w:rsid w:val="00CC10C6"/>
    <w:rsid w:val="00CC1220"/>
    <w:rsid w:val="00CC14C7"/>
    <w:rsid w:val="00CC1B35"/>
    <w:rsid w:val="00CC1C47"/>
    <w:rsid w:val="00CC21F8"/>
    <w:rsid w:val="00CC27F8"/>
    <w:rsid w:val="00CC310E"/>
    <w:rsid w:val="00CC3399"/>
    <w:rsid w:val="00CC33E5"/>
    <w:rsid w:val="00CC377B"/>
    <w:rsid w:val="00CC41FB"/>
    <w:rsid w:val="00CC4DDA"/>
    <w:rsid w:val="00CC4FD4"/>
    <w:rsid w:val="00CC565E"/>
    <w:rsid w:val="00CC665C"/>
    <w:rsid w:val="00CC6EA1"/>
    <w:rsid w:val="00CD0ABD"/>
    <w:rsid w:val="00CD0F73"/>
    <w:rsid w:val="00CD133C"/>
    <w:rsid w:val="00CD17A6"/>
    <w:rsid w:val="00CD1C6A"/>
    <w:rsid w:val="00CD1D47"/>
    <w:rsid w:val="00CD2980"/>
    <w:rsid w:val="00CD3D25"/>
    <w:rsid w:val="00CD42BD"/>
    <w:rsid w:val="00CD4533"/>
    <w:rsid w:val="00CD48D1"/>
    <w:rsid w:val="00CD4A1D"/>
    <w:rsid w:val="00CD4AE5"/>
    <w:rsid w:val="00CD518E"/>
    <w:rsid w:val="00CD5942"/>
    <w:rsid w:val="00CD6242"/>
    <w:rsid w:val="00CD693B"/>
    <w:rsid w:val="00CD6EE4"/>
    <w:rsid w:val="00CD70C0"/>
    <w:rsid w:val="00CD70F6"/>
    <w:rsid w:val="00CD71A1"/>
    <w:rsid w:val="00CD776D"/>
    <w:rsid w:val="00CD7B36"/>
    <w:rsid w:val="00CD7E6B"/>
    <w:rsid w:val="00CD7F1E"/>
    <w:rsid w:val="00CE015E"/>
    <w:rsid w:val="00CE18B8"/>
    <w:rsid w:val="00CE1B44"/>
    <w:rsid w:val="00CE21BA"/>
    <w:rsid w:val="00CE2DA5"/>
    <w:rsid w:val="00CE3128"/>
    <w:rsid w:val="00CE3AD7"/>
    <w:rsid w:val="00CE6536"/>
    <w:rsid w:val="00CE66B7"/>
    <w:rsid w:val="00CE7CCC"/>
    <w:rsid w:val="00CE7EC3"/>
    <w:rsid w:val="00CF06E5"/>
    <w:rsid w:val="00CF0A97"/>
    <w:rsid w:val="00CF0C57"/>
    <w:rsid w:val="00CF0CA7"/>
    <w:rsid w:val="00CF0E73"/>
    <w:rsid w:val="00CF2443"/>
    <w:rsid w:val="00CF2864"/>
    <w:rsid w:val="00CF31B4"/>
    <w:rsid w:val="00CF3263"/>
    <w:rsid w:val="00CF33F0"/>
    <w:rsid w:val="00CF4511"/>
    <w:rsid w:val="00CF4A15"/>
    <w:rsid w:val="00CF4A29"/>
    <w:rsid w:val="00CF4E28"/>
    <w:rsid w:val="00CF5265"/>
    <w:rsid w:val="00CF5EAB"/>
    <w:rsid w:val="00CF6D47"/>
    <w:rsid w:val="00CF6FD9"/>
    <w:rsid w:val="00CF7345"/>
    <w:rsid w:val="00CF7640"/>
    <w:rsid w:val="00CF7D64"/>
    <w:rsid w:val="00CF7D73"/>
    <w:rsid w:val="00D0073B"/>
    <w:rsid w:val="00D00D3B"/>
    <w:rsid w:val="00D01448"/>
    <w:rsid w:val="00D01940"/>
    <w:rsid w:val="00D01A3C"/>
    <w:rsid w:val="00D03400"/>
    <w:rsid w:val="00D0380D"/>
    <w:rsid w:val="00D04450"/>
    <w:rsid w:val="00D04625"/>
    <w:rsid w:val="00D048CC"/>
    <w:rsid w:val="00D049FB"/>
    <w:rsid w:val="00D04ACF"/>
    <w:rsid w:val="00D04B35"/>
    <w:rsid w:val="00D04DF0"/>
    <w:rsid w:val="00D04E7F"/>
    <w:rsid w:val="00D05434"/>
    <w:rsid w:val="00D05704"/>
    <w:rsid w:val="00D05778"/>
    <w:rsid w:val="00D06A4B"/>
    <w:rsid w:val="00D06A85"/>
    <w:rsid w:val="00D074FC"/>
    <w:rsid w:val="00D07E78"/>
    <w:rsid w:val="00D10B38"/>
    <w:rsid w:val="00D1183D"/>
    <w:rsid w:val="00D11913"/>
    <w:rsid w:val="00D13234"/>
    <w:rsid w:val="00D133A5"/>
    <w:rsid w:val="00D13D88"/>
    <w:rsid w:val="00D1439B"/>
    <w:rsid w:val="00D146EB"/>
    <w:rsid w:val="00D14812"/>
    <w:rsid w:val="00D15742"/>
    <w:rsid w:val="00D15751"/>
    <w:rsid w:val="00D15918"/>
    <w:rsid w:val="00D16E04"/>
    <w:rsid w:val="00D16FEB"/>
    <w:rsid w:val="00D174BE"/>
    <w:rsid w:val="00D20A41"/>
    <w:rsid w:val="00D20AC1"/>
    <w:rsid w:val="00D210B0"/>
    <w:rsid w:val="00D22B04"/>
    <w:rsid w:val="00D231EB"/>
    <w:rsid w:val="00D23C34"/>
    <w:rsid w:val="00D23C78"/>
    <w:rsid w:val="00D24B62"/>
    <w:rsid w:val="00D24C6A"/>
    <w:rsid w:val="00D253A4"/>
    <w:rsid w:val="00D262FC"/>
    <w:rsid w:val="00D2659C"/>
    <w:rsid w:val="00D265D9"/>
    <w:rsid w:val="00D267F0"/>
    <w:rsid w:val="00D26E61"/>
    <w:rsid w:val="00D27833"/>
    <w:rsid w:val="00D30BF4"/>
    <w:rsid w:val="00D30C7D"/>
    <w:rsid w:val="00D30D08"/>
    <w:rsid w:val="00D3113B"/>
    <w:rsid w:val="00D31339"/>
    <w:rsid w:val="00D319B8"/>
    <w:rsid w:val="00D32672"/>
    <w:rsid w:val="00D32BFE"/>
    <w:rsid w:val="00D32F6C"/>
    <w:rsid w:val="00D333B3"/>
    <w:rsid w:val="00D34A8C"/>
    <w:rsid w:val="00D34C89"/>
    <w:rsid w:val="00D35D98"/>
    <w:rsid w:val="00D3686C"/>
    <w:rsid w:val="00D36B4E"/>
    <w:rsid w:val="00D40076"/>
    <w:rsid w:val="00D40215"/>
    <w:rsid w:val="00D4073E"/>
    <w:rsid w:val="00D413B6"/>
    <w:rsid w:val="00D417DD"/>
    <w:rsid w:val="00D41D9F"/>
    <w:rsid w:val="00D422B2"/>
    <w:rsid w:val="00D431DF"/>
    <w:rsid w:val="00D435A8"/>
    <w:rsid w:val="00D43F15"/>
    <w:rsid w:val="00D44566"/>
    <w:rsid w:val="00D449EA"/>
    <w:rsid w:val="00D45079"/>
    <w:rsid w:val="00D453FA"/>
    <w:rsid w:val="00D454C9"/>
    <w:rsid w:val="00D45D23"/>
    <w:rsid w:val="00D460F6"/>
    <w:rsid w:val="00D46491"/>
    <w:rsid w:val="00D4713D"/>
    <w:rsid w:val="00D47E2A"/>
    <w:rsid w:val="00D50115"/>
    <w:rsid w:val="00D50201"/>
    <w:rsid w:val="00D5037B"/>
    <w:rsid w:val="00D51050"/>
    <w:rsid w:val="00D5124D"/>
    <w:rsid w:val="00D51BE9"/>
    <w:rsid w:val="00D520D6"/>
    <w:rsid w:val="00D521F4"/>
    <w:rsid w:val="00D5239D"/>
    <w:rsid w:val="00D52C16"/>
    <w:rsid w:val="00D52E56"/>
    <w:rsid w:val="00D530D8"/>
    <w:rsid w:val="00D537B4"/>
    <w:rsid w:val="00D54B67"/>
    <w:rsid w:val="00D54CF7"/>
    <w:rsid w:val="00D55190"/>
    <w:rsid w:val="00D551D3"/>
    <w:rsid w:val="00D55641"/>
    <w:rsid w:val="00D55651"/>
    <w:rsid w:val="00D55659"/>
    <w:rsid w:val="00D55AB5"/>
    <w:rsid w:val="00D56933"/>
    <w:rsid w:val="00D571EB"/>
    <w:rsid w:val="00D578FA"/>
    <w:rsid w:val="00D57BE1"/>
    <w:rsid w:val="00D6044F"/>
    <w:rsid w:val="00D60499"/>
    <w:rsid w:val="00D60E59"/>
    <w:rsid w:val="00D60F5F"/>
    <w:rsid w:val="00D613F7"/>
    <w:rsid w:val="00D61F06"/>
    <w:rsid w:val="00D62F66"/>
    <w:rsid w:val="00D630AF"/>
    <w:rsid w:val="00D634F7"/>
    <w:rsid w:val="00D63976"/>
    <w:rsid w:val="00D64342"/>
    <w:rsid w:val="00D644FC"/>
    <w:rsid w:val="00D65050"/>
    <w:rsid w:val="00D65F77"/>
    <w:rsid w:val="00D66692"/>
    <w:rsid w:val="00D66F25"/>
    <w:rsid w:val="00D67481"/>
    <w:rsid w:val="00D675D1"/>
    <w:rsid w:val="00D67E77"/>
    <w:rsid w:val="00D70082"/>
    <w:rsid w:val="00D709B2"/>
    <w:rsid w:val="00D716D1"/>
    <w:rsid w:val="00D7182A"/>
    <w:rsid w:val="00D719A8"/>
    <w:rsid w:val="00D72BE2"/>
    <w:rsid w:val="00D72D5C"/>
    <w:rsid w:val="00D7311B"/>
    <w:rsid w:val="00D73202"/>
    <w:rsid w:val="00D7369E"/>
    <w:rsid w:val="00D736B0"/>
    <w:rsid w:val="00D73EF0"/>
    <w:rsid w:val="00D73F70"/>
    <w:rsid w:val="00D740B1"/>
    <w:rsid w:val="00D7514B"/>
    <w:rsid w:val="00D75963"/>
    <w:rsid w:val="00D762C0"/>
    <w:rsid w:val="00D76880"/>
    <w:rsid w:val="00D7699F"/>
    <w:rsid w:val="00D76F4C"/>
    <w:rsid w:val="00D77F48"/>
    <w:rsid w:val="00D80097"/>
    <w:rsid w:val="00D801DC"/>
    <w:rsid w:val="00D81570"/>
    <w:rsid w:val="00D81AF0"/>
    <w:rsid w:val="00D8246B"/>
    <w:rsid w:val="00D82992"/>
    <w:rsid w:val="00D82B0D"/>
    <w:rsid w:val="00D82B86"/>
    <w:rsid w:val="00D83B1D"/>
    <w:rsid w:val="00D84295"/>
    <w:rsid w:val="00D84396"/>
    <w:rsid w:val="00D851AC"/>
    <w:rsid w:val="00D8574F"/>
    <w:rsid w:val="00D85DBF"/>
    <w:rsid w:val="00D85DF1"/>
    <w:rsid w:val="00D86198"/>
    <w:rsid w:val="00D8657A"/>
    <w:rsid w:val="00D869FE"/>
    <w:rsid w:val="00D86E2A"/>
    <w:rsid w:val="00D86F5B"/>
    <w:rsid w:val="00D87453"/>
    <w:rsid w:val="00D901FD"/>
    <w:rsid w:val="00D90952"/>
    <w:rsid w:val="00D90E0E"/>
    <w:rsid w:val="00D9105B"/>
    <w:rsid w:val="00D914E0"/>
    <w:rsid w:val="00D914E5"/>
    <w:rsid w:val="00D91FDB"/>
    <w:rsid w:val="00D93793"/>
    <w:rsid w:val="00D93D20"/>
    <w:rsid w:val="00D940BC"/>
    <w:rsid w:val="00D941DF"/>
    <w:rsid w:val="00D94725"/>
    <w:rsid w:val="00D949A9"/>
    <w:rsid w:val="00D95970"/>
    <w:rsid w:val="00D95A0D"/>
    <w:rsid w:val="00D96E87"/>
    <w:rsid w:val="00D97273"/>
    <w:rsid w:val="00D9743C"/>
    <w:rsid w:val="00D97DCE"/>
    <w:rsid w:val="00DA1263"/>
    <w:rsid w:val="00DA1441"/>
    <w:rsid w:val="00DA151C"/>
    <w:rsid w:val="00DA1562"/>
    <w:rsid w:val="00DA22D5"/>
    <w:rsid w:val="00DA296E"/>
    <w:rsid w:val="00DA2AF5"/>
    <w:rsid w:val="00DA3306"/>
    <w:rsid w:val="00DA3DA5"/>
    <w:rsid w:val="00DA3E8A"/>
    <w:rsid w:val="00DA45B7"/>
    <w:rsid w:val="00DA57A7"/>
    <w:rsid w:val="00DA5DB1"/>
    <w:rsid w:val="00DA6991"/>
    <w:rsid w:val="00DA6B2E"/>
    <w:rsid w:val="00DA6B76"/>
    <w:rsid w:val="00DA72AE"/>
    <w:rsid w:val="00DB2E92"/>
    <w:rsid w:val="00DB43D3"/>
    <w:rsid w:val="00DB45B2"/>
    <w:rsid w:val="00DB4ED4"/>
    <w:rsid w:val="00DB5CFE"/>
    <w:rsid w:val="00DB60B1"/>
    <w:rsid w:val="00DB64B8"/>
    <w:rsid w:val="00DB661C"/>
    <w:rsid w:val="00DB6A21"/>
    <w:rsid w:val="00DB6A95"/>
    <w:rsid w:val="00DC04E9"/>
    <w:rsid w:val="00DC138C"/>
    <w:rsid w:val="00DC1FC6"/>
    <w:rsid w:val="00DC260D"/>
    <w:rsid w:val="00DC284D"/>
    <w:rsid w:val="00DC29C2"/>
    <w:rsid w:val="00DC2B9D"/>
    <w:rsid w:val="00DC3AA0"/>
    <w:rsid w:val="00DC4B19"/>
    <w:rsid w:val="00DC4E02"/>
    <w:rsid w:val="00DC5564"/>
    <w:rsid w:val="00DC5BA2"/>
    <w:rsid w:val="00DC5E11"/>
    <w:rsid w:val="00DC609A"/>
    <w:rsid w:val="00DC69E6"/>
    <w:rsid w:val="00DC6B5D"/>
    <w:rsid w:val="00DD0086"/>
    <w:rsid w:val="00DD0664"/>
    <w:rsid w:val="00DD0997"/>
    <w:rsid w:val="00DD0A20"/>
    <w:rsid w:val="00DD0A4F"/>
    <w:rsid w:val="00DD1314"/>
    <w:rsid w:val="00DD14AC"/>
    <w:rsid w:val="00DD1547"/>
    <w:rsid w:val="00DD19FE"/>
    <w:rsid w:val="00DD2728"/>
    <w:rsid w:val="00DD3116"/>
    <w:rsid w:val="00DD31DA"/>
    <w:rsid w:val="00DD38FA"/>
    <w:rsid w:val="00DD3BCD"/>
    <w:rsid w:val="00DD3E32"/>
    <w:rsid w:val="00DD457B"/>
    <w:rsid w:val="00DD4B8A"/>
    <w:rsid w:val="00DD4BE7"/>
    <w:rsid w:val="00DD6AD5"/>
    <w:rsid w:val="00DD6FAD"/>
    <w:rsid w:val="00DD72C3"/>
    <w:rsid w:val="00DD73EE"/>
    <w:rsid w:val="00DD7630"/>
    <w:rsid w:val="00DD7788"/>
    <w:rsid w:val="00DD78F1"/>
    <w:rsid w:val="00DE09B1"/>
    <w:rsid w:val="00DE0A76"/>
    <w:rsid w:val="00DE0A97"/>
    <w:rsid w:val="00DE19F5"/>
    <w:rsid w:val="00DE2272"/>
    <w:rsid w:val="00DE24CB"/>
    <w:rsid w:val="00DE305C"/>
    <w:rsid w:val="00DE37DB"/>
    <w:rsid w:val="00DE4044"/>
    <w:rsid w:val="00DE4827"/>
    <w:rsid w:val="00DE4BD6"/>
    <w:rsid w:val="00DE4C09"/>
    <w:rsid w:val="00DE533F"/>
    <w:rsid w:val="00DE635A"/>
    <w:rsid w:val="00DE653B"/>
    <w:rsid w:val="00DE6611"/>
    <w:rsid w:val="00DE68D5"/>
    <w:rsid w:val="00DE6C3E"/>
    <w:rsid w:val="00DE7942"/>
    <w:rsid w:val="00DE7BDB"/>
    <w:rsid w:val="00DF031F"/>
    <w:rsid w:val="00DF0566"/>
    <w:rsid w:val="00DF103B"/>
    <w:rsid w:val="00DF12AF"/>
    <w:rsid w:val="00DF1BD8"/>
    <w:rsid w:val="00DF2EAE"/>
    <w:rsid w:val="00DF3266"/>
    <w:rsid w:val="00DF34D6"/>
    <w:rsid w:val="00DF377E"/>
    <w:rsid w:val="00DF3C79"/>
    <w:rsid w:val="00DF42A0"/>
    <w:rsid w:val="00DF45CC"/>
    <w:rsid w:val="00DF46D6"/>
    <w:rsid w:val="00DF489A"/>
    <w:rsid w:val="00DF5666"/>
    <w:rsid w:val="00DF5F16"/>
    <w:rsid w:val="00DF6FF3"/>
    <w:rsid w:val="00DF7031"/>
    <w:rsid w:val="00E00D16"/>
    <w:rsid w:val="00E01027"/>
    <w:rsid w:val="00E0175C"/>
    <w:rsid w:val="00E01BCB"/>
    <w:rsid w:val="00E01C1E"/>
    <w:rsid w:val="00E029B7"/>
    <w:rsid w:val="00E02BC9"/>
    <w:rsid w:val="00E02F7C"/>
    <w:rsid w:val="00E036B8"/>
    <w:rsid w:val="00E0395E"/>
    <w:rsid w:val="00E03A4B"/>
    <w:rsid w:val="00E05AB1"/>
    <w:rsid w:val="00E06AED"/>
    <w:rsid w:val="00E07885"/>
    <w:rsid w:val="00E07D08"/>
    <w:rsid w:val="00E10351"/>
    <w:rsid w:val="00E10830"/>
    <w:rsid w:val="00E1099E"/>
    <w:rsid w:val="00E123B5"/>
    <w:rsid w:val="00E12518"/>
    <w:rsid w:val="00E13102"/>
    <w:rsid w:val="00E1342E"/>
    <w:rsid w:val="00E13731"/>
    <w:rsid w:val="00E13CE7"/>
    <w:rsid w:val="00E141CA"/>
    <w:rsid w:val="00E1440B"/>
    <w:rsid w:val="00E16C18"/>
    <w:rsid w:val="00E16F88"/>
    <w:rsid w:val="00E17410"/>
    <w:rsid w:val="00E17BCC"/>
    <w:rsid w:val="00E17EDD"/>
    <w:rsid w:val="00E209A9"/>
    <w:rsid w:val="00E20C74"/>
    <w:rsid w:val="00E20D41"/>
    <w:rsid w:val="00E20FF0"/>
    <w:rsid w:val="00E21064"/>
    <w:rsid w:val="00E22C9B"/>
    <w:rsid w:val="00E23858"/>
    <w:rsid w:val="00E2412E"/>
    <w:rsid w:val="00E24F22"/>
    <w:rsid w:val="00E25036"/>
    <w:rsid w:val="00E25105"/>
    <w:rsid w:val="00E25190"/>
    <w:rsid w:val="00E25390"/>
    <w:rsid w:val="00E2543D"/>
    <w:rsid w:val="00E26A37"/>
    <w:rsid w:val="00E2701D"/>
    <w:rsid w:val="00E27183"/>
    <w:rsid w:val="00E275A3"/>
    <w:rsid w:val="00E2788E"/>
    <w:rsid w:val="00E27F6F"/>
    <w:rsid w:val="00E3046D"/>
    <w:rsid w:val="00E30681"/>
    <w:rsid w:val="00E31D14"/>
    <w:rsid w:val="00E3208A"/>
    <w:rsid w:val="00E33321"/>
    <w:rsid w:val="00E3433E"/>
    <w:rsid w:val="00E3501A"/>
    <w:rsid w:val="00E35282"/>
    <w:rsid w:val="00E35681"/>
    <w:rsid w:val="00E35829"/>
    <w:rsid w:val="00E361C5"/>
    <w:rsid w:val="00E36894"/>
    <w:rsid w:val="00E368E9"/>
    <w:rsid w:val="00E3739A"/>
    <w:rsid w:val="00E40BD3"/>
    <w:rsid w:val="00E40E10"/>
    <w:rsid w:val="00E41F12"/>
    <w:rsid w:val="00E42A9C"/>
    <w:rsid w:val="00E43197"/>
    <w:rsid w:val="00E44C81"/>
    <w:rsid w:val="00E462B9"/>
    <w:rsid w:val="00E462DE"/>
    <w:rsid w:val="00E477AE"/>
    <w:rsid w:val="00E507A5"/>
    <w:rsid w:val="00E509BB"/>
    <w:rsid w:val="00E50BA0"/>
    <w:rsid w:val="00E51386"/>
    <w:rsid w:val="00E513CA"/>
    <w:rsid w:val="00E51808"/>
    <w:rsid w:val="00E51ACA"/>
    <w:rsid w:val="00E5313D"/>
    <w:rsid w:val="00E53403"/>
    <w:rsid w:val="00E53948"/>
    <w:rsid w:val="00E53A2C"/>
    <w:rsid w:val="00E54103"/>
    <w:rsid w:val="00E543D9"/>
    <w:rsid w:val="00E551F9"/>
    <w:rsid w:val="00E55211"/>
    <w:rsid w:val="00E5581F"/>
    <w:rsid w:val="00E5595B"/>
    <w:rsid w:val="00E561B1"/>
    <w:rsid w:val="00E57794"/>
    <w:rsid w:val="00E57B6D"/>
    <w:rsid w:val="00E57BA2"/>
    <w:rsid w:val="00E60477"/>
    <w:rsid w:val="00E610B8"/>
    <w:rsid w:val="00E61A09"/>
    <w:rsid w:val="00E61BDF"/>
    <w:rsid w:val="00E62C93"/>
    <w:rsid w:val="00E6578C"/>
    <w:rsid w:val="00E65C8F"/>
    <w:rsid w:val="00E65F68"/>
    <w:rsid w:val="00E6617A"/>
    <w:rsid w:val="00E66585"/>
    <w:rsid w:val="00E66E46"/>
    <w:rsid w:val="00E67180"/>
    <w:rsid w:val="00E67C98"/>
    <w:rsid w:val="00E700C9"/>
    <w:rsid w:val="00E70642"/>
    <w:rsid w:val="00E70900"/>
    <w:rsid w:val="00E70E7B"/>
    <w:rsid w:val="00E711EA"/>
    <w:rsid w:val="00E7152D"/>
    <w:rsid w:val="00E715EC"/>
    <w:rsid w:val="00E71A9D"/>
    <w:rsid w:val="00E7279D"/>
    <w:rsid w:val="00E730B2"/>
    <w:rsid w:val="00E7334E"/>
    <w:rsid w:val="00E7341B"/>
    <w:rsid w:val="00E7370B"/>
    <w:rsid w:val="00E7496E"/>
    <w:rsid w:val="00E74D88"/>
    <w:rsid w:val="00E75840"/>
    <w:rsid w:val="00E75E60"/>
    <w:rsid w:val="00E764BC"/>
    <w:rsid w:val="00E76E5C"/>
    <w:rsid w:val="00E772A1"/>
    <w:rsid w:val="00E8001B"/>
    <w:rsid w:val="00E8012E"/>
    <w:rsid w:val="00E81AE2"/>
    <w:rsid w:val="00E81C94"/>
    <w:rsid w:val="00E81DE5"/>
    <w:rsid w:val="00E8262C"/>
    <w:rsid w:val="00E832FB"/>
    <w:rsid w:val="00E83801"/>
    <w:rsid w:val="00E83EA4"/>
    <w:rsid w:val="00E85C1F"/>
    <w:rsid w:val="00E85EFD"/>
    <w:rsid w:val="00E86844"/>
    <w:rsid w:val="00E868D4"/>
    <w:rsid w:val="00E87057"/>
    <w:rsid w:val="00E901BA"/>
    <w:rsid w:val="00E90CF9"/>
    <w:rsid w:val="00E90F44"/>
    <w:rsid w:val="00E9195E"/>
    <w:rsid w:val="00E91CE7"/>
    <w:rsid w:val="00E9218B"/>
    <w:rsid w:val="00E92D0D"/>
    <w:rsid w:val="00E92E52"/>
    <w:rsid w:val="00E9325B"/>
    <w:rsid w:val="00E93A72"/>
    <w:rsid w:val="00E94490"/>
    <w:rsid w:val="00E94C99"/>
    <w:rsid w:val="00E94EFA"/>
    <w:rsid w:val="00E9640B"/>
    <w:rsid w:val="00E968F1"/>
    <w:rsid w:val="00E96F8E"/>
    <w:rsid w:val="00E972FF"/>
    <w:rsid w:val="00EA0724"/>
    <w:rsid w:val="00EA08BF"/>
    <w:rsid w:val="00EA1644"/>
    <w:rsid w:val="00EA18D6"/>
    <w:rsid w:val="00EA25BD"/>
    <w:rsid w:val="00EA3A57"/>
    <w:rsid w:val="00EA3CBD"/>
    <w:rsid w:val="00EA44E4"/>
    <w:rsid w:val="00EA4819"/>
    <w:rsid w:val="00EA61A1"/>
    <w:rsid w:val="00EA780D"/>
    <w:rsid w:val="00EA7E49"/>
    <w:rsid w:val="00EA7EF2"/>
    <w:rsid w:val="00EB04CD"/>
    <w:rsid w:val="00EB0745"/>
    <w:rsid w:val="00EB077A"/>
    <w:rsid w:val="00EB244A"/>
    <w:rsid w:val="00EB24F9"/>
    <w:rsid w:val="00EB25CB"/>
    <w:rsid w:val="00EB278D"/>
    <w:rsid w:val="00EB2D1E"/>
    <w:rsid w:val="00EB3913"/>
    <w:rsid w:val="00EB392C"/>
    <w:rsid w:val="00EB3BBD"/>
    <w:rsid w:val="00EB3CC5"/>
    <w:rsid w:val="00EB4399"/>
    <w:rsid w:val="00EB4C20"/>
    <w:rsid w:val="00EB4D1F"/>
    <w:rsid w:val="00EB5537"/>
    <w:rsid w:val="00EB5D4C"/>
    <w:rsid w:val="00EB61EE"/>
    <w:rsid w:val="00EB631B"/>
    <w:rsid w:val="00EB6615"/>
    <w:rsid w:val="00EB797D"/>
    <w:rsid w:val="00EB79F1"/>
    <w:rsid w:val="00EC0CD3"/>
    <w:rsid w:val="00EC0FB6"/>
    <w:rsid w:val="00EC1DE7"/>
    <w:rsid w:val="00EC1FD2"/>
    <w:rsid w:val="00EC2773"/>
    <w:rsid w:val="00EC344E"/>
    <w:rsid w:val="00EC3723"/>
    <w:rsid w:val="00EC4045"/>
    <w:rsid w:val="00EC4E80"/>
    <w:rsid w:val="00EC5090"/>
    <w:rsid w:val="00EC556D"/>
    <w:rsid w:val="00EC580D"/>
    <w:rsid w:val="00EC64C8"/>
    <w:rsid w:val="00EC657A"/>
    <w:rsid w:val="00EC6E45"/>
    <w:rsid w:val="00ED089C"/>
    <w:rsid w:val="00ED0A88"/>
    <w:rsid w:val="00ED0BA5"/>
    <w:rsid w:val="00ED128D"/>
    <w:rsid w:val="00ED1D1D"/>
    <w:rsid w:val="00ED2A41"/>
    <w:rsid w:val="00ED3A87"/>
    <w:rsid w:val="00ED3B17"/>
    <w:rsid w:val="00ED48DD"/>
    <w:rsid w:val="00ED4F54"/>
    <w:rsid w:val="00ED593A"/>
    <w:rsid w:val="00ED6C7F"/>
    <w:rsid w:val="00ED78B8"/>
    <w:rsid w:val="00ED7B51"/>
    <w:rsid w:val="00EE04A2"/>
    <w:rsid w:val="00EE2FE9"/>
    <w:rsid w:val="00EE305C"/>
    <w:rsid w:val="00EE31BD"/>
    <w:rsid w:val="00EE3FA5"/>
    <w:rsid w:val="00EE46BF"/>
    <w:rsid w:val="00EE4781"/>
    <w:rsid w:val="00EE4EFB"/>
    <w:rsid w:val="00EE5044"/>
    <w:rsid w:val="00EE5DAF"/>
    <w:rsid w:val="00EE5E4B"/>
    <w:rsid w:val="00EE68CB"/>
    <w:rsid w:val="00EE6967"/>
    <w:rsid w:val="00EE6B29"/>
    <w:rsid w:val="00EE6BDE"/>
    <w:rsid w:val="00EE6CE2"/>
    <w:rsid w:val="00EE6CE9"/>
    <w:rsid w:val="00EE76A7"/>
    <w:rsid w:val="00EE77E6"/>
    <w:rsid w:val="00EE7C18"/>
    <w:rsid w:val="00EE7F9A"/>
    <w:rsid w:val="00EF0D9D"/>
    <w:rsid w:val="00EF201D"/>
    <w:rsid w:val="00EF2549"/>
    <w:rsid w:val="00EF2737"/>
    <w:rsid w:val="00EF2C5C"/>
    <w:rsid w:val="00EF30D2"/>
    <w:rsid w:val="00EF3170"/>
    <w:rsid w:val="00EF3570"/>
    <w:rsid w:val="00EF43EB"/>
    <w:rsid w:val="00EF4615"/>
    <w:rsid w:val="00EF5343"/>
    <w:rsid w:val="00EF591C"/>
    <w:rsid w:val="00EF5DCC"/>
    <w:rsid w:val="00EF5ED9"/>
    <w:rsid w:val="00EF5F00"/>
    <w:rsid w:val="00EF616D"/>
    <w:rsid w:val="00EF644B"/>
    <w:rsid w:val="00EF6E8D"/>
    <w:rsid w:val="00EF71FE"/>
    <w:rsid w:val="00F00080"/>
    <w:rsid w:val="00F004A6"/>
    <w:rsid w:val="00F00842"/>
    <w:rsid w:val="00F00C63"/>
    <w:rsid w:val="00F0172C"/>
    <w:rsid w:val="00F01741"/>
    <w:rsid w:val="00F01E2A"/>
    <w:rsid w:val="00F022E4"/>
    <w:rsid w:val="00F024CC"/>
    <w:rsid w:val="00F02F87"/>
    <w:rsid w:val="00F054F6"/>
    <w:rsid w:val="00F059B1"/>
    <w:rsid w:val="00F0621D"/>
    <w:rsid w:val="00F066CB"/>
    <w:rsid w:val="00F069B7"/>
    <w:rsid w:val="00F073E7"/>
    <w:rsid w:val="00F074C1"/>
    <w:rsid w:val="00F07A98"/>
    <w:rsid w:val="00F10DFD"/>
    <w:rsid w:val="00F10ECB"/>
    <w:rsid w:val="00F11F74"/>
    <w:rsid w:val="00F12DC1"/>
    <w:rsid w:val="00F12DF9"/>
    <w:rsid w:val="00F13125"/>
    <w:rsid w:val="00F13C89"/>
    <w:rsid w:val="00F145AA"/>
    <w:rsid w:val="00F149EF"/>
    <w:rsid w:val="00F1688C"/>
    <w:rsid w:val="00F16DBD"/>
    <w:rsid w:val="00F1745A"/>
    <w:rsid w:val="00F17AB2"/>
    <w:rsid w:val="00F17D20"/>
    <w:rsid w:val="00F17F1B"/>
    <w:rsid w:val="00F17FD8"/>
    <w:rsid w:val="00F2028B"/>
    <w:rsid w:val="00F2059A"/>
    <w:rsid w:val="00F20D93"/>
    <w:rsid w:val="00F211C2"/>
    <w:rsid w:val="00F21226"/>
    <w:rsid w:val="00F21818"/>
    <w:rsid w:val="00F226B3"/>
    <w:rsid w:val="00F23330"/>
    <w:rsid w:val="00F23A17"/>
    <w:rsid w:val="00F24217"/>
    <w:rsid w:val="00F2429E"/>
    <w:rsid w:val="00F24520"/>
    <w:rsid w:val="00F24902"/>
    <w:rsid w:val="00F2496F"/>
    <w:rsid w:val="00F26735"/>
    <w:rsid w:val="00F26999"/>
    <w:rsid w:val="00F26AB6"/>
    <w:rsid w:val="00F26B1C"/>
    <w:rsid w:val="00F27530"/>
    <w:rsid w:val="00F27E30"/>
    <w:rsid w:val="00F27F17"/>
    <w:rsid w:val="00F30E12"/>
    <w:rsid w:val="00F310F5"/>
    <w:rsid w:val="00F313F7"/>
    <w:rsid w:val="00F31DBE"/>
    <w:rsid w:val="00F31F40"/>
    <w:rsid w:val="00F334BC"/>
    <w:rsid w:val="00F33903"/>
    <w:rsid w:val="00F33D9B"/>
    <w:rsid w:val="00F33FD0"/>
    <w:rsid w:val="00F3497F"/>
    <w:rsid w:val="00F34C84"/>
    <w:rsid w:val="00F35074"/>
    <w:rsid w:val="00F35E4B"/>
    <w:rsid w:val="00F35E86"/>
    <w:rsid w:val="00F36177"/>
    <w:rsid w:val="00F36225"/>
    <w:rsid w:val="00F363F5"/>
    <w:rsid w:val="00F3662C"/>
    <w:rsid w:val="00F36D54"/>
    <w:rsid w:val="00F36EDF"/>
    <w:rsid w:val="00F37032"/>
    <w:rsid w:val="00F3765E"/>
    <w:rsid w:val="00F37D14"/>
    <w:rsid w:val="00F37D29"/>
    <w:rsid w:val="00F40732"/>
    <w:rsid w:val="00F4111F"/>
    <w:rsid w:val="00F4126F"/>
    <w:rsid w:val="00F41618"/>
    <w:rsid w:val="00F418CA"/>
    <w:rsid w:val="00F41E7F"/>
    <w:rsid w:val="00F422A0"/>
    <w:rsid w:val="00F42302"/>
    <w:rsid w:val="00F423D6"/>
    <w:rsid w:val="00F427A1"/>
    <w:rsid w:val="00F4323A"/>
    <w:rsid w:val="00F43298"/>
    <w:rsid w:val="00F44225"/>
    <w:rsid w:val="00F44433"/>
    <w:rsid w:val="00F44C05"/>
    <w:rsid w:val="00F4505E"/>
    <w:rsid w:val="00F4581F"/>
    <w:rsid w:val="00F45847"/>
    <w:rsid w:val="00F461E1"/>
    <w:rsid w:val="00F46AC5"/>
    <w:rsid w:val="00F46EBD"/>
    <w:rsid w:val="00F46F60"/>
    <w:rsid w:val="00F473DB"/>
    <w:rsid w:val="00F4788E"/>
    <w:rsid w:val="00F47C22"/>
    <w:rsid w:val="00F47ECD"/>
    <w:rsid w:val="00F50A28"/>
    <w:rsid w:val="00F51F6C"/>
    <w:rsid w:val="00F526F0"/>
    <w:rsid w:val="00F52860"/>
    <w:rsid w:val="00F53756"/>
    <w:rsid w:val="00F54494"/>
    <w:rsid w:val="00F548D9"/>
    <w:rsid w:val="00F554C7"/>
    <w:rsid w:val="00F554E1"/>
    <w:rsid w:val="00F56046"/>
    <w:rsid w:val="00F5624E"/>
    <w:rsid w:val="00F56275"/>
    <w:rsid w:val="00F57514"/>
    <w:rsid w:val="00F601BD"/>
    <w:rsid w:val="00F608A8"/>
    <w:rsid w:val="00F608FD"/>
    <w:rsid w:val="00F60D90"/>
    <w:rsid w:val="00F61528"/>
    <w:rsid w:val="00F62ECE"/>
    <w:rsid w:val="00F63012"/>
    <w:rsid w:val="00F643CF"/>
    <w:rsid w:val="00F647B3"/>
    <w:rsid w:val="00F654D2"/>
    <w:rsid w:val="00F65BB0"/>
    <w:rsid w:val="00F65C7E"/>
    <w:rsid w:val="00F65EEA"/>
    <w:rsid w:val="00F66804"/>
    <w:rsid w:val="00F6736D"/>
    <w:rsid w:val="00F674F3"/>
    <w:rsid w:val="00F70638"/>
    <w:rsid w:val="00F71500"/>
    <w:rsid w:val="00F72ADC"/>
    <w:rsid w:val="00F72BD4"/>
    <w:rsid w:val="00F74529"/>
    <w:rsid w:val="00F74DCD"/>
    <w:rsid w:val="00F75810"/>
    <w:rsid w:val="00F77452"/>
    <w:rsid w:val="00F77832"/>
    <w:rsid w:val="00F80250"/>
    <w:rsid w:val="00F8158D"/>
    <w:rsid w:val="00F81696"/>
    <w:rsid w:val="00F81A92"/>
    <w:rsid w:val="00F81FBB"/>
    <w:rsid w:val="00F821DC"/>
    <w:rsid w:val="00F82809"/>
    <w:rsid w:val="00F83036"/>
    <w:rsid w:val="00F836DF"/>
    <w:rsid w:val="00F839EC"/>
    <w:rsid w:val="00F83DB4"/>
    <w:rsid w:val="00F852B9"/>
    <w:rsid w:val="00F87266"/>
    <w:rsid w:val="00F8779F"/>
    <w:rsid w:val="00F87B3C"/>
    <w:rsid w:val="00F87C07"/>
    <w:rsid w:val="00F91733"/>
    <w:rsid w:val="00F91FFC"/>
    <w:rsid w:val="00F92499"/>
    <w:rsid w:val="00F92869"/>
    <w:rsid w:val="00F92CB6"/>
    <w:rsid w:val="00F92E34"/>
    <w:rsid w:val="00F944E8"/>
    <w:rsid w:val="00F95E08"/>
    <w:rsid w:val="00F96413"/>
    <w:rsid w:val="00F9680D"/>
    <w:rsid w:val="00F96BFC"/>
    <w:rsid w:val="00F972F5"/>
    <w:rsid w:val="00F9787B"/>
    <w:rsid w:val="00F97C4F"/>
    <w:rsid w:val="00F97F8F"/>
    <w:rsid w:val="00FA0B2E"/>
    <w:rsid w:val="00FA0DF1"/>
    <w:rsid w:val="00FA1456"/>
    <w:rsid w:val="00FA16AC"/>
    <w:rsid w:val="00FA18BC"/>
    <w:rsid w:val="00FA1BD0"/>
    <w:rsid w:val="00FA471A"/>
    <w:rsid w:val="00FA4B4E"/>
    <w:rsid w:val="00FA4C50"/>
    <w:rsid w:val="00FA5371"/>
    <w:rsid w:val="00FA53A0"/>
    <w:rsid w:val="00FA57F4"/>
    <w:rsid w:val="00FA586C"/>
    <w:rsid w:val="00FA5EA2"/>
    <w:rsid w:val="00FA6B07"/>
    <w:rsid w:val="00FA7246"/>
    <w:rsid w:val="00FA746E"/>
    <w:rsid w:val="00FA77D3"/>
    <w:rsid w:val="00FB059F"/>
    <w:rsid w:val="00FB070C"/>
    <w:rsid w:val="00FB10E2"/>
    <w:rsid w:val="00FB1AA2"/>
    <w:rsid w:val="00FB1E0E"/>
    <w:rsid w:val="00FB1EBA"/>
    <w:rsid w:val="00FB20AE"/>
    <w:rsid w:val="00FB21FE"/>
    <w:rsid w:val="00FB25D6"/>
    <w:rsid w:val="00FB2E91"/>
    <w:rsid w:val="00FB3FB8"/>
    <w:rsid w:val="00FB4090"/>
    <w:rsid w:val="00FB4320"/>
    <w:rsid w:val="00FB4A3C"/>
    <w:rsid w:val="00FB5528"/>
    <w:rsid w:val="00FB61D8"/>
    <w:rsid w:val="00FB6AEC"/>
    <w:rsid w:val="00FB6B8E"/>
    <w:rsid w:val="00FB6D6B"/>
    <w:rsid w:val="00FB78BE"/>
    <w:rsid w:val="00FB7A80"/>
    <w:rsid w:val="00FC071A"/>
    <w:rsid w:val="00FC106B"/>
    <w:rsid w:val="00FC1664"/>
    <w:rsid w:val="00FC21B7"/>
    <w:rsid w:val="00FC3BE5"/>
    <w:rsid w:val="00FC58AA"/>
    <w:rsid w:val="00FC5DA4"/>
    <w:rsid w:val="00FC5FC2"/>
    <w:rsid w:val="00FC6420"/>
    <w:rsid w:val="00FC693A"/>
    <w:rsid w:val="00FC6DBC"/>
    <w:rsid w:val="00FC715B"/>
    <w:rsid w:val="00FD00A9"/>
    <w:rsid w:val="00FD06B9"/>
    <w:rsid w:val="00FD154A"/>
    <w:rsid w:val="00FD15BB"/>
    <w:rsid w:val="00FD1AC8"/>
    <w:rsid w:val="00FD1F05"/>
    <w:rsid w:val="00FD2807"/>
    <w:rsid w:val="00FD2A71"/>
    <w:rsid w:val="00FD345A"/>
    <w:rsid w:val="00FD375A"/>
    <w:rsid w:val="00FD4BAA"/>
    <w:rsid w:val="00FD4BAF"/>
    <w:rsid w:val="00FD5679"/>
    <w:rsid w:val="00FD607E"/>
    <w:rsid w:val="00FD76D1"/>
    <w:rsid w:val="00FD7A2B"/>
    <w:rsid w:val="00FD7D46"/>
    <w:rsid w:val="00FD7DB3"/>
    <w:rsid w:val="00FE06E4"/>
    <w:rsid w:val="00FE079A"/>
    <w:rsid w:val="00FE111B"/>
    <w:rsid w:val="00FE14D1"/>
    <w:rsid w:val="00FE1AB8"/>
    <w:rsid w:val="00FE1B13"/>
    <w:rsid w:val="00FE1BB9"/>
    <w:rsid w:val="00FE28A8"/>
    <w:rsid w:val="00FE2A1D"/>
    <w:rsid w:val="00FE34E1"/>
    <w:rsid w:val="00FE509F"/>
    <w:rsid w:val="00FE560D"/>
    <w:rsid w:val="00FE614C"/>
    <w:rsid w:val="00FE6511"/>
    <w:rsid w:val="00FE6581"/>
    <w:rsid w:val="00FE774F"/>
    <w:rsid w:val="00FF00CE"/>
    <w:rsid w:val="00FF02DE"/>
    <w:rsid w:val="00FF0428"/>
    <w:rsid w:val="00FF12A1"/>
    <w:rsid w:val="00FF136F"/>
    <w:rsid w:val="00FF18AF"/>
    <w:rsid w:val="00FF18E4"/>
    <w:rsid w:val="00FF1FEC"/>
    <w:rsid w:val="00FF24AC"/>
    <w:rsid w:val="00FF2AB4"/>
    <w:rsid w:val="00FF3BDD"/>
    <w:rsid w:val="00FF5C23"/>
    <w:rsid w:val="00FF6207"/>
    <w:rsid w:val="00FF7354"/>
    <w:rsid w:val="038DE138"/>
    <w:rsid w:val="04D5790C"/>
    <w:rsid w:val="0743F67D"/>
    <w:rsid w:val="07F3F171"/>
    <w:rsid w:val="08E16F4D"/>
    <w:rsid w:val="09A3C883"/>
    <w:rsid w:val="0A7B973F"/>
    <w:rsid w:val="0C24A763"/>
    <w:rsid w:val="1418F963"/>
    <w:rsid w:val="143AD799"/>
    <w:rsid w:val="1448869B"/>
    <w:rsid w:val="1CF97047"/>
    <w:rsid w:val="1D8FDE37"/>
    <w:rsid w:val="1F53F155"/>
    <w:rsid w:val="1F9BCB0B"/>
    <w:rsid w:val="208A7590"/>
    <w:rsid w:val="20C77EF9"/>
    <w:rsid w:val="26E08EB7"/>
    <w:rsid w:val="32DF66B8"/>
    <w:rsid w:val="3386C31B"/>
    <w:rsid w:val="374F19EE"/>
    <w:rsid w:val="3A46A777"/>
    <w:rsid w:val="3A95FD49"/>
    <w:rsid w:val="3DCD9E0B"/>
    <w:rsid w:val="3DF1A84B"/>
    <w:rsid w:val="3E9CB5A9"/>
    <w:rsid w:val="3F09B1EC"/>
    <w:rsid w:val="3F696E6C"/>
    <w:rsid w:val="41F901C0"/>
    <w:rsid w:val="44E38700"/>
    <w:rsid w:val="452BC0C3"/>
    <w:rsid w:val="4843B82F"/>
    <w:rsid w:val="4C12D496"/>
    <w:rsid w:val="506A2F16"/>
    <w:rsid w:val="5078E4CF"/>
    <w:rsid w:val="5214B530"/>
    <w:rsid w:val="52C4B024"/>
    <w:rsid w:val="554AFA95"/>
    <w:rsid w:val="5617D628"/>
    <w:rsid w:val="56508973"/>
    <w:rsid w:val="57B3A689"/>
    <w:rsid w:val="57EC59D4"/>
    <w:rsid w:val="58F2868E"/>
    <w:rsid w:val="591539A5"/>
    <w:rsid w:val="5E8EF2C9"/>
    <w:rsid w:val="63A03FB6"/>
    <w:rsid w:val="63C0B593"/>
    <w:rsid w:val="655752EB"/>
    <w:rsid w:val="67F63AF5"/>
    <w:rsid w:val="68D39812"/>
    <w:rsid w:val="690F68EE"/>
    <w:rsid w:val="69EF2863"/>
    <w:rsid w:val="6ACF1B56"/>
    <w:rsid w:val="6C6AEBB7"/>
    <w:rsid w:val="6D80C748"/>
    <w:rsid w:val="6E39707E"/>
    <w:rsid w:val="6EE6B383"/>
    <w:rsid w:val="6F658215"/>
    <w:rsid w:val="72621C44"/>
    <w:rsid w:val="72E50E23"/>
    <w:rsid w:val="73E71790"/>
    <w:rsid w:val="744C3AF5"/>
    <w:rsid w:val="76B2855D"/>
    <w:rsid w:val="7717C61C"/>
    <w:rsid w:val="79A336F2"/>
    <w:rsid w:val="7A12F5BC"/>
    <w:rsid w:val="7A7E9BD1"/>
    <w:rsid w:val="7CB28F6A"/>
    <w:rsid w:val="7CF400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903C4E1"/>
  <w15:docId w15:val="{88780BB5-900D-4F75-A21B-1B4EB10D1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8" w:qFormat="1"/>
    <w:lsdException w:name="heading 2" w:uiPriority="8" w:qFormat="1"/>
    <w:lsdException w:name="heading 3" w:uiPriority="8" w:qFormat="1"/>
    <w:lsdException w:name="heading 4" w:uiPriority="8" w:qFormat="1"/>
    <w:lsdException w:name="heading 5" w:uiPriority="8" w:qFormat="1"/>
    <w:lsdException w:name="heading 6" w:uiPriority="8" w:qFormat="1"/>
    <w:lsdException w:name="heading 7" w:semiHidden="1" w:uiPriority="8" w:unhideWhenUsed="1" w:qFormat="1"/>
    <w:lsdException w:name="heading 8" w:semiHidden="1" w:uiPriority="54" w:unhideWhenUsed="1" w:qFormat="1"/>
    <w:lsdException w:name="heading 9" w:semiHidden="1" w:uiPriority="5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16"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774B41"/>
    <w:pPr>
      <w:spacing w:line="264" w:lineRule="auto"/>
    </w:pPr>
    <w:rPr>
      <w:sz w:val="24"/>
    </w:rPr>
  </w:style>
  <w:style w:type="paragraph" w:styleId="Heading1">
    <w:name w:val="heading 1"/>
    <w:basedOn w:val="Normal"/>
    <w:next w:val="BodyText"/>
    <w:link w:val="Heading1Char"/>
    <w:uiPriority w:val="8"/>
    <w:qFormat/>
    <w:rsid w:val="000277E9"/>
    <w:pPr>
      <w:pageBreakBefore/>
      <w:numPr>
        <w:numId w:val="1"/>
      </w:numPr>
      <w:pBdr>
        <w:bottom w:val="single" w:sz="18" w:space="1" w:color="000000"/>
      </w:pBdr>
      <w:spacing w:after="600"/>
      <w:outlineLvl w:val="0"/>
    </w:pPr>
    <w:rPr>
      <w:rFonts w:ascii="Arial" w:hAnsi="Arial"/>
      <w:b/>
      <w:bCs/>
      <w:sz w:val="36"/>
      <w:szCs w:val="32"/>
    </w:rPr>
  </w:style>
  <w:style w:type="paragraph" w:styleId="Heading2">
    <w:name w:val="heading 2"/>
    <w:basedOn w:val="Normal"/>
    <w:next w:val="BodyText"/>
    <w:link w:val="Heading2Char"/>
    <w:uiPriority w:val="8"/>
    <w:qFormat/>
    <w:rsid w:val="008A1C30"/>
    <w:pPr>
      <w:keepNext/>
      <w:numPr>
        <w:ilvl w:val="1"/>
        <w:numId w:val="1"/>
      </w:numPr>
      <w:spacing w:after="240"/>
      <w:outlineLvl w:val="1"/>
    </w:pPr>
    <w:rPr>
      <w:rFonts w:ascii="Arial" w:hAnsi="Arial"/>
      <w:b/>
      <w:bCs/>
      <w:iCs/>
      <w:sz w:val="28"/>
      <w:szCs w:val="28"/>
    </w:rPr>
  </w:style>
  <w:style w:type="paragraph" w:styleId="Heading3">
    <w:name w:val="heading 3"/>
    <w:basedOn w:val="Normal"/>
    <w:next w:val="BodyText"/>
    <w:link w:val="Heading3Char"/>
    <w:uiPriority w:val="8"/>
    <w:qFormat/>
    <w:rsid w:val="000277E9"/>
    <w:pPr>
      <w:keepNext/>
      <w:numPr>
        <w:ilvl w:val="2"/>
        <w:numId w:val="1"/>
      </w:numPr>
      <w:spacing w:after="240"/>
      <w:outlineLvl w:val="2"/>
    </w:pPr>
    <w:rPr>
      <w:rFonts w:ascii="Arial" w:hAnsi="Arial" w:cs="Arial"/>
      <w:b/>
      <w:bCs/>
      <w:i/>
      <w:sz w:val="26"/>
      <w:szCs w:val="26"/>
    </w:rPr>
  </w:style>
  <w:style w:type="paragraph" w:styleId="Heading4">
    <w:name w:val="heading 4"/>
    <w:basedOn w:val="Normal"/>
    <w:next w:val="BodyText"/>
    <w:link w:val="Heading4Char"/>
    <w:uiPriority w:val="8"/>
    <w:qFormat/>
    <w:rsid w:val="000277E9"/>
    <w:pPr>
      <w:keepNext/>
      <w:numPr>
        <w:ilvl w:val="3"/>
        <w:numId w:val="1"/>
      </w:numPr>
      <w:tabs>
        <w:tab w:val="clear" w:pos="4446"/>
        <w:tab w:val="num" w:pos="936"/>
      </w:tabs>
      <w:spacing w:after="240"/>
      <w:ind w:left="936"/>
      <w:outlineLvl w:val="3"/>
    </w:pPr>
    <w:rPr>
      <w:rFonts w:ascii="Arial Narrow" w:hAnsi="Arial Narrow"/>
      <w:b/>
      <w:bCs/>
      <w:szCs w:val="24"/>
    </w:rPr>
  </w:style>
  <w:style w:type="paragraph" w:styleId="Heading5">
    <w:name w:val="heading 5"/>
    <w:aliases w:val="Heading 5 - No Number- IN TOC"/>
    <w:basedOn w:val="Normal"/>
    <w:next w:val="BodyText"/>
    <w:link w:val="Heading5Char"/>
    <w:uiPriority w:val="8"/>
    <w:qFormat/>
    <w:rsid w:val="000277E9"/>
    <w:pPr>
      <w:pageBreakBefore/>
      <w:pBdr>
        <w:bottom w:val="single" w:sz="18" w:space="1" w:color="auto"/>
      </w:pBdr>
      <w:spacing w:after="600"/>
      <w:outlineLvl w:val="4"/>
    </w:pPr>
    <w:rPr>
      <w:rFonts w:ascii="Arial" w:hAnsi="Arial"/>
      <w:b/>
      <w:bCs/>
      <w:iCs/>
      <w:sz w:val="36"/>
      <w:szCs w:val="26"/>
    </w:rPr>
  </w:style>
  <w:style w:type="paragraph" w:styleId="Heading6">
    <w:name w:val="heading 6"/>
    <w:aliases w:val="Heading 6 - Use this for Appendix Heading"/>
    <w:basedOn w:val="Normal"/>
    <w:next w:val="Normal"/>
    <w:link w:val="Heading6Char"/>
    <w:uiPriority w:val="8"/>
    <w:qFormat/>
    <w:rsid w:val="000277E9"/>
    <w:pPr>
      <w:pageBreakBefore/>
      <w:numPr>
        <w:ilvl w:val="5"/>
        <w:numId w:val="1"/>
      </w:numPr>
      <w:pBdr>
        <w:bottom w:val="single" w:sz="18" w:space="1" w:color="auto"/>
      </w:pBdr>
      <w:spacing w:after="600"/>
      <w:outlineLvl w:val="5"/>
    </w:pPr>
    <w:rPr>
      <w:rFonts w:ascii="Arial" w:hAnsi="Arial"/>
      <w:b/>
      <w:bCs/>
      <w:sz w:val="36"/>
      <w:szCs w:val="22"/>
    </w:rPr>
  </w:style>
  <w:style w:type="paragraph" w:styleId="Heading7">
    <w:name w:val="heading 7"/>
    <w:basedOn w:val="Normal"/>
    <w:next w:val="Normal"/>
    <w:link w:val="Heading7Char"/>
    <w:uiPriority w:val="8"/>
    <w:qFormat/>
    <w:rsid w:val="00BD2E8C"/>
    <w:pPr>
      <w:numPr>
        <w:ilvl w:val="6"/>
        <w:numId w:val="1"/>
      </w:numPr>
      <w:spacing w:before="240" w:after="60"/>
      <w:outlineLvl w:val="6"/>
    </w:pPr>
    <w:rPr>
      <w:b/>
      <w:sz w:val="26"/>
      <w:szCs w:val="24"/>
    </w:rPr>
  </w:style>
  <w:style w:type="paragraph" w:styleId="Heading8">
    <w:name w:val="heading 8"/>
    <w:basedOn w:val="Normal"/>
    <w:next w:val="Normal"/>
    <w:link w:val="Heading8Char"/>
    <w:uiPriority w:val="54"/>
    <w:qFormat/>
    <w:rsid w:val="00BD2E8C"/>
    <w:pPr>
      <w:numPr>
        <w:ilvl w:val="7"/>
        <w:numId w:val="1"/>
      </w:numPr>
      <w:spacing w:before="240" w:after="60"/>
      <w:outlineLvl w:val="7"/>
    </w:pPr>
    <w:rPr>
      <w:b/>
      <w:iCs/>
      <w:szCs w:val="24"/>
    </w:rPr>
  </w:style>
  <w:style w:type="paragraph" w:styleId="Heading9">
    <w:name w:val="heading 9"/>
    <w:basedOn w:val="Normal"/>
    <w:next w:val="Normal"/>
    <w:link w:val="Heading9Char"/>
    <w:uiPriority w:val="54"/>
    <w:qFormat/>
    <w:rsid w:val="000277E9"/>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0277E9"/>
    <w:pPr>
      <w:spacing w:after="240"/>
    </w:pPr>
  </w:style>
  <w:style w:type="character" w:customStyle="1" w:styleId="Heading4Char">
    <w:name w:val="Heading 4 Char"/>
    <w:basedOn w:val="DefaultParagraphFont"/>
    <w:link w:val="Heading4"/>
    <w:uiPriority w:val="8"/>
    <w:rsid w:val="000277E9"/>
    <w:rPr>
      <w:rFonts w:ascii="Arial Narrow" w:hAnsi="Arial Narrow"/>
      <w:b/>
      <w:bCs/>
      <w:sz w:val="24"/>
      <w:szCs w:val="24"/>
    </w:rPr>
  </w:style>
  <w:style w:type="paragraph" w:customStyle="1" w:styleId="AppendixTitle">
    <w:name w:val="AppendixTitle"/>
    <w:basedOn w:val="Style2"/>
    <w:next w:val="BodyText"/>
    <w:rsid w:val="005B1231"/>
    <w:pPr>
      <w:spacing w:before="120" w:after="120"/>
    </w:pPr>
    <w:rPr>
      <w:sz w:val="28"/>
    </w:rPr>
  </w:style>
  <w:style w:type="paragraph" w:customStyle="1" w:styleId="Style2">
    <w:name w:val="Style2"/>
    <w:semiHidden/>
    <w:rsid w:val="000277E9"/>
    <w:rPr>
      <w:rFonts w:ascii="Arial" w:hAnsi="Arial"/>
      <w:b/>
      <w:sz w:val="24"/>
    </w:rPr>
  </w:style>
  <w:style w:type="paragraph" w:styleId="TOC1">
    <w:name w:val="toc 1"/>
    <w:basedOn w:val="Normal"/>
    <w:next w:val="Normal"/>
    <w:uiPriority w:val="39"/>
    <w:rsid w:val="000277E9"/>
    <w:pPr>
      <w:pBdr>
        <w:bottom w:val="single" w:sz="8" w:space="1" w:color="auto"/>
        <w:between w:val="single" w:sz="8" w:space="1" w:color="auto"/>
      </w:pBdr>
      <w:tabs>
        <w:tab w:val="left" w:pos="792"/>
        <w:tab w:val="right" w:pos="8990"/>
      </w:tabs>
      <w:spacing w:before="240" w:line="240" w:lineRule="auto"/>
      <w:ind w:left="720" w:hanging="720"/>
    </w:pPr>
    <w:rPr>
      <w:rFonts w:ascii="Arial" w:hAnsi="Arial"/>
      <w:b/>
    </w:rPr>
  </w:style>
  <w:style w:type="paragraph" w:styleId="Header">
    <w:name w:val="header"/>
    <w:basedOn w:val="Normal"/>
    <w:link w:val="HeaderChar"/>
    <w:uiPriority w:val="16"/>
    <w:rsid w:val="000277E9"/>
    <w:pPr>
      <w:tabs>
        <w:tab w:val="center" w:pos="4320"/>
        <w:tab w:val="right" w:pos="8640"/>
      </w:tabs>
      <w:spacing w:line="240" w:lineRule="auto"/>
      <w:ind w:right="4680"/>
    </w:pPr>
    <w:rPr>
      <w:rFonts w:ascii="Arial" w:hAnsi="Arial"/>
      <w:b/>
      <w:sz w:val="16"/>
    </w:rPr>
  </w:style>
  <w:style w:type="paragraph" w:styleId="Footer">
    <w:name w:val="footer"/>
    <w:basedOn w:val="Normal"/>
    <w:link w:val="FooterChar"/>
    <w:uiPriority w:val="99"/>
    <w:rsid w:val="000277E9"/>
    <w:pPr>
      <w:pBdr>
        <w:top w:val="single" w:sz="8" w:space="1" w:color="auto"/>
      </w:pBdr>
      <w:tabs>
        <w:tab w:val="center" w:pos="4320"/>
        <w:tab w:val="right" w:pos="8640"/>
      </w:tabs>
    </w:pPr>
    <w:rPr>
      <w:rFonts w:ascii="Arial" w:hAnsi="Arial"/>
      <w:sz w:val="22"/>
    </w:rPr>
  </w:style>
  <w:style w:type="character" w:styleId="PageNumber">
    <w:name w:val="page number"/>
    <w:semiHidden/>
    <w:rsid w:val="000277E9"/>
    <w:rPr>
      <w:rFonts w:ascii="Times New Roman" w:hAnsi="Times New Roman"/>
      <w:sz w:val="24"/>
    </w:rPr>
  </w:style>
  <w:style w:type="paragraph" w:styleId="TOC2">
    <w:name w:val="toc 2"/>
    <w:basedOn w:val="Normal"/>
    <w:next w:val="Normal"/>
    <w:uiPriority w:val="39"/>
    <w:rsid w:val="000277E9"/>
    <w:pPr>
      <w:tabs>
        <w:tab w:val="left" w:pos="1512"/>
        <w:tab w:val="right" w:pos="8990"/>
      </w:tabs>
      <w:spacing w:line="240" w:lineRule="auto"/>
      <w:ind w:left="1512" w:hanging="720"/>
    </w:pPr>
  </w:style>
  <w:style w:type="paragraph" w:customStyle="1" w:styleId="Style1">
    <w:name w:val="Style1"/>
    <w:basedOn w:val="Normal"/>
    <w:next w:val="Normal"/>
    <w:autoRedefine/>
    <w:semiHidden/>
    <w:rsid w:val="000277E9"/>
    <w:pPr>
      <w:pBdr>
        <w:bottom w:val="single" w:sz="36" w:space="1" w:color="auto"/>
      </w:pBdr>
      <w:spacing w:after="640"/>
    </w:pPr>
    <w:rPr>
      <w:rFonts w:ascii="Arial" w:hAnsi="Arial"/>
      <w:b/>
      <w:sz w:val="36"/>
    </w:rPr>
  </w:style>
  <w:style w:type="paragraph" w:styleId="TOC3">
    <w:name w:val="toc 3"/>
    <w:basedOn w:val="Normal"/>
    <w:next w:val="Normal"/>
    <w:uiPriority w:val="39"/>
    <w:rsid w:val="000277E9"/>
    <w:pPr>
      <w:spacing w:line="240" w:lineRule="auto"/>
      <w:ind w:left="2232" w:hanging="720"/>
    </w:pPr>
  </w:style>
  <w:style w:type="paragraph" w:styleId="TOC4">
    <w:name w:val="toc 4"/>
    <w:basedOn w:val="Normal"/>
    <w:next w:val="Normal"/>
    <w:uiPriority w:val="39"/>
    <w:rsid w:val="000277E9"/>
    <w:pPr>
      <w:spacing w:line="240" w:lineRule="auto"/>
      <w:ind w:left="2952" w:hanging="720"/>
    </w:pPr>
  </w:style>
  <w:style w:type="paragraph" w:styleId="TOC5">
    <w:name w:val="toc 5"/>
    <w:basedOn w:val="Normal"/>
    <w:next w:val="Normal"/>
    <w:uiPriority w:val="39"/>
    <w:rsid w:val="000277E9"/>
    <w:pPr>
      <w:pBdr>
        <w:bottom w:val="single" w:sz="8" w:space="1" w:color="auto"/>
        <w:between w:val="single" w:sz="8" w:space="1" w:color="auto"/>
      </w:pBdr>
      <w:tabs>
        <w:tab w:val="right" w:pos="8990"/>
      </w:tabs>
      <w:spacing w:before="240" w:line="240" w:lineRule="auto"/>
    </w:pPr>
    <w:rPr>
      <w:rFonts w:ascii="Arial" w:hAnsi="Arial"/>
      <w:b/>
    </w:rPr>
  </w:style>
  <w:style w:type="paragraph" w:styleId="TOC6">
    <w:name w:val="toc 6"/>
    <w:basedOn w:val="Normal"/>
    <w:next w:val="Normal"/>
    <w:semiHidden/>
    <w:rsid w:val="000277E9"/>
    <w:pPr>
      <w:ind w:left="1200"/>
    </w:pPr>
  </w:style>
  <w:style w:type="paragraph" w:styleId="TOC7">
    <w:name w:val="toc 7"/>
    <w:basedOn w:val="Normal"/>
    <w:next w:val="Normal"/>
    <w:semiHidden/>
    <w:rsid w:val="000277E9"/>
    <w:pPr>
      <w:ind w:left="1440"/>
    </w:pPr>
  </w:style>
  <w:style w:type="paragraph" w:styleId="TOC8">
    <w:name w:val="toc 8"/>
    <w:basedOn w:val="Normal"/>
    <w:next w:val="Normal"/>
    <w:semiHidden/>
    <w:rsid w:val="000277E9"/>
    <w:pPr>
      <w:ind w:left="1680"/>
    </w:pPr>
  </w:style>
  <w:style w:type="paragraph" w:styleId="TOC9">
    <w:name w:val="toc 9"/>
    <w:basedOn w:val="Normal"/>
    <w:next w:val="Normal"/>
    <w:semiHidden/>
    <w:rsid w:val="000277E9"/>
    <w:pPr>
      <w:ind w:left="1920"/>
    </w:pPr>
  </w:style>
  <w:style w:type="character" w:styleId="Hyperlink">
    <w:name w:val="Hyperlink"/>
    <w:uiPriority w:val="99"/>
    <w:rsid w:val="000277E9"/>
    <w:rPr>
      <w:color w:val="0000FF"/>
      <w:u w:val="single"/>
    </w:rPr>
  </w:style>
  <w:style w:type="paragraph" w:styleId="PlainText">
    <w:name w:val="Plain Text"/>
    <w:basedOn w:val="Normal"/>
    <w:link w:val="PlainTextChar"/>
    <w:uiPriority w:val="99"/>
    <w:semiHidden/>
    <w:rsid w:val="000277E9"/>
    <w:pPr>
      <w:spacing w:line="240" w:lineRule="auto"/>
    </w:pPr>
    <w:rPr>
      <w:rFonts w:ascii="Courier New" w:hAnsi="Courier New" w:cs="Courier New"/>
      <w:sz w:val="20"/>
    </w:rPr>
  </w:style>
  <w:style w:type="paragraph" w:customStyle="1" w:styleId="Style3">
    <w:name w:val="Style3"/>
    <w:basedOn w:val="PlainText"/>
    <w:semiHidden/>
    <w:rsid w:val="000277E9"/>
    <w:pPr>
      <w:spacing w:before="80" w:after="80"/>
    </w:pPr>
    <w:rPr>
      <w:rFonts w:ascii="Arial" w:eastAsia="MS Mincho" w:hAnsi="Arial"/>
      <w:sz w:val="18"/>
    </w:rPr>
  </w:style>
  <w:style w:type="paragraph" w:styleId="BodyText2">
    <w:name w:val="Body Text 2"/>
    <w:basedOn w:val="Normal"/>
    <w:link w:val="BodyText2Char"/>
    <w:semiHidden/>
    <w:rsid w:val="000277E9"/>
    <w:rPr>
      <w:color w:val="FF0000"/>
    </w:rPr>
  </w:style>
  <w:style w:type="paragraph" w:customStyle="1" w:styleId="TP1">
    <w:name w:val="TP1"/>
    <w:basedOn w:val="PlainText"/>
    <w:semiHidden/>
    <w:rsid w:val="000277E9"/>
    <w:pPr>
      <w:jc w:val="center"/>
    </w:pPr>
    <w:rPr>
      <w:rFonts w:ascii="Arial" w:hAnsi="Arial"/>
      <w:b/>
      <w:sz w:val="36"/>
    </w:rPr>
  </w:style>
  <w:style w:type="paragraph" w:customStyle="1" w:styleId="TP2">
    <w:name w:val="TP2"/>
    <w:basedOn w:val="TP1"/>
    <w:semiHidden/>
    <w:rsid w:val="000277E9"/>
    <w:rPr>
      <w:b w:val="0"/>
      <w:sz w:val="24"/>
    </w:rPr>
  </w:style>
  <w:style w:type="paragraph" w:customStyle="1" w:styleId="TP3">
    <w:name w:val="TP3"/>
    <w:basedOn w:val="TP2"/>
    <w:semiHidden/>
    <w:rsid w:val="000277E9"/>
    <w:pPr>
      <w:jc w:val="left"/>
    </w:pPr>
    <w:rPr>
      <w:sz w:val="20"/>
    </w:rPr>
  </w:style>
  <w:style w:type="paragraph" w:customStyle="1" w:styleId="TP4">
    <w:name w:val="TP4"/>
    <w:basedOn w:val="TP3"/>
    <w:semiHidden/>
    <w:rsid w:val="000277E9"/>
    <w:rPr>
      <w:caps/>
      <w:spacing w:val="38"/>
      <w:sz w:val="14"/>
    </w:rPr>
  </w:style>
  <w:style w:type="paragraph" w:customStyle="1" w:styleId="TP5">
    <w:name w:val="TP5"/>
    <w:basedOn w:val="TP4"/>
    <w:semiHidden/>
    <w:rsid w:val="000277E9"/>
    <w:rPr>
      <w:b/>
      <w:caps w:val="0"/>
      <w:spacing w:val="0"/>
      <w:sz w:val="24"/>
    </w:rPr>
  </w:style>
  <w:style w:type="paragraph" w:customStyle="1" w:styleId="Tabletext">
    <w:name w:val="Tabletext"/>
    <w:semiHidden/>
    <w:rsid w:val="000277E9"/>
    <w:rPr>
      <w:rFonts w:ascii="Arial" w:hAnsi="Arial"/>
      <w:sz w:val="18"/>
    </w:rPr>
  </w:style>
  <w:style w:type="paragraph" w:customStyle="1" w:styleId="Style4">
    <w:name w:val="Style4"/>
    <w:basedOn w:val="Header"/>
    <w:semiHidden/>
    <w:rsid w:val="000277E9"/>
    <w:rPr>
      <w:sz w:val="26"/>
    </w:rPr>
  </w:style>
  <w:style w:type="paragraph" w:styleId="TOCHeading">
    <w:name w:val="TOC Heading"/>
    <w:basedOn w:val="Style1"/>
    <w:next w:val="BodyText"/>
    <w:qFormat/>
    <w:rsid w:val="000277E9"/>
    <w:pPr>
      <w:pBdr>
        <w:bottom w:val="single" w:sz="18" w:space="1" w:color="auto"/>
      </w:pBdr>
      <w:spacing w:after="600"/>
    </w:pPr>
  </w:style>
  <w:style w:type="paragraph" w:customStyle="1" w:styleId="logo">
    <w:name w:val="logo"/>
    <w:basedOn w:val="TP2"/>
    <w:semiHidden/>
    <w:rsid w:val="000277E9"/>
    <w:pPr>
      <w:jc w:val="left"/>
    </w:pPr>
    <w:rPr>
      <w:rFonts w:ascii="Times New Roman" w:hAnsi="Times New Roman"/>
      <w:sz w:val="44"/>
    </w:rPr>
  </w:style>
  <w:style w:type="paragraph" w:customStyle="1" w:styleId="RptTitleProjectName-Line2">
    <w:name w:val="Rpt Title Project Name - Line 2"/>
    <w:basedOn w:val="Normal"/>
    <w:next w:val="RptTitleSite"/>
    <w:rsid w:val="008018CB"/>
    <w:pPr>
      <w:keepNext/>
      <w:spacing w:before="40" w:after="60"/>
    </w:pPr>
    <w:rPr>
      <w:rFonts w:ascii="Arial" w:hAnsi="Arial"/>
      <w:b/>
      <w:sz w:val="32"/>
    </w:rPr>
  </w:style>
  <w:style w:type="paragraph" w:customStyle="1" w:styleId="RptTitleSite">
    <w:name w:val="Rpt Title Site"/>
    <w:aliases w:val="City,State - Line 3"/>
    <w:basedOn w:val="Normal"/>
    <w:next w:val="RptTitleSubmittedLine"/>
    <w:rsid w:val="005C10C4"/>
    <w:pPr>
      <w:spacing w:after="600" w:line="240" w:lineRule="auto"/>
    </w:pPr>
    <w:rPr>
      <w:rFonts w:ascii="Garamond" w:hAnsi="Garamond"/>
    </w:rPr>
  </w:style>
  <w:style w:type="paragraph" w:customStyle="1" w:styleId="RptTitleSubmittedLine">
    <w:name w:val="Rpt Title Submitted Line"/>
    <w:basedOn w:val="Normal"/>
    <w:next w:val="RptTitleAddressLine"/>
    <w:rsid w:val="000277E9"/>
    <w:pPr>
      <w:spacing w:before="240"/>
    </w:pPr>
    <w:rPr>
      <w:rFonts w:ascii="Arial" w:hAnsi="Arial"/>
      <w:b/>
      <w:sz w:val="18"/>
    </w:rPr>
  </w:style>
  <w:style w:type="paragraph" w:customStyle="1" w:styleId="RptTitleAddressLine">
    <w:name w:val="Rpt Title Address Line"/>
    <w:basedOn w:val="Normal"/>
    <w:rsid w:val="000277E9"/>
    <w:rPr>
      <w:rFonts w:ascii="Garamond" w:hAnsi="Garamond"/>
      <w:sz w:val="20"/>
    </w:rPr>
  </w:style>
  <w:style w:type="paragraph" w:customStyle="1" w:styleId="Signatureline">
    <w:name w:val="Signature line"/>
    <w:basedOn w:val="Normal"/>
    <w:semiHidden/>
    <w:rsid w:val="000277E9"/>
    <w:pPr>
      <w:pBdr>
        <w:bottom w:val="single" w:sz="4" w:space="1" w:color="auto"/>
      </w:pBdr>
      <w:spacing w:after="20" w:line="240" w:lineRule="auto"/>
    </w:pPr>
    <w:rPr>
      <w:rFonts w:ascii="Garamond" w:hAnsi="Garamond"/>
      <w:sz w:val="20"/>
    </w:rPr>
  </w:style>
  <w:style w:type="paragraph" w:customStyle="1" w:styleId="Style5">
    <w:name w:val="Style5"/>
    <w:basedOn w:val="Normal"/>
    <w:semiHidden/>
    <w:rsid w:val="000277E9"/>
    <w:pPr>
      <w:pBdr>
        <w:bottom w:val="single" w:sz="4" w:space="1" w:color="auto"/>
      </w:pBdr>
    </w:pPr>
    <w:rPr>
      <w:rFonts w:ascii="Arial" w:hAnsi="Arial"/>
      <w:b/>
      <w:sz w:val="36"/>
    </w:rPr>
  </w:style>
  <w:style w:type="paragraph" w:styleId="List">
    <w:name w:val="List"/>
    <w:aliases w:val="List 1 - A-B-C .5 indent"/>
    <w:basedOn w:val="BodyText"/>
    <w:rsid w:val="000277E9"/>
    <w:pPr>
      <w:numPr>
        <w:numId w:val="16"/>
      </w:numPr>
    </w:pPr>
  </w:style>
  <w:style w:type="paragraph" w:customStyle="1" w:styleId="RptTitleProjectNumber">
    <w:name w:val="Rpt Title Project Number"/>
    <w:basedOn w:val="Normal"/>
    <w:next w:val="Normal"/>
    <w:rsid w:val="000277E9"/>
    <w:rPr>
      <w:rFonts w:ascii="Garamond" w:hAnsi="Garamond"/>
      <w:sz w:val="20"/>
    </w:rPr>
  </w:style>
  <w:style w:type="paragraph" w:customStyle="1" w:styleId="FilepathField">
    <w:name w:val="Filepath Field"/>
    <w:basedOn w:val="Normal"/>
    <w:next w:val="BodyText"/>
    <w:rsid w:val="000277E9"/>
    <w:rPr>
      <w:rFonts w:ascii="Arial" w:hAnsi="Arial"/>
      <w:sz w:val="14"/>
    </w:rPr>
  </w:style>
  <w:style w:type="paragraph" w:styleId="ListNumber">
    <w:name w:val="List Number"/>
    <w:aliases w:val="List Number 1 - .5 indent"/>
    <w:basedOn w:val="BodyText"/>
    <w:rsid w:val="000277E9"/>
    <w:pPr>
      <w:numPr>
        <w:numId w:val="15"/>
      </w:numPr>
    </w:pPr>
  </w:style>
  <w:style w:type="paragraph" w:styleId="BlockText">
    <w:name w:val="Block Text"/>
    <w:basedOn w:val="Normal"/>
    <w:semiHidden/>
    <w:rsid w:val="000277E9"/>
    <w:pPr>
      <w:spacing w:after="120"/>
      <w:ind w:left="1440" w:right="1440"/>
    </w:pPr>
  </w:style>
  <w:style w:type="paragraph" w:customStyle="1" w:styleId="RptTitleServicesProvided-Line1">
    <w:name w:val="Rpt Title Services Provided - Line 1"/>
    <w:basedOn w:val="Normal"/>
    <w:next w:val="RptTitleProjectName-Line2"/>
    <w:rsid w:val="000809D7"/>
    <w:rPr>
      <w:rFonts w:ascii="Arial" w:hAnsi="Arial" w:cs="Arial"/>
      <w:b/>
      <w:bCs/>
      <w:iCs/>
      <w:sz w:val="22"/>
      <w:szCs w:val="22"/>
    </w:rPr>
  </w:style>
  <w:style w:type="paragraph" w:customStyle="1" w:styleId="RptTitleClientName">
    <w:name w:val="Rpt Title Client Name"/>
    <w:basedOn w:val="Normal"/>
    <w:next w:val="RptTitleAddressLine"/>
    <w:rsid w:val="000277E9"/>
    <w:rPr>
      <w:rFonts w:ascii="Garamond" w:hAnsi="Garamond"/>
      <w:sz w:val="20"/>
    </w:rPr>
  </w:style>
  <w:style w:type="paragraph" w:styleId="ListNumber3">
    <w:name w:val="List Number 3"/>
    <w:aliases w:val="List Number 3 - 1.0 indent"/>
    <w:basedOn w:val="BodyText"/>
    <w:rsid w:val="000277E9"/>
    <w:pPr>
      <w:numPr>
        <w:numId w:val="12"/>
      </w:numPr>
    </w:pPr>
  </w:style>
  <w:style w:type="paragraph" w:styleId="ListNumber4">
    <w:name w:val="List Number 4"/>
    <w:aliases w:val="List Number 4 - 1.25 indent"/>
    <w:basedOn w:val="BodyText"/>
    <w:rsid w:val="000277E9"/>
    <w:pPr>
      <w:numPr>
        <w:numId w:val="13"/>
      </w:numPr>
    </w:pPr>
  </w:style>
  <w:style w:type="paragraph" w:styleId="ListNumber2">
    <w:name w:val="List Number 2"/>
    <w:aliases w:val="List Number 2 - .75 indent"/>
    <w:basedOn w:val="BodyText"/>
    <w:rsid w:val="000277E9"/>
    <w:pPr>
      <w:numPr>
        <w:numId w:val="11"/>
      </w:numPr>
    </w:pPr>
  </w:style>
  <w:style w:type="paragraph" w:styleId="ListContinue5">
    <w:name w:val="List Continue 5"/>
    <w:aliases w:val="List Continue 5 - 1.5 indent"/>
    <w:basedOn w:val="BodyText"/>
    <w:rsid w:val="000277E9"/>
    <w:pPr>
      <w:ind w:left="2160"/>
    </w:pPr>
  </w:style>
  <w:style w:type="paragraph" w:styleId="ListNumber5">
    <w:name w:val="List Number 5"/>
    <w:aliases w:val="List Number 5 - 1.5 indent"/>
    <w:basedOn w:val="BodyText"/>
    <w:rsid w:val="000277E9"/>
    <w:pPr>
      <w:numPr>
        <w:numId w:val="14"/>
      </w:numPr>
    </w:pPr>
  </w:style>
  <w:style w:type="paragraph" w:customStyle="1" w:styleId="TOCRefHeading">
    <w:name w:val="TOC Ref Heading"/>
    <w:basedOn w:val="Style2"/>
    <w:next w:val="TOCList"/>
    <w:rsid w:val="000277E9"/>
    <w:pPr>
      <w:keepNext/>
      <w:pBdr>
        <w:bottom w:val="single" w:sz="8" w:space="1" w:color="auto"/>
      </w:pBdr>
      <w:spacing w:before="240" w:after="20"/>
    </w:pPr>
    <w:rPr>
      <w:bCs/>
    </w:rPr>
  </w:style>
  <w:style w:type="paragraph" w:customStyle="1" w:styleId="RptTitleDate">
    <w:name w:val="Rpt Title Date"/>
    <w:basedOn w:val="Normal"/>
    <w:next w:val="RptTitleProjectNumber"/>
    <w:rsid w:val="000277E9"/>
    <w:pPr>
      <w:spacing w:before="600"/>
    </w:pPr>
    <w:rPr>
      <w:rFonts w:ascii="Garamond" w:hAnsi="Garamond"/>
      <w:sz w:val="20"/>
    </w:rPr>
  </w:style>
  <w:style w:type="paragraph" w:styleId="List2">
    <w:name w:val="List 2"/>
    <w:aliases w:val="List 2 - A-B-C .75 indent"/>
    <w:basedOn w:val="BodyText"/>
    <w:rsid w:val="000277E9"/>
    <w:pPr>
      <w:numPr>
        <w:numId w:val="2"/>
      </w:numPr>
    </w:pPr>
  </w:style>
  <w:style w:type="paragraph" w:styleId="List3">
    <w:name w:val="List 3"/>
    <w:aliases w:val="List 3 - A-B-C 1.0 indent"/>
    <w:basedOn w:val="BodyText"/>
    <w:link w:val="List3Char"/>
    <w:rsid w:val="000277E9"/>
    <w:pPr>
      <w:numPr>
        <w:numId w:val="3"/>
      </w:numPr>
    </w:pPr>
  </w:style>
  <w:style w:type="paragraph" w:styleId="List4">
    <w:name w:val="List 4"/>
    <w:aliases w:val="List 4 - A-B-C 1.25 indent"/>
    <w:basedOn w:val="BodyText"/>
    <w:rsid w:val="000277E9"/>
    <w:pPr>
      <w:numPr>
        <w:numId w:val="4"/>
      </w:numPr>
    </w:pPr>
  </w:style>
  <w:style w:type="paragraph" w:styleId="List5">
    <w:name w:val="List 5"/>
    <w:aliases w:val="List 5 - A-B-C 1.5 indent"/>
    <w:basedOn w:val="BodyText"/>
    <w:rsid w:val="000277E9"/>
    <w:pPr>
      <w:numPr>
        <w:numId w:val="5"/>
      </w:numPr>
    </w:pPr>
  </w:style>
  <w:style w:type="paragraph" w:styleId="ListContinue">
    <w:name w:val="List Continue"/>
    <w:aliases w:val="List Continue 1 - .5 indent"/>
    <w:basedOn w:val="BodyText"/>
    <w:rsid w:val="000277E9"/>
    <w:pPr>
      <w:ind w:left="720"/>
    </w:pPr>
  </w:style>
  <w:style w:type="paragraph" w:styleId="ListContinue2">
    <w:name w:val="List Continue 2"/>
    <w:aliases w:val="List Continue 2 - .75 indent"/>
    <w:basedOn w:val="BodyText"/>
    <w:rsid w:val="000277E9"/>
    <w:pPr>
      <w:ind w:left="1080"/>
    </w:pPr>
  </w:style>
  <w:style w:type="paragraph" w:styleId="ListContinue3">
    <w:name w:val="List Continue 3"/>
    <w:aliases w:val="List Continue 3 - 1.0 indent"/>
    <w:basedOn w:val="BodyText"/>
    <w:rsid w:val="000277E9"/>
    <w:pPr>
      <w:ind w:left="1440"/>
    </w:pPr>
  </w:style>
  <w:style w:type="paragraph" w:styleId="ListContinue4">
    <w:name w:val="List Continue 4"/>
    <w:aliases w:val="List Continue 4 - 1.25 indent"/>
    <w:basedOn w:val="BodyText"/>
    <w:rsid w:val="000277E9"/>
    <w:pPr>
      <w:ind w:left="1800"/>
    </w:pPr>
  </w:style>
  <w:style w:type="paragraph" w:styleId="ListBullet">
    <w:name w:val="List Bullet"/>
    <w:aliases w:val="List Bullet 1 - .5 indent,Primary Bullet"/>
    <w:basedOn w:val="BodyText"/>
    <w:qFormat/>
    <w:rsid w:val="006A219A"/>
    <w:pPr>
      <w:numPr>
        <w:numId w:val="10"/>
      </w:numPr>
      <w:spacing w:after="120"/>
    </w:pPr>
  </w:style>
  <w:style w:type="paragraph" w:styleId="ListBullet2">
    <w:name w:val="List Bullet 2"/>
    <w:aliases w:val="List Bullet 2 - .75 indent"/>
    <w:basedOn w:val="BodyText"/>
    <w:qFormat/>
    <w:rsid w:val="006A219A"/>
    <w:pPr>
      <w:numPr>
        <w:numId w:val="6"/>
      </w:numPr>
      <w:spacing w:after="120"/>
      <w:ind w:left="720"/>
    </w:pPr>
  </w:style>
  <w:style w:type="paragraph" w:styleId="ListBullet3">
    <w:name w:val="List Bullet 3"/>
    <w:aliases w:val="List Bullet 3 - 1.0 indent"/>
    <w:basedOn w:val="BodyText"/>
    <w:rsid w:val="00701E6C"/>
    <w:pPr>
      <w:numPr>
        <w:numId w:val="7"/>
      </w:numPr>
      <w:ind w:left="1800"/>
    </w:pPr>
  </w:style>
  <w:style w:type="paragraph" w:styleId="ListBullet4">
    <w:name w:val="List Bullet 4"/>
    <w:aliases w:val="List Bullet 4 - 1.25 indent"/>
    <w:basedOn w:val="BodyText"/>
    <w:rsid w:val="00701E6C"/>
    <w:pPr>
      <w:numPr>
        <w:numId w:val="8"/>
      </w:numPr>
      <w:ind w:left="2160"/>
    </w:pPr>
  </w:style>
  <w:style w:type="paragraph" w:styleId="ListBullet5">
    <w:name w:val="List Bullet 5"/>
    <w:aliases w:val="List Bullet 5 - 1.5 indent"/>
    <w:basedOn w:val="BodyText"/>
    <w:rsid w:val="00701E6C"/>
    <w:pPr>
      <w:numPr>
        <w:numId w:val="9"/>
      </w:numPr>
      <w:ind w:left="2520"/>
    </w:pPr>
  </w:style>
  <w:style w:type="paragraph" w:styleId="Title">
    <w:name w:val="Title"/>
    <w:basedOn w:val="Normal"/>
    <w:link w:val="TitleChar"/>
    <w:rsid w:val="000277E9"/>
    <w:pPr>
      <w:spacing w:before="240" w:after="60"/>
      <w:jc w:val="center"/>
      <w:outlineLvl w:val="0"/>
    </w:pPr>
    <w:rPr>
      <w:rFonts w:ascii="Arial" w:hAnsi="Arial" w:cs="Arial"/>
      <w:b/>
      <w:bCs/>
      <w:kern w:val="28"/>
      <w:sz w:val="32"/>
      <w:szCs w:val="32"/>
    </w:rPr>
  </w:style>
  <w:style w:type="paragraph" w:customStyle="1" w:styleId="Heading4NO-TOC">
    <w:name w:val="Heading 4 NO-TOC"/>
    <w:basedOn w:val="Normal"/>
    <w:next w:val="BodyText"/>
    <w:rsid w:val="000277E9"/>
    <w:pPr>
      <w:keepNext/>
      <w:tabs>
        <w:tab w:val="left" w:pos="864"/>
      </w:tabs>
      <w:spacing w:before="120" w:after="240" w:line="240" w:lineRule="auto"/>
      <w:ind w:left="864" w:hanging="864"/>
    </w:pPr>
    <w:rPr>
      <w:rFonts w:ascii="Arial" w:hAnsi="Arial"/>
      <w:b/>
      <w:sz w:val="22"/>
    </w:rPr>
  </w:style>
  <w:style w:type="paragraph" w:customStyle="1" w:styleId="TOCList">
    <w:name w:val="TOC List"/>
    <w:basedOn w:val="Normal"/>
    <w:rsid w:val="000277E9"/>
    <w:pPr>
      <w:numPr>
        <w:numId w:val="17"/>
      </w:numPr>
      <w:spacing w:line="240" w:lineRule="auto"/>
    </w:pPr>
  </w:style>
  <w:style w:type="table" w:styleId="TableGrid">
    <w:name w:val="Table Grid"/>
    <w:basedOn w:val="TableNormal"/>
    <w:uiPriority w:val="39"/>
    <w:rsid w:val="000277E9"/>
    <w:pPr>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5">
    <w:name w:val="Table Grid 5"/>
    <w:basedOn w:val="TableNormal"/>
    <w:rsid w:val="000277E9"/>
    <w:pPr>
      <w:spacing w:line="264" w:lineRule="auto"/>
    </w:pPr>
    <w:rPr>
      <w:rFonts w:ascii="Arial" w:hAnsi="Arial"/>
      <w:sz w:val="18"/>
    </w:rPr>
    <w:tblPr>
      <w:tblBorders>
        <w:top w:val="single" w:sz="12" w:space="0" w:color="auto"/>
        <w:bottom w:val="single" w:sz="12" w:space="0" w:color="auto"/>
        <w:insideH w:val="single" w:sz="4" w:space="0" w:color="auto"/>
      </w:tblBorders>
    </w:tblPr>
    <w:tcPr>
      <w:shd w:val="clear" w:color="auto" w:fill="auto"/>
    </w:tcPr>
    <w:tblStylePr w:type="firstRow">
      <w:rPr>
        <w:rFonts w:ascii="Arial" w:hAnsi="Arial"/>
        <w:b/>
        <w:sz w:val="18"/>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RptTable">
    <w:name w:val="Rpt Table"/>
    <w:basedOn w:val="TableNormal"/>
    <w:rsid w:val="000277E9"/>
    <w:rPr>
      <w:rFonts w:ascii="Arial" w:hAnsi="Arial"/>
      <w:sz w:val="18"/>
    </w:rPr>
    <w:tblPr>
      <w:tblBorders>
        <w:top w:val="single" w:sz="12" w:space="0" w:color="auto"/>
        <w:bottom w:val="single" w:sz="12" w:space="0" w:color="auto"/>
        <w:insideH w:val="single" w:sz="4" w:space="0" w:color="auto"/>
      </w:tblBorders>
    </w:tblPr>
    <w:tblStylePr w:type="firstRow">
      <w:rPr>
        <w:rFonts w:ascii="Arial" w:hAnsi="Arial"/>
        <w:b/>
        <w:sz w:val="18"/>
      </w:rPr>
      <w:tblPr/>
      <w:trPr>
        <w:tblHeader/>
      </w:trPr>
      <w:tcPr>
        <w:tcBorders>
          <w:top w:val="single" w:sz="12" w:space="0" w:color="auto"/>
          <w:bottom w:val="single" w:sz="12" w:space="0" w:color="auto"/>
        </w:tcBorders>
      </w:tcPr>
    </w:tblStylePr>
    <w:tblStylePr w:type="lastRow">
      <w:rPr>
        <w:rFonts w:ascii="Arial" w:hAnsi="Arial"/>
        <w:sz w:val="18"/>
      </w:rPr>
      <w:tblPr/>
      <w:tcPr>
        <w:tcBorders>
          <w:bottom w:val="single" w:sz="12" w:space="0" w:color="auto"/>
        </w:tcBorders>
      </w:tcPr>
    </w:tblStylePr>
  </w:style>
  <w:style w:type="paragraph" w:styleId="Date">
    <w:name w:val="Date"/>
    <w:basedOn w:val="Normal"/>
    <w:next w:val="Normal"/>
    <w:link w:val="DateChar"/>
    <w:rsid w:val="00D52E56"/>
  </w:style>
  <w:style w:type="character" w:customStyle="1" w:styleId="BodyTextChar">
    <w:name w:val="Body Text Char"/>
    <w:link w:val="BodyText"/>
    <w:rsid w:val="000277E9"/>
    <w:rPr>
      <w:sz w:val="24"/>
    </w:rPr>
  </w:style>
  <w:style w:type="character" w:customStyle="1" w:styleId="List3Char">
    <w:name w:val="List 3 Char"/>
    <w:aliases w:val="List 3 - A-B-C 1.0 indent Char"/>
    <w:link w:val="List3"/>
    <w:rsid w:val="000277E9"/>
    <w:rPr>
      <w:sz w:val="24"/>
    </w:rPr>
  </w:style>
  <w:style w:type="paragraph" w:customStyle="1" w:styleId="RptTitleSignatureLine">
    <w:name w:val="Rpt Title Signature Line"/>
    <w:basedOn w:val="Normal"/>
    <w:next w:val="Normal"/>
    <w:rsid w:val="000277E9"/>
    <w:rPr>
      <w:rFonts w:ascii="Garamond" w:hAnsi="Garamond"/>
      <w:sz w:val="20"/>
    </w:rPr>
  </w:style>
  <w:style w:type="paragraph" w:customStyle="1" w:styleId="RptAppendixTitle">
    <w:name w:val="Rpt AppendixTitle"/>
    <w:basedOn w:val="Style2"/>
    <w:next w:val="BodyText"/>
    <w:qFormat/>
    <w:rsid w:val="000277E9"/>
    <w:pPr>
      <w:spacing w:before="120" w:after="120"/>
    </w:pPr>
    <w:rPr>
      <w:sz w:val="28"/>
    </w:rPr>
  </w:style>
  <w:style w:type="paragraph" w:customStyle="1" w:styleId="RptTitleProjectName">
    <w:name w:val="Rpt Title Project Name"/>
    <w:basedOn w:val="Normal"/>
    <w:next w:val="Normal"/>
    <w:rsid w:val="000277E9"/>
    <w:pPr>
      <w:keepNext/>
      <w:spacing w:before="40" w:after="60"/>
    </w:pPr>
    <w:rPr>
      <w:rFonts w:ascii="Arial" w:hAnsi="Arial"/>
      <w:b/>
      <w:sz w:val="32"/>
    </w:rPr>
  </w:style>
  <w:style w:type="paragraph" w:customStyle="1" w:styleId="RptTitleSite-City-State">
    <w:name w:val="Rpt Title Site-City-State"/>
    <w:basedOn w:val="Normal"/>
    <w:next w:val="RptTitleSubmittedLine"/>
    <w:rsid w:val="000277E9"/>
    <w:pPr>
      <w:spacing w:after="600" w:line="240" w:lineRule="auto"/>
    </w:pPr>
    <w:rPr>
      <w:rFonts w:ascii="Garamond" w:hAnsi="Garamond"/>
    </w:rPr>
  </w:style>
  <w:style w:type="paragraph" w:customStyle="1" w:styleId="Subheading-UnnumberedArial14pt">
    <w:name w:val="Subheading - Unnumbered Arial 14pt"/>
    <w:basedOn w:val="BodyText"/>
    <w:rsid w:val="000277E9"/>
    <w:rPr>
      <w:rFonts w:ascii="Arial" w:hAnsi="Arial" w:cs="Arial"/>
      <w:b/>
      <w:sz w:val="28"/>
    </w:rPr>
  </w:style>
  <w:style w:type="paragraph" w:customStyle="1" w:styleId="TablesCoverPg">
    <w:name w:val="TablesCoverPg"/>
    <w:basedOn w:val="Normal"/>
    <w:next w:val="AppendixTitle"/>
    <w:qFormat/>
    <w:rsid w:val="009A0440"/>
    <w:pPr>
      <w:pageBreakBefore/>
      <w:pBdr>
        <w:bottom w:val="single" w:sz="18" w:space="1" w:color="auto"/>
      </w:pBdr>
      <w:spacing w:after="240" w:line="240" w:lineRule="auto"/>
    </w:pPr>
    <w:rPr>
      <w:rFonts w:ascii="Arial" w:eastAsiaTheme="minorHAnsi" w:hAnsi="Arial" w:cstheme="minorBidi"/>
      <w:b/>
      <w:sz w:val="36"/>
      <w:szCs w:val="22"/>
    </w:rPr>
  </w:style>
  <w:style w:type="character" w:customStyle="1" w:styleId="Heading1Char">
    <w:name w:val="Heading 1 Char"/>
    <w:basedOn w:val="DefaultParagraphFont"/>
    <w:link w:val="Heading1"/>
    <w:uiPriority w:val="8"/>
    <w:rsid w:val="00E17410"/>
    <w:rPr>
      <w:rFonts w:ascii="Arial" w:hAnsi="Arial"/>
      <w:b/>
      <w:bCs/>
      <w:sz w:val="36"/>
      <w:szCs w:val="32"/>
    </w:rPr>
  </w:style>
  <w:style w:type="character" w:customStyle="1" w:styleId="Heading2Char">
    <w:name w:val="Heading 2 Char"/>
    <w:basedOn w:val="DefaultParagraphFont"/>
    <w:link w:val="Heading2"/>
    <w:uiPriority w:val="8"/>
    <w:rsid w:val="008A1C30"/>
    <w:rPr>
      <w:rFonts w:ascii="Arial" w:hAnsi="Arial"/>
      <w:b/>
      <w:bCs/>
      <w:iCs/>
      <w:sz w:val="28"/>
      <w:szCs w:val="28"/>
    </w:rPr>
  </w:style>
  <w:style w:type="paragraph" w:styleId="ListParagraph">
    <w:name w:val="List Paragraph"/>
    <w:basedOn w:val="Normal"/>
    <w:link w:val="ListParagraphChar"/>
    <w:uiPriority w:val="34"/>
    <w:qFormat/>
    <w:rsid w:val="00052AAB"/>
    <w:pPr>
      <w:spacing w:after="120"/>
      <w:ind w:left="432" w:right="432"/>
    </w:pPr>
    <w:rPr>
      <w:i/>
    </w:rPr>
  </w:style>
  <w:style w:type="paragraph" w:customStyle="1" w:styleId="ListHeader">
    <w:name w:val="List Header"/>
    <w:basedOn w:val="Normal"/>
    <w:next w:val="Normal"/>
    <w:rsid w:val="00842595"/>
    <w:pPr>
      <w:spacing w:after="120" w:line="240" w:lineRule="auto"/>
    </w:pPr>
    <w:rPr>
      <w:rFonts w:ascii="Arial" w:hAnsi="Arial" w:cs="Arial"/>
      <w:b/>
    </w:rPr>
  </w:style>
  <w:style w:type="table" w:customStyle="1" w:styleId="TableGrid1">
    <w:name w:val="Table Grid1"/>
    <w:basedOn w:val="TableNormal"/>
    <w:next w:val="TableGrid"/>
    <w:uiPriority w:val="59"/>
    <w:rsid w:val="00842595"/>
    <w:rPr>
      <w:rFonts w:asciiTheme="minorHAnsi" w:eastAsiaTheme="minorHAnsi" w:hAnsiTheme="minorHAnsi" w:cstheme="minorBidi"/>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basedOn w:val="DefaultParagraphFont"/>
    <w:uiPriority w:val="99"/>
    <w:semiHidden/>
    <w:unhideWhenUsed/>
    <w:rsid w:val="00C70F81"/>
    <w:rPr>
      <w:color w:val="605E5C"/>
      <w:shd w:val="clear" w:color="auto" w:fill="E1DFDD"/>
    </w:rPr>
  </w:style>
  <w:style w:type="paragraph" w:styleId="FootnoteText">
    <w:name w:val="footnote text"/>
    <w:basedOn w:val="Normal"/>
    <w:link w:val="FootnoteTextChar"/>
    <w:uiPriority w:val="99"/>
    <w:unhideWhenUsed/>
    <w:rsid w:val="00041D02"/>
    <w:pPr>
      <w:spacing w:line="240" w:lineRule="auto"/>
    </w:pPr>
    <w:rPr>
      <w:sz w:val="20"/>
    </w:rPr>
  </w:style>
  <w:style w:type="character" w:customStyle="1" w:styleId="FootnoteTextChar">
    <w:name w:val="Footnote Text Char"/>
    <w:basedOn w:val="DefaultParagraphFont"/>
    <w:link w:val="FootnoteText"/>
    <w:uiPriority w:val="99"/>
    <w:rsid w:val="00041D02"/>
  </w:style>
  <w:style w:type="character" w:styleId="FootnoteReference">
    <w:name w:val="footnote reference"/>
    <w:basedOn w:val="DefaultParagraphFont"/>
    <w:uiPriority w:val="99"/>
    <w:unhideWhenUsed/>
    <w:rsid w:val="00041D02"/>
    <w:rPr>
      <w:vertAlign w:val="superscript"/>
    </w:rPr>
  </w:style>
  <w:style w:type="paragraph" w:styleId="BalloonText">
    <w:name w:val="Balloon Text"/>
    <w:basedOn w:val="Normal"/>
    <w:link w:val="BalloonTextChar"/>
    <w:semiHidden/>
    <w:unhideWhenUsed/>
    <w:rsid w:val="00713EA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713EAD"/>
    <w:rPr>
      <w:rFonts w:ascii="Segoe UI" w:hAnsi="Segoe UI" w:cs="Segoe UI"/>
      <w:sz w:val="18"/>
      <w:szCs w:val="18"/>
    </w:rPr>
  </w:style>
  <w:style w:type="table" w:styleId="GridTable2-Accent3">
    <w:name w:val="Grid Table 2 Accent 3"/>
    <w:basedOn w:val="TableNormal"/>
    <w:uiPriority w:val="47"/>
    <w:rsid w:val="007B4655"/>
    <w:rPr>
      <w:rFonts w:asciiTheme="minorHAnsi" w:eastAsiaTheme="minorHAnsi" w:hAnsiTheme="minorHAnsi" w:cstheme="minorBidi"/>
      <w:sz w:val="22"/>
      <w:szCs w:val="22"/>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aption">
    <w:name w:val="caption"/>
    <w:basedOn w:val="Normal"/>
    <w:next w:val="Normal"/>
    <w:link w:val="CaptionChar"/>
    <w:uiPriority w:val="35"/>
    <w:unhideWhenUsed/>
    <w:qFormat/>
    <w:rsid w:val="00B74B9D"/>
    <w:pPr>
      <w:spacing w:line="240" w:lineRule="auto"/>
    </w:pPr>
    <w:rPr>
      <w:rFonts w:ascii="Arial Bold" w:eastAsiaTheme="minorHAnsi" w:hAnsi="Arial Bold" w:cstheme="minorBidi"/>
      <w:b/>
      <w:iCs/>
      <w:color w:val="000000" w:themeColor="text1"/>
      <w:sz w:val="20"/>
      <w:szCs w:val="18"/>
    </w:rPr>
  </w:style>
  <w:style w:type="table" w:customStyle="1" w:styleId="GridTable2-Accent31">
    <w:name w:val="Grid Table 2 - Accent 31"/>
    <w:basedOn w:val="TableNormal"/>
    <w:next w:val="GridTable2-Accent3"/>
    <w:uiPriority w:val="47"/>
    <w:rsid w:val="007B4655"/>
    <w:rPr>
      <w:rFonts w:ascii="Calibri" w:eastAsia="Calibri" w:hAnsi="Calibri"/>
      <w:sz w:val="22"/>
      <w:szCs w:val="22"/>
    </w:rPr>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styleId="CommentReference">
    <w:name w:val="annotation reference"/>
    <w:basedOn w:val="DefaultParagraphFont"/>
    <w:semiHidden/>
    <w:unhideWhenUsed/>
    <w:rsid w:val="002456F6"/>
    <w:rPr>
      <w:sz w:val="16"/>
      <w:szCs w:val="16"/>
    </w:rPr>
  </w:style>
  <w:style w:type="paragraph" w:styleId="CommentText">
    <w:name w:val="annotation text"/>
    <w:basedOn w:val="Normal"/>
    <w:link w:val="CommentTextChar"/>
    <w:unhideWhenUsed/>
    <w:rsid w:val="002456F6"/>
    <w:pPr>
      <w:spacing w:line="240" w:lineRule="auto"/>
    </w:pPr>
    <w:rPr>
      <w:sz w:val="20"/>
    </w:rPr>
  </w:style>
  <w:style w:type="character" w:customStyle="1" w:styleId="CommentTextChar">
    <w:name w:val="Comment Text Char"/>
    <w:basedOn w:val="DefaultParagraphFont"/>
    <w:link w:val="CommentText"/>
    <w:rsid w:val="002456F6"/>
  </w:style>
  <w:style w:type="paragraph" w:styleId="CommentSubject">
    <w:name w:val="annotation subject"/>
    <w:basedOn w:val="CommentText"/>
    <w:next w:val="CommentText"/>
    <w:link w:val="CommentSubjectChar"/>
    <w:semiHidden/>
    <w:unhideWhenUsed/>
    <w:rsid w:val="002456F6"/>
    <w:rPr>
      <w:b/>
      <w:bCs/>
    </w:rPr>
  </w:style>
  <w:style w:type="character" w:customStyle="1" w:styleId="CommentSubjectChar">
    <w:name w:val="Comment Subject Char"/>
    <w:basedOn w:val="CommentTextChar"/>
    <w:link w:val="CommentSubject"/>
    <w:semiHidden/>
    <w:rsid w:val="002456F6"/>
    <w:rPr>
      <w:b/>
      <w:bCs/>
    </w:rPr>
  </w:style>
  <w:style w:type="paragraph" w:styleId="Revision">
    <w:name w:val="Revision"/>
    <w:hidden/>
    <w:uiPriority w:val="99"/>
    <w:semiHidden/>
    <w:rsid w:val="00BF5A32"/>
    <w:rPr>
      <w:sz w:val="24"/>
    </w:rPr>
  </w:style>
  <w:style w:type="character" w:styleId="PlaceholderText">
    <w:name w:val="Placeholder Text"/>
    <w:basedOn w:val="DefaultParagraphFont"/>
    <w:uiPriority w:val="99"/>
    <w:semiHidden/>
    <w:rsid w:val="00C40C94"/>
    <w:rPr>
      <w:color w:val="808080"/>
    </w:rPr>
  </w:style>
  <w:style w:type="paragraph" w:customStyle="1" w:styleId="Default">
    <w:name w:val="Default"/>
    <w:rsid w:val="005448DB"/>
    <w:pPr>
      <w:autoSpaceDE w:val="0"/>
      <w:autoSpaceDN w:val="0"/>
      <w:adjustRightInd w:val="0"/>
    </w:pPr>
    <w:rPr>
      <w:rFonts w:ascii="Garamond" w:hAnsi="Garamond" w:cs="Garamond"/>
      <w:color w:val="000000"/>
      <w:sz w:val="24"/>
      <w:szCs w:val="24"/>
    </w:rPr>
  </w:style>
  <w:style w:type="character" w:customStyle="1" w:styleId="FooterChar">
    <w:name w:val="Footer Char"/>
    <w:basedOn w:val="DefaultParagraphFont"/>
    <w:link w:val="Footer"/>
    <w:uiPriority w:val="99"/>
    <w:locked/>
    <w:rsid w:val="00BD7078"/>
    <w:rPr>
      <w:rFonts w:ascii="Arial" w:hAnsi="Arial"/>
      <w:sz w:val="22"/>
    </w:rPr>
  </w:style>
  <w:style w:type="paragraph" w:customStyle="1" w:styleId="CM2">
    <w:name w:val="CM2"/>
    <w:basedOn w:val="Default"/>
    <w:next w:val="Default"/>
    <w:uiPriority w:val="99"/>
    <w:rsid w:val="008C4177"/>
    <w:pPr>
      <w:widowControl w:val="0"/>
      <w:spacing w:line="246" w:lineRule="atLeast"/>
    </w:pPr>
    <w:rPr>
      <w:rFonts w:ascii="Times New Roman" w:hAnsi="Times New Roman" w:cs="Times New Roman"/>
      <w:color w:val="auto"/>
    </w:rPr>
  </w:style>
  <w:style w:type="paragraph" w:customStyle="1" w:styleId="CM1">
    <w:name w:val="CM1"/>
    <w:basedOn w:val="Default"/>
    <w:next w:val="Default"/>
    <w:uiPriority w:val="99"/>
    <w:rsid w:val="008C4177"/>
    <w:pPr>
      <w:widowControl w:val="0"/>
    </w:pPr>
    <w:rPr>
      <w:rFonts w:ascii="Calibri" w:eastAsiaTheme="minorEastAsia" w:hAnsi="Calibri" w:cstheme="minorBidi"/>
      <w:color w:val="auto"/>
    </w:rPr>
  </w:style>
  <w:style w:type="character" w:customStyle="1" w:styleId="size">
    <w:name w:val="size"/>
    <w:basedOn w:val="DefaultParagraphFont"/>
    <w:rsid w:val="002E4DC6"/>
  </w:style>
  <w:style w:type="paragraph" w:customStyle="1" w:styleId="TableTitle">
    <w:name w:val="Table Title"/>
    <w:basedOn w:val="Caption"/>
    <w:link w:val="TableTitleChar"/>
    <w:qFormat/>
    <w:rsid w:val="00370F3C"/>
  </w:style>
  <w:style w:type="paragraph" w:customStyle="1" w:styleId="Section11End">
    <w:name w:val="Section 1.1 End"/>
    <w:basedOn w:val="Normal"/>
    <w:qFormat/>
    <w:rsid w:val="00563ED0"/>
    <w:pPr>
      <w:tabs>
        <w:tab w:val="left" w:pos="1080"/>
      </w:tabs>
      <w:spacing w:after="80" w:line="259" w:lineRule="auto"/>
      <w:ind w:left="547"/>
    </w:pPr>
    <w:rPr>
      <w:rFonts w:asciiTheme="minorHAnsi" w:eastAsiaTheme="minorHAnsi" w:hAnsiTheme="minorHAnsi" w:cstheme="minorBidi"/>
      <w:sz w:val="22"/>
      <w:szCs w:val="22"/>
    </w:rPr>
  </w:style>
  <w:style w:type="character" w:customStyle="1" w:styleId="CaptionChar">
    <w:name w:val="Caption Char"/>
    <w:basedOn w:val="DefaultParagraphFont"/>
    <w:link w:val="Caption"/>
    <w:uiPriority w:val="35"/>
    <w:rsid w:val="00B74B9D"/>
    <w:rPr>
      <w:rFonts w:ascii="Arial Bold" w:eastAsiaTheme="minorHAnsi" w:hAnsi="Arial Bold" w:cstheme="minorBidi"/>
      <w:b/>
      <w:iCs/>
      <w:color w:val="000000" w:themeColor="text1"/>
      <w:szCs w:val="18"/>
    </w:rPr>
  </w:style>
  <w:style w:type="character" w:customStyle="1" w:styleId="TableTitleChar">
    <w:name w:val="Table Title Char"/>
    <w:basedOn w:val="CaptionChar"/>
    <w:link w:val="TableTitle"/>
    <w:rsid w:val="00370F3C"/>
    <w:rPr>
      <w:rFonts w:ascii="Arial" w:eastAsiaTheme="minorHAnsi" w:hAnsi="Arial" w:cstheme="minorBidi"/>
      <w:b/>
      <w:iCs/>
      <w:color w:val="000000" w:themeColor="text1"/>
      <w:szCs w:val="18"/>
    </w:rPr>
  </w:style>
  <w:style w:type="paragraph" w:customStyle="1" w:styleId="Section1111End">
    <w:name w:val="Section 1.1.1.1 End"/>
    <w:basedOn w:val="Normal"/>
    <w:qFormat/>
    <w:rsid w:val="00563ED0"/>
    <w:pPr>
      <w:tabs>
        <w:tab w:val="left" w:pos="3240"/>
      </w:tabs>
      <w:spacing w:after="80" w:line="259" w:lineRule="auto"/>
      <w:ind w:left="2707" w:hanging="907"/>
    </w:pPr>
    <w:rPr>
      <w:rFonts w:asciiTheme="minorHAnsi" w:eastAsiaTheme="minorHAnsi" w:hAnsiTheme="minorHAnsi" w:cstheme="minorBidi"/>
      <w:sz w:val="22"/>
      <w:szCs w:val="22"/>
    </w:rPr>
  </w:style>
  <w:style w:type="table" w:styleId="GridTable4-Accent1">
    <w:name w:val="Grid Table 4 Accent 1"/>
    <w:basedOn w:val="TableNormal"/>
    <w:uiPriority w:val="49"/>
    <w:rsid w:val="00B04E19"/>
    <w:rPr>
      <w:rFonts w:asciiTheme="minorHAnsi" w:eastAsiaTheme="minorHAnsi" w:hAnsiTheme="minorHAnsi" w:cstheme="minorBidi"/>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erChar">
    <w:name w:val="Header Char"/>
    <w:basedOn w:val="DefaultParagraphFont"/>
    <w:link w:val="Header"/>
    <w:uiPriority w:val="16"/>
    <w:rsid w:val="00C21BF5"/>
    <w:rPr>
      <w:rFonts w:ascii="Arial" w:hAnsi="Arial"/>
      <w:b/>
      <w:sz w:val="16"/>
    </w:rPr>
  </w:style>
  <w:style w:type="table" w:customStyle="1" w:styleId="TableGrid2">
    <w:name w:val="Table Grid2"/>
    <w:basedOn w:val="TableNormal"/>
    <w:next w:val="TableGrid"/>
    <w:uiPriority w:val="39"/>
    <w:rsid w:val="00886DE7"/>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52593"/>
    <w:rPr>
      <w:rFonts w:ascii="Calibri" w:eastAsia="Calibri" w:hAnsi="Calibri"/>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3Char">
    <w:name w:val="Heading 3 Char"/>
    <w:basedOn w:val="DefaultParagraphFont"/>
    <w:link w:val="Heading3"/>
    <w:uiPriority w:val="8"/>
    <w:rsid w:val="008D0C1E"/>
    <w:rPr>
      <w:rFonts w:ascii="Arial" w:hAnsi="Arial" w:cs="Arial"/>
      <w:b/>
      <w:bCs/>
      <w:i/>
      <w:sz w:val="26"/>
      <w:szCs w:val="26"/>
    </w:rPr>
  </w:style>
  <w:style w:type="character" w:styleId="FollowedHyperlink">
    <w:name w:val="FollowedHyperlink"/>
    <w:basedOn w:val="DefaultParagraphFont"/>
    <w:semiHidden/>
    <w:unhideWhenUsed/>
    <w:rsid w:val="008A52FC"/>
    <w:rPr>
      <w:color w:val="800080" w:themeColor="followedHyperlink"/>
      <w:u w:val="single"/>
    </w:rPr>
  </w:style>
  <w:style w:type="paragraph" w:customStyle="1" w:styleId="FiguresTitle">
    <w:name w:val="Figures Title"/>
    <w:basedOn w:val="Normal"/>
    <w:link w:val="FiguresTitleChar"/>
    <w:qFormat/>
    <w:rsid w:val="00646711"/>
    <w:pPr>
      <w:spacing w:after="240"/>
      <w:ind w:left="360"/>
      <w:jc w:val="center"/>
    </w:pPr>
    <w:rPr>
      <w:rFonts w:ascii="Arial" w:hAnsi="Arial" w:cs="Arial"/>
      <w:b/>
      <w:bCs/>
      <w:sz w:val="20"/>
    </w:rPr>
  </w:style>
  <w:style w:type="paragraph" w:styleId="TableofFigures">
    <w:name w:val="table of figures"/>
    <w:basedOn w:val="Normal"/>
    <w:next w:val="Normal"/>
    <w:uiPriority w:val="99"/>
    <w:unhideWhenUsed/>
    <w:rsid w:val="00FA1BD0"/>
  </w:style>
  <w:style w:type="character" w:customStyle="1" w:styleId="FiguresTitleChar">
    <w:name w:val="Figures Title Char"/>
    <w:basedOn w:val="DefaultParagraphFont"/>
    <w:link w:val="FiguresTitle"/>
    <w:rsid w:val="00646711"/>
    <w:rPr>
      <w:rFonts w:ascii="Arial" w:hAnsi="Arial" w:cs="Arial"/>
      <w:b/>
      <w:bCs/>
    </w:rPr>
  </w:style>
  <w:style w:type="paragraph" w:customStyle="1" w:styleId="Strong1">
    <w:name w:val="Strong1"/>
    <w:basedOn w:val="BodyText"/>
    <w:qFormat/>
    <w:rsid w:val="0013030D"/>
    <w:rPr>
      <w:rFonts w:ascii="Arial Narrow" w:hAnsi="Arial Narrow"/>
      <w:b/>
      <w:sz w:val="22"/>
    </w:rPr>
  </w:style>
  <w:style w:type="table" w:styleId="GridTable1Light">
    <w:name w:val="Grid Table 1 Light"/>
    <w:basedOn w:val="TableNormal"/>
    <w:uiPriority w:val="46"/>
    <w:rsid w:val="00E123B5"/>
    <w:rPr>
      <w:rFonts w:asciiTheme="minorHAnsi" w:eastAsia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Strong">
    <w:name w:val="Strong"/>
    <w:uiPriority w:val="22"/>
    <w:qFormat/>
    <w:rsid w:val="006252BB"/>
    <w:rPr>
      <w:rFonts w:ascii="Arial Narrow" w:hAnsi="Arial Narrow"/>
      <w:b/>
      <w:bCs/>
      <w:i w:val="0"/>
      <w:sz w:val="22"/>
    </w:rPr>
  </w:style>
  <w:style w:type="paragraph" w:customStyle="1" w:styleId="pf0">
    <w:name w:val="pf0"/>
    <w:basedOn w:val="Normal"/>
    <w:rsid w:val="00E123B5"/>
    <w:pPr>
      <w:spacing w:before="100" w:beforeAutospacing="1" w:after="100" w:afterAutospacing="1" w:line="240" w:lineRule="auto"/>
    </w:pPr>
    <w:rPr>
      <w:szCs w:val="24"/>
    </w:rPr>
  </w:style>
  <w:style w:type="character" w:customStyle="1" w:styleId="cf01">
    <w:name w:val="cf01"/>
    <w:basedOn w:val="DefaultParagraphFont"/>
    <w:rsid w:val="00E123B5"/>
    <w:rPr>
      <w:rFonts w:ascii="Segoe UI" w:hAnsi="Segoe UI" w:cs="Segoe UI" w:hint="default"/>
      <w:sz w:val="18"/>
      <w:szCs w:val="18"/>
    </w:rPr>
  </w:style>
  <w:style w:type="table" w:styleId="PlainTable2">
    <w:name w:val="Plain Table 2"/>
    <w:basedOn w:val="TableNormal"/>
    <w:uiPriority w:val="42"/>
    <w:rsid w:val="00F35E86"/>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3">
    <w:name w:val="Table Grid3"/>
    <w:basedOn w:val="TableNormal"/>
    <w:next w:val="TableGrid"/>
    <w:uiPriority w:val="39"/>
    <w:rsid w:val="00CD1D47"/>
    <w:pPr>
      <w:ind w:left="83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No1Char">
    <w:name w:val="List No 1 Char"/>
    <w:basedOn w:val="DefaultParagraphFont"/>
    <w:link w:val="ListNo1"/>
    <w:locked/>
    <w:rsid w:val="005C03F3"/>
    <w:rPr>
      <w:rFonts w:cs="Calibri"/>
      <w:i/>
      <w:sz w:val="24"/>
    </w:rPr>
  </w:style>
  <w:style w:type="paragraph" w:customStyle="1" w:styleId="ListNo1">
    <w:name w:val="List No 1"/>
    <w:basedOn w:val="ListParagraph"/>
    <w:link w:val="ListNo1Char"/>
    <w:qFormat/>
    <w:rsid w:val="005C03F3"/>
    <w:pPr>
      <w:numPr>
        <w:numId w:val="18"/>
      </w:numPr>
    </w:pPr>
    <w:rPr>
      <w:rFonts w:cs="Calibri"/>
    </w:rPr>
  </w:style>
  <w:style w:type="character" w:customStyle="1" w:styleId="ListNo2Char">
    <w:name w:val="List No 2 Char"/>
    <w:basedOn w:val="DefaultParagraphFont"/>
    <w:link w:val="ListNo2"/>
    <w:locked/>
    <w:rsid w:val="006A2A99"/>
    <w:rPr>
      <w:rFonts w:cs="Calibri"/>
      <w:i/>
      <w:sz w:val="24"/>
    </w:rPr>
  </w:style>
  <w:style w:type="paragraph" w:customStyle="1" w:styleId="ListNo2">
    <w:name w:val="List No 2"/>
    <w:basedOn w:val="ListParagraph"/>
    <w:link w:val="ListNo2Char"/>
    <w:qFormat/>
    <w:rsid w:val="006A2A99"/>
    <w:pPr>
      <w:numPr>
        <w:numId w:val="19"/>
      </w:numPr>
      <w:spacing w:line="240" w:lineRule="auto"/>
    </w:pPr>
    <w:rPr>
      <w:rFonts w:cs="Calibri"/>
    </w:rPr>
  </w:style>
  <w:style w:type="table" w:styleId="GridTable5Dark-Accent1">
    <w:name w:val="Grid Table 5 Dark Accent 1"/>
    <w:basedOn w:val="TableNormal"/>
    <w:uiPriority w:val="50"/>
    <w:rsid w:val="007A39F9"/>
    <w:rPr>
      <w:rFonts w:asciiTheme="minorHAnsi" w:eastAsia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00Bullet1">
    <w:name w:val="00_Bullet 1"/>
    <w:basedOn w:val="Normal"/>
    <w:rsid w:val="00F422A0"/>
    <w:pPr>
      <w:numPr>
        <w:numId w:val="20"/>
      </w:numPr>
    </w:pPr>
  </w:style>
  <w:style w:type="character" w:customStyle="1" w:styleId="ListParagraphChar">
    <w:name w:val="List Paragraph Char"/>
    <w:basedOn w:val="DefaultParagraphFont"/>
    <w:link w:val="ListParagraph"/>
    <w:uiPriority w:val="34"/>
    <w:rsid w:val="00052AAB"/>
    <w:rPr>
      <w:i/>
      <w:sz w:val="24"/>
    </w:rPr>
  </w:style>
  <w:style w:type="paragraph" w:styleId="Subtitle">
    <w:name w:val="Subtitle"/>
    <w:basedOn w:val="Normal"/>
    <w:link w:val="SubtitleChar"/>
    <w:qFormat/>
    <w:rsid w:val="00C935B8"/>
    <w:pPr>
      <w:spacing w:after="60"/>
      <w:jc w:val="center"/>
      <w:outlineLvl w:val="1"/>
    </w:pPr>
    <w:rPr>
      <w:rFonts w:ascii="Yu Mincho Light" w:hAnsi="Yu Mincho Light" w:cs="Yu Mincho Light"/>
      <w:szCs w:val="24"/>
    </w:rPr>
  </w:style>
  <w:style w:type="character" w:customStyle="1" w:styleId="SubtitleChar">
    <w:name w:val="Subtitle Char"/>
    <w:basedOn w:val="DefaultParagraphFont"/>
    <w:link w:val="Subtitle"/>
    <w:rsid w:val="00C935B8"/>
    <w:rPr>
      <w:rFonts w:ascii="Yu Mincho Light" w:hAnsi="Yu Mincho Light" w:cs="Yu Mincho Light"/>
      <w:sz w:val="24"/>
      <w:szCs w:val="24"/>
    </w:rPr>
  </w:style>
  <w:style w:type="paragraph" w:customStyle="1" w:styleId="BulletNew">
    <w:name w:val="Bullet New"/>
    <w:basedOn w:val="BodyText"/>
    <w:link w:val="BulletNewChar"/>
    <w:qFormat/>
    <w:rsid w:val="00C935B8"/>
    <w:pPr>
      <w:numPr>
        <w:numId w:val="30"/>
      </w:numPr>
      <w:spacing w:after="120"/>
    </w:pPr>
  </w:style>
  <w:style w:type="character" w:customStyle="1" w:styleId="BulletNewChar">
    <w:name w:val="Bullet New Char"/>
    <w:basedOn w:val="BodyTextChar"/>
    <w:link w:val="BulletNew"/>
    <w:rsid w:val="00C935B8"/>
    <w:rPr>
      <w:sz w:val="24"/>
    </w:rPr>
  </w:style>
  <w:style w:type="paragraph" w:customStyle="1" w:styleId="Caption1">
    <w:name w:val="Caption 1"/>
    <w:basedOn w:val="Caption"/>
    <w:link w:val="Caption1Char"/>
    <w:rsid w:val="007E6E36"/>
    <w:rPr>
      <w:rFonts w:ascii="Times New Roman" w:hAnsi="Times New Roman"/>
      <w:sz w:val="21"/>
    </w:rPr>
  </w:style>
  <w:style w:type="character" w:customStyle="1" w:styleId="Caption1Char">
    <w:name w:val="Caption 1 Char"/>
    <w:basedOn w:val="DefaultParagraphFont"/>
    <w:link w:val="Caption1"/>
    <w:rsid w:val="007E6E36"/>
    <w:rPr>
      <w:rFonts w:eastAsiaTheme="minorHAnsi" w:cstheme="minorBidi"/>
      <w:b/>
      <w:iCs/>
      <w:color w:val="000000" w:themeColor="text1"/>
      <w:sz w:val="21"/>
      <w:szCs w:val="18"/>
    </w:rPr>
  </w:style>
  <w:style w:type="paragraph" w:customStyle="1" w:styleId="LFTBody">
    <w:name w:val="LFT Body"/>
    <w:uiPriority w:val="1"/>
    <w:qFormat/>
    <w:rsid w:val="0051048B"/>
    <w:pPr>
      <w:spacing w:after="200" w:line="264" w:lineRule="auto"/>
    </w:pPr>
    <w:rPr>
      <w:rFonts w:asciiTheme="minorHAnsi" w:eastAsiaTheme="minorHAnsi" w:hAnsiTheme="minorHAnsi" w:cstheme="minorBidi"/>
      <w:sz w:val="22"/>
      <w:szCs w:val="22"/>
      <w:lang w:bidi="en-US"/>
    </w:rPr>
  </w:style>
  <w:style w:type="paragraph" w:customStyle="1" w:styleId="LFTFootnote">
    <w:name w:val="LFT Footnote"/>
    <w:basedOn w:val="LFTBody"/>
    <w:uiPriority w:val="3"/>
    <w:rsid w:val="0051048B"/>
    <w:pPr>
      <w:suppressAutoHyphens/>
      <w:spacing w:after="100" w:line="216" w:lineRule="auto"/>
    </w:pPr>
    <w:rPr>
      <w:rFonts w:eastAsia="Calibri" w:cs="Times New Roman"/>
      <w:kern w:val="19"/>
      <w:sz w:val="17"/>
      <w:szCs w:val="17"/>
      <w:lang w:bidi="ar-SA"/>
    </w:rPr>
  </w:style>
  <w:style w:type="paragraph" w:customStyle="1" w:styleId="LFTHeading3">
    <w:name w:val="LFT Heading 3"/>
    <w:next w:val="LFTBody"/>
    <w:uiPriority w:val="1"/>
    <w:rsid w:val="00D73F70"/>
    <w:pPr>
      <w:keepNext/>
      <w:spacing w:after="60" w:line="216" w:lineRule="auto"/>
      <w:outlineLvl w:val="2"/>
    </w:pPr>
    <w:rPr>
      <w:rFonts w:asciiTheme="majorHAnsi" w:eastAsiaTheme="majorEastAsia" w:hAnsiTheme="majorHAnsi" w:cstheme="majorBidi"/>
      <w:b/>
      <w:bCs/>
      <w:color w:val="1F497D" w:themeColor="text2"/>
      <w:sz w:val="28"/>
      <w:szCs w:val="28"/>
      <w:lang w:bidi="en-US"/>
    </w:rPr>
  </w:style>
  <w:style w:type="paragraph" w:customStyle="1" w:styleId="LFTTableTitle">
    <w:name w:val="LFT Table Title"/>
    <w:basedOn w:val="LFTBody"/>
    <w:rsid w:val="00D73F70"/>
    <w:pPr>
      <w:keepNext/>
      <w:spacing w:after="60" w:line="216" w:lineRule="auto"/>
    </w:pPr>
    <w:rPr>
      <w:rFonts w:asciiTheme="majorHAnsi" w:hAnsiTheme="majorHAnsi"/>
      <w:b/>
      <w:bCs/>
      <w:sz w:val="21"/>
    </w:rPr>
  </w:style>
  <w:style w:type="paragraph" w:customStyle="1" w:styleId="LFTTableText">
    <w:name w:val="LFT Table Text"/>
    <w:basedOn w:val="LFTBody"/>
    <w:link w:val="LFTTableTextChar"/>
    <w:uiPriority w:val="3"/>
    <w:rsid w:val="00D73F70"/>
    <w:pPr>
      <w:spacing w:before="40" w:after="40" w:line="216" w:lineRule="auto"/>
    </w:pPr>
    <w:rPr>
      <w:rFonts w:asciiTheme="majorHAnsi" w:eastAsia="Times New Roman" w:hAnsiTheme="majorHAnsi"/>
      <w:bCs/>
      <w:sz w:val="19"/>
    </w:rPr>
  </w:style>
  <w:style w:type="character" w:customStyle="1" w:styleId="LFTTableTextChar">
    <w:name w:val="LFT Table Text Char"/>
    <w:basedOn w:val="DefaultParagraphFont"/>
    <w:link w:val="LFTTableText"/>
    <w:uiPriority w:val="3"/>
    <w:rsid w:val="00D73F70"/>
    <w:rPr>
      <w:rFonts w:asciiTheme="majorHAnsi" w:hAnsiTheme="majorHAnsi" w:cstheme="minorBidi"/>
      <w:bCs/>
      <w:sz w:val="19"/>
      <w:szCs w:val="22"/>
      <w:lang w:bidi="en-US"/>
    </w:rPr>
  </w:style>
  <w:style w:type="paragraph" w:customStyle="1" w:styleId="LFTTableHeader1">
    <w:name w:val="LFT Table Header 1"/>
    <w:basedOn w:val="Normal"/>
    <w:link w:val="LFTTableHeader1Char"/>
    <w:uiPriority w:val="3"/>
    <w:rsid w:val="00D73F70"/>
    <w:pPr>
      <w:spacing w:before="40" w:after="40" w:line="216" w:lineRule="auto"/>
      <w:jc w:val="center"/>
    </w:pPr>
    <w:rPr>
      <w:rFonts w:asciiTheme="majorHAnsi" w:eastAsiaTheme="minorHAnsi" w:hAnsiTheme="majorHAnsi" w:cstheme="minorBidi"/>
      <w:b/>
      <w:color w:val="FFFFFF" w:themeColor="background1"/>
      <w:sz w:val="20"/>
      <w:szCs w:val="22"/>
      <w:lang w:bidi="en-US"/>
    </w:rPr>
  </w:style>
  <w:style w:type="character" w:customStyle="1" w:styleId="LFTTableHeader1Char">
    <w:name w:val="LFT Table Header 1 Char"/>
    <w:basedOn w:val="DefaultParagraphFont"/>
    <w:link w:val="LFTTableHeader1"/>
    <w:uiPriority w:val="3"/>
    <w:rsid w:val="00D73F70"/>
    <w:rPr>
      <w:rFonts w:asciiTheme="majorHAnsi" w:eastAsiaTheme="minorHAnsi" w:hAnsiTheme="majorHAnsi" w:cstheme="minorBidi"/>
      <w:b/>
      <w:color w:val="FFFFFF" w:themeColor="background1"/>
      <w:szCs w:val="22"/>
      <w:lang w:bidi="en-US"/>
    </w:rPr>
  </w:style>
  <w:style w:type="paragraph" w:customStyle="1" w:styleId="LFTHeading2">
    <w:name w:val="LFT Heading 2"/>
    <w:next w:val="LFTBody"/>
    <w:uiPriority w:val="1"/>
    <w:rsid w:val="00787A27"/>
    <w:pPr>
      <w:keepNext/>
      <w:spacing w:after="60" w:line="216" w:lineRule="auto"/>
      <w:outlineLvl w:val="1"/>
    </w:pPr>
    <w:rPr>
      <w:rFonts w:asciiTheme="majorHAnsi" w:eastAsiaTheme="majorEastAsia" w:hAnsiTheme="majorHAnsi" w:cstheme="majorBidi"/>
      <w:bCs/>
      <w:color w:val="1F497D" w:themeColor="text2"/>
      <w:sz w:val="36"/>
      <w:szCs w:val="26"/>
      <w:lang w:bidi="en-US"/>
    </w:rPr>
  </w:style>
  <w:style w:type="paragraph" w:customStyle="1" w:styleId="LFTBullet1">
    <w:name w:val="LFT Bullet 1"/>
    <w:basedOn w:val="LFTBody"/>
    <w:link w:val="LFTBullet1Char"/>
    <w:uiPriority w:val="1"/>
    <w:rsid w:val="00FB059F"/>
    <w:pPr>
      <w:numPr>
        <w:numId w:val="32"/>
      </w:numPr>
    </w:pPr>
  </w:style>
  <w:style w:type="paragraph" w:customStyle="1" w:styleId="LFTBullet2">
    <w:name w:val="LFT Bullet 2"/>
    <w:basedOn w:val="LFTBody"/>
    <w:link w:val="LFTBullet2Char"/>
    <w:uiPriority w:val="1"/>
    <w:rsid w:val="00FB059F"/>
    <w:pPr>
      <w:numPr>
        <w:ilvl w:val="1"/>
        <w:numId w:val="32"/>
      </w:numPr>
    </w:pPr>
  </w:style>
  <w:style w:type="paragraph" w:customStyle="1" w:styleId="LFTBullet3">
    <w:name w:val="LFT Bullet 3"/>
    <w:basedOn w:val="LFTBody"/>
    <w:link w:val="LFTBullet3Char"/>
    <w:uiPriority w:val="1"/>
    <w:rsid w:val="00FB059F"/>
    <w:pPr>
      <w:numPr>
        <w:ilvl w:val="2"/>
        <w:numId w:val="32"/>
      </w:numPr>
    </w:pPr>
    <w:rPr>
      <w:i/>
    </w:rPr>
  </w:style>
  <w:style w:type="character" w:customStyle="1" w:styleId="LFTBullet3Char">
    <w:name w:val="LFT Bullet 3 Char"/>
    <w:basedOn w:val="DefaultParagraphFont"/>
    <w:link w:val="LFTBullet3"/>
    <w:uiPriority w:val="1"/>
    <w:rsid w:val="00FB059F"/>
    <w:rPr>
      <w:rFonts w:asciiTheme="minorHAnsi" w:eastAsiaTheme="minorHAnsi" w:hAnsiTheme="minorHAnsi" w:cstheme="minorBidi"/>
      <w:i/>
      <w:sz w:val="22"/>
      <w:szCs w:val="22"/>
      <w:lang w:bidi="en-US"/>
    </w:rPr>
  </w:style>
  <w:style w:type="paragraph" w:customStyle="1" w:styleId="LFTBullet4">
    <w:name w:val="LFT Bullet 4"/>
    <w:basedOn w:val="LFTBody"/>
    <w:uiPriority w:val="1"/>
    <w:rsid w:val="00FB059F"/>
    <w:pPr>
      <w:numPr>
        <w:ilvl w:val="3"/>
        <w:numId w:val="32"/>
      </w:numPr>
      <w:tabs>
        <w:tab w:val="left" w:pos="540"/>
      </w:tabs>
    </w:pPr>
    <w:rPr>
      <w:i/>
    </w:rPr>
  </w:style>
  <w:style w:type="numbering" w:customStyle="1" w:styleId="LFTBullets">
    <w:name w:val="LFT Bullets"/>
    <w:uiPriority w:val="99"/>
    <w:rsid w:val="00FB059F"/>
    <w:pPr>
      <w:numPr>
        <w:numId w:val="32"/>
      </w:numPr>
    </w:pPr>
  </w:style>
  <w:style w:type="paragraph" w:customStyle="1" w:styleId="LFTCaption">
    <w:name w:val="LFT Caption"/>
    <w:basedOn w:val="LFTBody"/>
    <w:link w:val="LFTCaptionChar"/>
    <w:uiPriority w:val="5"/>
    <w:rsid w:val="00BA1E65"/>
    <w:pPr>
      <w:spacing w:after="0" w:line="216" w:lineRule="auto"/>
    </w:pPr>
    <w:rPr>
      <w:rFonts w:asciiTheme="majorHAnsi" w:hAnsiTheme="majorHAnsi"/>
      <w:b/>
      <w:sz w:val="21"/>
      <w:szCs w:val="21"/>
    </w:rPr>
  </w:style>
  <w:style w:type="character" w:customStyle="1" w:styleId="LFTCaptionChar">
    <w:name w:val="LFT Caption Char"/>
    <w:basedOn w:val="DefaultParagraphFont"/>
    <w:link w:val="LFTCaption"/>
    <w:uiPriority w:val="5"/>
    <w:rsid w:val="00BA1E65"/>
    <w:rPr>
      <w:rFonts w:asciiTheme="majorHAnsi" w:eastAsiaTheme="minorHAnsi" w:hAnsiTheme="majorHAnsi" w:cstheme="minorBidi"/>
      <w:b/>
      <w:sz w:val="21"/>
      <w:szCs w:val="21"/>
      <w:lang w:bidi="en-US"/>
    </w:rPr>
  </w:style>
  <w:style w:type="paragraph" w:customStyle="1" w:styleId="LFTTableHeader2">
    <w:name w:val="LFT Table Header 2"/>
    <w:basedOn w:val="LFTTableHeader1"/>
    <w:link w:val="LFTTableHeader2Char"/>
    <w:uiPriority w:val="3"/>
    <w:rsid w:val="00BA1E65"/>
    <w:rPr>
      <w:rFonts w:eastAsia="Times New Roman"/>
      <w:sz w:val="19"/>
    </w:rPr>
  </w:style>
  <w:style w:type="character" w:customStyle="1" w:styleId="LFTTableHeader2Char">
    <w:name w:val="LFT Table Header 2 Char"/>
    <w:basedOn w:val="LFTTableTextChar"/>
    <w:link w:val="LFTTableHeader2"/>
    <w:uiPriority w:val="3"/>
    <w:rsid w:val="00BA1E65"/>
    <w:rPr>
      <w:rFonts w:asciiTheme="majorHAnsi" w:hAnsiTheme="majorHAnsi" w:cstheme="minorBidi"/>
      <w:b/>
      <w:bCs w:val="0"/>
      <w:color w:val="FFFFFF" w:themeColor="background1"/>
      <w:sz w:val="19"/>
      <w:szCs w:val="22"/>
      <w:lang w:bidi="en-US"/>
    </w:rPr>
  </w:style>
  <w:style w:type="character" w:customStyle="1" w:styleId="LFTBullet1Char">
    <w:name w:val="LFT Bullet 1 Char"/>
    <w:basedOn w:val="DefaultParagraphFont"/>
    <w:link w:val="LFTBullet1"/>
    <w:uiPriority w:val="1"/>
    <w:rsid w:val="00762AF9"/>
    <w:rPr>
      <w:rFonts w:asciiTheme="minorHAnsi" w:eastAsiaTheme="minorHAnsi" w:hAnsiTheme="minorHAnsi" w:cstheme="minorBidi"/>
      <w:sz w:val="22"/>
      <w:szCs w:val="22"/>
      <w:lang w:bidi="en-US"/>
    </w:rPr>
  </w:style>
  <w:style w:type="paragraph" w:customStyle="1" w:styleId="LFTHeading4">
    <w:name w:val="LFT Heading 4"/>
    <w:next w:val="LFTBody"/>
    <w:rsid w:val="00762AF9"/>
    <w:pPr>
      <w:keepNext/>
      <w:spacing w:after="60" w:line="216" w:lineRule="auto"/>
      <w:outlineLvl w:val="3"/>
    </w:pPr>
    <w:rPr>
      <w:rFonts w:asciiTheme="majorHAnsi" w:eastAsiaTheme="majorEastAsia" w:hAnsiTheme="majorHAnsi" w:cstheme="majorBidi"/>
      <w:b/>
      <w:bCs/>
      <w:color w:val="1F497D" w:themeColor="text2"/>
      <w:sz w:val="26"/>
      <w:szCs w:val="28"/>
      <w:lang w:bidi="en-US"/>
    </w:rPr>
  </w:style>
  <w:style w:type="paragraph" w:customStyle="1" w:styleId="LFTTableNotation">
    <w:name w:val="LFT Table Notation"/>
    <w:basedOn w:val="LFTBody"/>
    <w:uiPriority w:val="3"/>
    <w:rsid w:val="00762AF9"/>
    <w:rPr>
      <w:sz w:val="18"/>
    </w:rPr>
  </w:style>
  <w:style w:type="paragraph" w:customStyle="1" w:styleId="LFTFigureStyle">
    <w:name w:val="LFT Figure Style"/>
    <w:basedOn w:val="Normal"/>
    <w:link w:val="LFTFigureStyleChar"/>
    <w:rsid w:val="00762AF9"/>
    <w:pPr>
      <w:spacing w:line="216" w:lineRule="auto"/>
    </w:pPr>
    <w:rPr>
      <w:rFonts w:asciiTheme="majorHAnsi" w:eastAsiaTheme="minorHAnsi" w:hAnsiTheme="majorHAnsi" w:cstheme="minorBidi"/>
      <w:b/>
      <w:sz w:val="21"/>
      <w:szCs w:val="21"/>
      <w:lang w:bidi="en-US"/>
    </w:rPr>
  </w:style>
  <w:style w:type="character" w:customStyle="1" w:styleId="LFTFigureStyleChar">
    <w:name w:val="LFT Figure Style Char"/>
    <w:basedOn w:val="DefaultParagraphFont"/>
    <w:link w:val="LFTFigureStyle"/>
    <w:rsid w:val="00762AF9"/>
    <w:rPr>
      <w:rFonts w:asciiTheme="majorHAnsi" w:eastAsiaTheme="minorHAnsi" w:hAnsiTheme="majorHAnsi" w:cstheme="minorBidi"/>
      <w:b/>
      <w:sz w:val="21"/>
      <w:szCs w:val="21"/>
      <w:lang w:bidi="en-US"/>
    </w:rPr>
  </w:style>
  <w:style w:type="paragraph" w:customStyle="1" w:styleId="LFTHeading5">
    <w:name w:val="LFT Heading 5"/>
    <w:next w:val="LFTBody"/>
    <w:rsid w:val="00762AF9"/>
    <w:pPr>
      <w:keepNext/>
      <w:spacing w:after="60" w:line="216" w:lineRule="auto"/>
      <w:outlineLvl w:val="4"/>
    </w:pPr>
    <w:rPr>
      <w:rFonts w:asciiTheme="majorHAnsi" w:eastAsia="Calibri" w:hAnsiTheme="majorHAnsi"/>
      <w:bCs/>
      <w:i/>
      <w:iCs/>
      <w:color w:val="000000" w:themeColor="text1"/>
      <w:sz w:val="24"/>
      <w:szCs w:val="22"/>
      <w:lang w:bidi="en-US"/>
    </w:rPr>
  </w:style>
  <w:style w:type="table" w:customStyle="1" w:styleId="TableGrid4">
    <w:name w:val="Table Grid4"/>
    <w:basedOn w:val="TableNormal"/>
    <w:next w:val="TableGrid"/>
    <w:uiPriority w:val="39"/>
    <w:rsid w:val="009B3AE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lePageDate">
    <w:name w:val="Title Page Date"/>
    <w:basedOn w:val="Normal"/>
    <w:next w:val="Normal"/>
    <w:uiPriority w:val="42"/>
    <w:rsid w:val="0005254F"/>
    <w:pPr>
      <w:spacing w:before="480" w:line="240" w:lineRule="auto"/>
    </w:pPr>
    <w:rPr>
      <w:rFonts w:ascii="Arial" w:hAnsi="Arial" w:cs="Arial"/>
      <w:sz w:val="20"/>
    </w:rPr>
  </w:style>
  <w:style w:type="paragraph" w:customStyle="1" w:styleId="TitlePageAddress">
    <w:name w:val="Title Page Address"/>
    <w:basedOn w:val="Normal"/>
    <w:uiPriority w:val="41"/>
    <w:rsid w:val="0005254F"/>
    <w:pPr>
      <w:spacing w:line="240" w:lineRule="auto"/>
    </w:pPr>
    <w:rPr>
      <w:rFonts w:ascii="Arial" w:hAnsi="Arial" w:cs="Arial"/>
      <w:sz w:val="20"/>
    </w:rPr>
  </w:style>
  <w:style w:type="character" w:customStyle="1" w:styleId="TitlePageClient-GEIName">
    <w:name w:val="Title Page Client-GEI Name"/>
    <w:uiPriority w:val="39"/>
    <w:rsid w:val="0005254F"/>
    <w:rPr>
      <w:rFonts w:ascii="Arial" w:hAnsi="Arial"/>
      <w:b/>
      <w:bCs/>
      <w:sz w:val="22"/>
      <w:szCs w:val="22"/>
    </w:rPr>
  </w:style>
  <w:style w:type="paragraph" w:customStyle="1" w:styleId="TitlePageProjectNameL1">
    <w:name w:val="Title Page Project Name L1"/>
    <w:basedOn w:val="Normal"/>
    <w:next w:val="Normal"/>
    <w:uiPriority w:val="37"/>
    <w:rsid w:val="0005254F"/>
    <w:pPr>
      <w:keepNext/>
      <w:spacing w:before="40" w:after="60" w:line="240" w:lineRule="auto"/>
    </w:pPr>
    <w:rPr>
      <w:rFonts w:ascii="Arial Bold" w:hAnsi="Arial Bold"/>
      <w:b/>
      <w:sz w:val="36"/>
      <w:szCs w:val="36"/>
    </w:rPr>
  </w:style>
  <w:style w:type="paragraph" w:customStyle="1" w:styleId="TitlePageSubmittedtobyLine">
    <w:name w:val="Title Page Submitted to/by Line"/>
    <w:basedOn w:val="Normal"/>
    <w:next w:val="Normal"/>
    <w:uiPriority w:val="38"/>
    <w:rsid w:val="0005254F"/>
    <w:pPr>
      <w:spacing w:before="480" w:line="240" w:lineRule="auto"/>
    </w:pPr>
    <w:rPr>
      <w:rFonts w:ascii="Arial" w:hAnsi="Arial" w:cs="Arial"/>
      <w:i/>
      <w:sz w:val="20"/>
    </w:rPr>
  </w:style>
  <w:style w:type="paragraph" w:customStyle="1" w:styleId="SignatureName-Date">
    <w:name w:val="Signature Name-Date"/>
    <w:basedOn w:val="Signatureline"/>
    <w:uiPriority w:val="45"/>
    <w:qFormat/>
    <w:rsid w:val="0005254F"/>
    <w:pPr>
      <w:pBdr>
        <w:bottom w:val="none" w:sz="0" w:space="0" w:color="auto"/>
      </w:pBdr>
      <w:tabs>
        <w:tab w:val="center" w:pos="1980"/>
        <w:tab w:val="right" w:pos="3600"/>
      </w:tabs>
      <w:spacing w:before="40" w:after="0"/>
    </w:pPr>
    <w:rPr>
      <w:rFonts w:ascii="Arial" w:eastAsiaTheme="minorHAnsi" w:hAnsi="Arial"/>
    </w:rPr>
  </w:style>
  <w:style w:type="paragraph" w:customStyle="1" w:styleId="RptTitleAddress">
    <w:name w:val="Rpt Title Address"/>
    <w:basedOn w:val="Normal"/>
    <w:rsid w:val="0005254F"/>
    <w:rPr>
      <w:rFonts w:ascii="Arial" w:hAnsi="Arial" w:cs="Arial"/>
      <w:sz w:val="20"/>
    </w:rPr>
  </w:style>
  <w:style w:type="character" w:customStyle="1" w:styleId="Heading5Char">
    <w:name w:val="Heading 5 Char"/>
    <w:aliases w:val="Heading 5 - No Number- IN TOC Char"/>
    <w:basedOn w:val="DefaultParagraphFont"/>
    <w:link w:val="Heading5"/>
    <w:uiPriority w:val="8"/>
    <w:rsid w:val="00524F10"/>
    <w:rPr>
      <w:rFonts w:ascii="Arial" w:hAnsi="Arial"/>
      <w:b/>
      <w:bCs/>
      <w:iCs/>
      <w:sz w:val="36"/>
      <w:szCs w:val="26"/>
    </w:rPr>
  </w:style>
  <w:style w:type="character" w:customStyle="1" w:styleId="Heading6Char">
    <w:name w:val="Heading 6 Char"/>
    <w:aliases w:val="Heading 6 - Use this for Appendix Heading Char"/>
    <w:basedOn w:val="DefaultParagraphFont"/>
    <w:link w:val="Heading6"/>
    <w:uiPriority w:val="8"/>
    <w:rsid w:val="00524F10"/>
    <w:rPr>
      <w:rFonts w:ascii="Arial" w:hAnsi="Arial"/>
      <w:b/>
      <w:bCs/>
      <w:sz w:val="36"/>
      <w:szCs w:val="22"/>
    </w:rPr>
  </w:style>
  <w:style w:type="character" w:customStyle="1" w:styleId="Heading7Char">
    <w:name w:val="Heading 7 Char"/>
    <w:basedOn w:val="DefaultParagraphFont"/>
    <w:link w:val="Heading7"/>
    <w:uiPriority w:val="8"/>
    <w:rsid w:val="00524F10"/>
    <w:rPr>
      <w:b/>
      <w:sz w:val="26"/>
      <w:szCs w:val="24"/>
    </w:rPr>
  </w:style>
  <w:style w:type="character" w:customStyle="1" w:styleId="Heading8Char">
    <w:name w:val="Heading 8 Char"/>
    <w:basedOn w:val="DefaultParagraphFont"/>
    <w:link w:val="Heading8"/>
    <w:uiPriority w:val="54"/>
    <w:rsid w:val="00524F10"/>
    <w:rPr>
      <w:b/>
      <w:iCs/>
      <w:sz w:val="24"/>
      <w:szCs w:val="24"/>
    </w:rPr>
  </w:style>
  <w:style w:type="character" w:customStyle="1" w:styleId="Heading9Char">
    <w:name w:val="Heading 9 Char"/>
    <w:basedOn w:val="DefaultParagraphFont"/>
    <w:link w:val="Heading9"/>
    <w:uiPriority w:val="54"/>
    <w:rsid w:val="00524F10"/>
    <w:rPr>
      <w:rFonts w:ascii="Arial" w:hAnsi="Arial"/>
      <w:sz w:val="22"/>
      <w:szCs w:val="22"/>
    </w:rPr>
  </w:style>
  <w:style w:type="character" w:customStyle="1" w:styleId="PlainTextChar">
    <w:name w:val="Plain Text Char"/>
    <w:basedOn w:val="DefaultParagraphFont"/>
    <w:link w:val="PlainText"/>
    <w:uiPriority w:val="99"/>
    <w:semiHidden/>
    <w:rsid w:val="00524F10"/>
    <w:rPr>
      <w:rFonts w:ascii="Courier New" w:hAnsi="Courier New" w:cs="Courier New"/>
    </w:rPr>
  </w:style>
  <w:style w:type="character" w:customStyle="1" w:styleId="BodyText2Char">
    <w:name w:val="Body Text 2 Char"/>
    <w:basedOn w:val="DefaultParagraphFont"/>
    <w:link w:val="BodyText2"/>
    <w:semiHidden/>
    <w:rsid w:val="00524F10"/>
    <w:rPr>
      <w:color w:val="FF0000"/>
      <w:sz w:val="24"/>
    </w:rPr>
  </w:style>
  <w:style w:type="character" w:customStyle="1" w:styleId="TitleChar">
    <w:name w:val="Title Char"/>
    <w:basedOn w:val="DefaultParagraphFont"/>
    <w:link w:val="Title"/>
    <w:rsid w:val="00524F10"/>
    <w:rPr>
      <w:rFonts w:ascii="Arial" w:hAnsi="Arial" w:cs="Arial"/>
      <w:b/>
      <w:bCs/>
      <w:kern w:val="28"/>
      <w:sz w:val="32"/>
      <w:szCs w:val="32"/>
    </w:rPr>
  </w:style>
  <w:style w:type="character" w:customStyle="1" w:styleId="DateChar">
    <w:name w:val="Date Char"/>
    <w:basedOn w:val="DefaultParagraphFont"/>
    <w:link w:val="Date"/>
    <w:rsid w:val="00524F10"/>
    <w:rPr>
      <w:sz w:val="24"/>
    </w:rPr>
  </w:style>
  <w:style w:type="character" w:customStyle="1" w:styleId="LFTBullet2Char">
    <w:name w:val="LFT Bullet 2 Char"/>
    <w:basedOn w:val="LFTBullet1Char"/>
    <w:link w:val="LFTBullet2"/>
    <w:uiPriority w:val="1"/>
    <w:rsid w:val="00524F10"/>
    <w:rPr>
      <w:rFonts w:asciiTheme="minorHAnsi" w:eastAsiaTheme="minorHAnsi" w:hAnsiTheme="minorHAnsi" w:cstheme="minorBidi"/>
      <w:sz w:val="22"/>
      <w:szCs w:val="22"/>
      <w:lang w:bidi="en-US"/>
    </w:rPr>
  </w:style>
  <w:style w:type="paragraph" w:customStyle="1" w:styleId="LFTTabletext0">
    <w:name w:val="LFT Table text"/>
    <w:basedOn w:val="Normal"/>
    <w:rsid w:val="00524F10"/>
    <w:pPr>
      <w:spacing w:after="60" w:line="216" w:lineRule="auto"/>
    </w:pPr>
    <w:rPr>
      <w:rFonts w:asciiTheme="majorHAnsi" w:eastAsiaTheme="minorHAnsi" w:hAnsiTheme="majorHAnsi" w:cstheme="minorBidi"/>
      <w:bCs/>
      <w:sz w:val="18"/>
      <w:szCs w:val="22"/>
      <w:lang w:bidi="en-US"/>
    </w:rPr>
  </w:style>
  <w:style w:type="paragraph" w:customStyle="1" w:styleId="LFTNumberedList">
    <w:name w:val="LFT Numbered List"/>
    <w:basedOn w:val="LFTBody"/>
    <w:rsid w:val="00524F10"/>
    <w:pPr>
      <w:numPr>
        <w:numId w:val="37"/>
      </w:numPr>
      <w:ind w:left="0" w:firstLine="0"/>
    </w:pPr>
  </w:style>
  <w:style w:type="paragraph" w:customStyle="1" w:styleId="BulletLevel1More">
    <w:name w:val="Bullet Level 1 More"/>
    <w:basedOn w:val="Normal"/>
    <w:uiPriority w:val="15"/>
    <w:rsid w:val="00524F10"/>
    <w:pPr>
      <w:numPr>
        <w:numId w:val="38"/>
      </w:numPr>
      <w:spacing w:after="240"/>
      <w:ind w:left="0" w:firstLine="0"/>
    </w:pPr>
    <w:rPr>
      <w:szCs w:val="24"/>
    </w:rPr>
  </w:style>
  <w:style w:type="paragraph" w:customStyle="1" w:styleId="BulletLevel2Less">
    <w:name w:val="Bullet Level 2 Less"/>
    <w:basedOn w:val="Normal"/>
    <w:uiPriority w:val="15"/>
    <w:rsid w:val="00524F10"/>
    <w:pPr>
      <w:numPr>
        <w:numId w:val="39"/>
      </w:numPr>
      <w:tabs>
        <w:tab w:val="left" w:pos="936"/>
      </w:tabs>
      <w:spacing w:after="40"/>
      <w:ind w:left="0" w:firstLine="0"/>
    </w:pPr>
    <w:rPr>
      <w:szCs w:val="24"/>
    </w:rPr>
  </w:style>
  <w:style w:type="paragraph" w:customStyle="1" w:styleId="BulletLevel3More">
    <w:name w:val="Bullet Level 3 More"/>
    <w:basedOn w:val="ListParagraph"/>
    <w:uiPriority w:val="15"/>
    <w:rsid w:val="00524F10"/>
    <w:pPr>
      <w:numPr>
        <w:numId w:val="40"/>
      </w:numPr>
      <w:tabs>
        <w:tab w:val="left" w:pos="1152"/>
      </w:tabs>
      <w:spacing w:after="240"/>
      <w:ind w:left="0" w:right="0" w:firstLine="0"/>
    </w:pPr>
    <w:rPr>
      <w:rFonts w:eastAsiaTheme="minorHAnsi"/>
      <w:i w:val="0"/>
    </w:rPr>
  </w:style>
  <w:style w:type="paragraph" w:customStyle="1" w:styleId="ListofAppsStyle">
    <w:name w:val="List of Apps Style"/>
    <w:basedOn w:val="Normal"/>
    <w:uiPriority w:val="50"/>
    <w:rsid w:val="00524F10"/>
    <w:pPr>
      <w:tabs>
        <w:tab w:val="left" w:pos="1320"/>
        <w:tab w:val="right" w:leader="dot" w:pos="9000"/>
      </w:tabs>
      <w:spacing w:after="60" w:line="240" w:lineRule="auto"/>
      <w:ind w:left="1320" w:right="540" w:hanging="1320"/>
    </w:pPr>
    <w:rPr>
      <w:rFonts w:ascii="Arial" w:hAnsi="Arial" w:cs="Arial"/>
      <w:noProof/>
      <w:sz w:val="20"/>
    </w:rPr>
  </w:style>
  <w:style w:type="paragraph" w:customStyle="1" w:styleId="TitlePageProjectNumber">
    <w:name w:val="Title Page Project Number"/>
    <w:basedOn w:val="Normal"/>
    <w:next w:val="Normal"/>
    <w:uiPriority w:val="43"/>
    <w:rsid w:val="00524F10"/>
    <w:pPr>
      <w:spacing w:after="960" w:line="240" w:lineRule="auto"/>
    </w:pPr>
    <w:rPr>
      <w:rFonts w:ascii="Arial" w:hAnsi="Arial" w:cs="Arial"/>
      <w:sz w:val="20"/>
    </w:rPr>
  </w:style>
  <w:style w:type="paragraph" w:customStyle="1" w:styleId="TitlePageProjectNameL2">
    <w:name w:val="Title Page Project Name L2"/>
    <w:basedOn w:val="TitlePageProjectNameL1"/>
    <w:next w:val="Normal"/>
    <w:uiPriority w:val="37"/>
    <w:rsid w:val="00524F10"/>
    <w:pPr>
      <w:spacing w:before="60" w:after="0"/>
    </w:pPr>
    <w:rPr>
      <w:sz w:val="24"/>
      <w:szCs w:val="24"/>
    </w:rPr>
  </w:style>
  <w:style w:type="paragraph" w:customStyle="1" w:styleId="TitlePageProjectNameL3">
    <w:name w:val="Title Page Project Name L3"/>
    <w:uiPriority w:val="37"/>
    <w:rsid w:val="00524F10"/>
    <w:pPr>
      <w:spacing w:before="60"/>
    </w:pPr>
    <w:rPr>
      <w:rFonts w:ascii="Arial" w:hAnsi="Arial" w:cs="Arial"/>
      <w:sz w:val="24"/>
      <w:szCs w:val="24"/>
    </w:rPr>
  </w:style>
  <w:style w:type="paragraph" w:customStyle="1" w:styleId="SNLevel1">
    <w:name w:val="SN Level 1"/>
    <w:uiPriority w:val="57"/>
    <w:rsid w:val="00524F10"/>
    <w:pPr>
      <w:numPr>
        <w:numId w:val="41"/>
      </w:numPr>
      <w:tabs>
        <w:tab w:val="clear" w:pos="1080"/>
      </w:tabs>
      <w:spacing w:after="120" w:line="264" w:lineRule="auto"/>
      <w:ind w:left="0" w:firstLine="0"/>
    </w:pPr>
    <w:rPr>
      <w:spacing w:val="-5"/>
      <w:sz w:val="24"/>
      <w:szCs w:val="24"/>
    </w:rPr>
  </w:style>
  <w:style w:type="paragraph" w:customStyle="1" w:styleId="TOCTitle">
    <w:name w:val="TOC Title"/>
    <w:next w:val="Normal"/>
    <w:uiPriority w:val="46"/>
    <w:rsid w:val="00524F10"/>
    <w:pPr>
      <w:keepNext/>
      <w:pBdr>
        <w:bottom w:val="single" w:sz="24" w:space="4" w:color="7F7F7F" w:themeColor="text1" w:themeTint="80"/>
      </w:pBdr>
      <w:spacing w:after="480"/>
    </w:pPr>
    <w:rPr>
      <w:rFonts w:ascii="Arial" w:hAnsi="Arial"/>
      <w:b/>
      <w:sz w:val="36"/>
    </w:rPr>
  </w:style>
  <w:style w:type="paragraph" w:customStyle="1" w:styleId="ListofAppendicesStyle">
    <w:name w:val="List of Appendices Style"/>
    <w:basedOn w:val="TOC1"/>
    <w:rsid w:val="00524F10"/>
    <w:pPr>
      <w:pBdr>
        <w:bottom w:val="none" w:sz="0" w:space="0" w:color="auto"/>
        <w:between w:val="none" w:sz="0" w:space="0" w:color="auto"/>
      </w:pBdr>
      <w:tabs>
        <w:tab w:val="clear" w:pos="792"/>
        <w:tab w:val="clear" w:pos="8990"/>
        <w:tab w:val="left" w:pos="1440"/>
        <w:tab w:val="right" w:leader="dot" w:pos="9000"/>
      </w:tabs>
      <w:spacing w:before="0" w:after="60" w:line="259" w:lineRule="auto"/>
      <w:ind w:left="1440" w:right="245" w:hanging="1440"/>
    </w:pPr>
    <w:rPr>
      <w:rFonts w:cs="Arial"/>
      <w:b w:val="0"/>
      <w:noProof/>
      <w:color w:val="000000" w:themeColor="text1"/>
      <w:sz w:val="20"/>
      <w:szCs w:val="24"/>
    </w:rPr>
  </w:style>
  <w:style w:type="paragraph" w:customStyle="1" w:styleId="CDMMemoTEXT">
    <w:name w:val="CDM Memo/TEXT"/>
    <w:basedOn w:val="Normal"/>
    <w:link w:val="CDMMemoTEXTChar2"/>
    <w:rsid w:val="00524F10"/>
    <w:pPr>
      <w:spacing w:after="240" w:line="280" w:lineRule="exact"/>
    </w:pPr>
    <w:rPr>
      <w:rFonts w:ascii="Book Antiqua" w:hAnsi="Book Antiqua"/>
      <w:sz w:val="22"/>
    </w:rPr>
  </w:style>
  <w:style w:type="character" w:customStyle="1" w:styleId="CDMMemoTEXTChar2">
    <w:name w:val="CDM Memo/TEXT Char2"/>
    <w:basedOn w:val="DefaultParagraphFont"/>
    <w:link w:val="CDMMemoTEXT"/>
    <w:locked/>
    <w:rsid w:val="00524F10"/>
    <w:rPr>
      <w:rFonts w:ascii="Book Antiqua" w:hAnsi="Book Antiqua"/>
      <w:sz w:val="22"/>
    </w:rPr>
  </w:style>
  <w:style w:type="paragraph" w:customStyle="1" w:styleId="Bullet1">
    <w:name w:val="Bullet 1"/>
    <w:basedOn w:val="Normal"/>
    <w:uiPriority w:val="1"/>
    <w:rsid w:val="00524F10"/>
    <w:pPr>
      <w:tabs>
        <w:tab w:val="left" w:pos="540"/>
      </w:tabs>
      <w:spacing w:after="200"/>
    </w:pPr>
    <w:rPr>
      <w:rFonts w:ascii="Constantia" w:eastAsia="Constantia" w:hAnsi="Constantia"/>
      <w:sz w:val="20"/>
      <w:szCs w:val="22"/>
      <w:lang w:bidi="en-US"/>
    </w:rPr>
  </w:style>
  <w:style w:type="paragraph" w:customStyle="1" w:styleId="CDMBTEXT">
    <w:name w:val="CDM B/TEXT"/>
    <w:basedOn w:val="Normal"/>
    <w:link w:val="CDMBTEXTChar1"/>
    <w:rsid w:val="00524F10"/>
    <w:pPr>
      <w:spacing w:after="240" w:line="280" w:lineRule="exact"/>
    </w:pPr>
    <w:rPr>
      <w:rFonts w:ascii="Book Antiqua" w:hAnsi="Book Antiqua"/>
      <w:sz w:val="22"/>
    </w:rPr>
  </w:style>
  <w:style w:type="character" w:customStyle="1" w:styleId="CDMBTEXTChar1">
    <w:name w:val="CDM B/TEXT Char1"/>
    <w:basedOn w:val="DefaultParagraphFont"/>
    <w:link w:val="CDMBTEXT"/>
    <w:locked/>
    <w:rsid w:val="00524F10"/>
    <w:rPr>
      <w:rFonts w:ascii="Book Antiqua" w:hAnsi="Book Antiqua"/>
      <w:sz w:val="22"/>
    </w:rPr>
  </w:style>
  <w:style w:type="paragraph" w:styleId="NormalWeb">
    <w:name w:val="Normal (Web)"/>
    <w:basedOn w:val="Normal"/>
    <w:uiPriority w:val="99"/>
    <w:semiHidden/>
    <w:unhideWhenUsed/>
    <w:rsid w:val="00524F10"/>
    <w:pPr>
      <w:spacing w:before="100" w:beforeAutospacing="1" w:after="100" w:afterAutospacing="1" w:line="240" w:lineRule="auto"/>
    </w:pPr>
    <w:rPr>
      <w:szCs w:val="24"/>
    </w:rPr>
  </w:style>
  <w:style w:type="paragraph" w:customStyle="1" w:styleId="CDMLetterBULLET">
    <w:name w:val="CDM Letter/BULLET"/>
    <w:basedOn w:val="Normal"/>
    <w:qFormat/>
    <w:rsid w:val="00D55AB5"/>
    <w:pPr>
      <w:numPr>
        <w:numId w:val="52"/>
      </w:numPr>
      <w:tabs>
        <w:tab w:val="left" w:pos="240"/>
      </w:tabs>
      <w:spacing w:after="240" w:line="280" w:lineRule="exact"/>
    </w:pPr>
    <w:rPr>
      <w:rFonts w:ascii="Book Antiqua" w:hAnsi="Book Antiqua"/>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626650">
      <w:bodyDiv w:val="1"/>
      <w:marLeft w:val="0"/>
      <w:marRight w:val="0"/>
      <w:marTop w:val="0"/>
      <w:marBottom w:val="0"/>
      <w:divBdr>
        <w:top w:val="none" w:sz="0" w:space="0" w:color="auto"/>
        <w:left w:val="none" w:sz="0" w:space="0" w:color="auto"/>
        <w:bottom w:val="none" w:sz="0" w:space="0" w:color="auto"/>
        <w:right w:val="none" w:sz="0" w:space="0" w:color="auto"/>
      </w:divBdr>
    </w:div>
    <w:div w:id="216211123">
      <w:bodyDiv w:val="1"/>
      <w:marLeft w:val="0"/>
      <w:marRight w:val="0"/>
      <w:marTop w:val="0"/>
      <w:marBottom w:val="0"/>
      <w:divBdr>
        <w:top w:val="none" w:sz="0" w:space="0" w:color="auto"/>
        <w:left w:val="none" w:sz="0" w:space="0" w:color="auto"/>
        <w:bottom w:val="none" w:sz="0" w:space="0" w:color="auto"/>
        <w:right w:val="none" w:sz="0" w:space="0" w:color="auto"/>
      </w:divBdr>
    </w:div>
    <w:div w:id="286132604">
      <w:bodyDiv w:val="1"/>
      <w:marLeft w:val="0"/>
      <w:marRight w:val="0"/>
      <w:marTop w:val="0"/>
      <w:marBottom w:val="0"/>
      <w:divBdr>
        <w:top w:val="none" w:sz="0" w:space="0" w:color="auto"/>
        <w:left w:val="none" w:sz="0" w:space="0" w:color="auto"/>
        <w:bottom w:val="none" w:sz="0" w:space="0" w:color="auto"/>
        <w:right w:val="none" w:sz="0" w:space="0" w:color="auto"/>
      </w:divBdr>
    </w:div>
    <w:div w:id="338242362">
      <w:bodyDiv w:val="1"/>
      <w:marLeft w:val="0"/>
      <w:marRight w:val="0"/>
      <w:marTop w:val="0"/>
      <w:marBottom w:val="0"/>
      <w:divBdr>
        <w:top w:val="none" w:sz="0" w:space="0" w:color="auto"/>
        <w:left w:val="none" w:sz="0" w:space="0" w:color="auto"/>
        <w:bottom w:val="none" w:sz="0" w:space="0" w:color="auto"/>
        <w:right w:val="none" w:sz="0" w:space="0" w:color="auto"/>
      </w:divBdr>
    </w:div>
    <w:div w:id="392125122">
      <w:bodyDiv w:val="1"/>
      <w:marLeft w:val="0"/>
      <w:marRight w:val="0"/>
      <w:marTop w:val="0"/>
      <w:marBottom w:val="0"/>
      <w:divBdr>
        <w:top w:val="none" w:sz="0" w:space="0" w:color="auto"/>
        <w:left w:val="none" w:sz="0" w:space="0" w:color="auto"/>
        <w:bottom w:val="none" w:sz="0" w:space="0" w:color="auto"/>
        <w:right w:val="none" w:sz="0" w:space="0" w:color="auto"/>
      </w:divBdr>
    </w:div>
    <w:div w:id="471599468">
      <w:bodyDiv w:val="1"/>
      <w:marLeft w:val="0"/>
      <w:marRight w:val="0"/>
      <w:marTop w:val="0"/>
      <w:marBottom w:val="0"/>
      <w:divBdr>
        <w:top w:val="none" w:sz="0" w:space="0" w:color="auto"/>
        <w:left w:val="none" w:sz="0" w:space="0" w:color="auto"/>
        <w:bottom w:val="none" w:sz="0" w:space="0" w:color="auto"/>
        <w:right w:val="none" w:sz="0" w:space="0" w:color="auto"/>
      </w:divBdr>
    </w:div>
    <w:div w:id="548079545">
      <w:bodyDiv w:val="1"/>
      <w:marLeft w:val="0"/>
      <w:marRight w:val="0"/>
      <w:marTop w:val="0"/>
      <w:marBottom w:val="0"/>
      <w:divBdr>
        <w:top w:val="none" w:sz="0" w:space="0" w:color="auto"/>
        <w:left w:val="none" w:sz="0" w:space="0" w:color="auto"/>
        <w:bottom w:val="none" w:sz="0" w:space="0" w:color="auto"/>
        <w:right w:val="none" w:sz="0" w:space="0" w:color="auto"/>
      </w:divBdr>
    </w:div>
    <w:div w:id="570891390">
      <w:bodyDiv w:val="1"/>
      <w:marLeft w:val="0"/>
      <w:marRight w:val="0"/>
      <w:marTop w:val="0"/>
      <w:marBottom w:val="0"/>
      <w:divBdr>
        <w:top w:val="none" w:sz="0" w:space="0" w:color="auto"/>
        <w:left w:val="none" w:sz="0" w:space="0" w:color="auto"/>
        <w:bottom w:val="none" w:sz="0" w:space="0" w:color="auto"/>
        <w:right w:val="none" w:sz="0" w:space="0" w:color="auto"/>
      </w:divBdr>
    </w:div>
    <w:div w:id="628323899">
      <w:bodyDiv w:val="1"/>
      <w:marLeft w:val="0"/>
      <w:marRight w:val="0"/>
      <w:marTop w:val="0"/>
      <w:marBottom w:val="0"/>
      <w:divBdr>
        <w:top w:val="none" w:sz="0" w:space="0" w:color="auto"/>
        <w:left w:val="none" w:sz="0" w:space="0" w:color="auto"/>
        <w:bottom w:val="none" w:sz="0" w:space="0" w:color="auto"/>
        <w:right w:val="none" w:sz="0" w:space="0" w:color="auto"/>
      </w:divBdr>
    </w:div>
    <w:div w:id="1702852353">
      <w:bodyDiv w:val="1"/>
      <w:marLeft w:val="0"/>
      <w:marRight w:val="0"/>
      <w:marTop w:val="0"/>
      <w:marBottom w:val="0"/>
      <w:divBdr>
        <w:top w:val="none" w:sz="0" w:space="0" w:color="auto"/>
        <w:left w:val="none" w:sz="0" w:space="0" w:color="auto"/>
        <w:bottom w:val="none" w:sz="0" w:space="0" w:color="auto"/>
        <w:right w:val="none" w:sz="0" w:space="0" w:color="auto"/>
      </w:divBdr>
    </w:div>
    <w:div w:id="1710496056">
      <w:bodyDiv w:val="1"/>
      <w:marLeft w:val="0"/>
      <w:marRight w:val="0"/>
      <w:marTop w:val="0"/>
      <w:marBottom w:val="0"/>
      <w:divBdr>
        <w:top w:val="none" w:sz="0" w:space="0" w:color="auto"/>
        <w:left w:val="none" w:sz="0" w:space="0" w:color="auto"/>
        <w:bottom w:val="none" w:sz="0" w:space="0" w:color="auto"/>
        <w:right w:val="none" w:sz="0" w:space="0" w:color="auto"/>
      </w:divBdr>
    </w:div>
    <w:div w:id="198535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aterboards.ca.gov/santaana/board_decisions/adopted_orders/orders/2015/R8-2015-0004_Updated_General_WDR_for_Discharges_to_Surface_Waters_that_Pose_an_Insignificant_Deminimis_Threat_to_WQ2.pdf" TargetMode="External"/><Relationship Id="rId21" Type="http://schemas.openxmlformats.org/officeDocument/2006/relationships/image" Target="media/image5.png"/><Relationship Id="rId34" Type="http://schemas.openxmlformats.org/officeDocument/2006/relationships/comments" Target="comments.xm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63" Type="http://schemas.openxmlformats.org/officeDocument/2006/relationships/chart" Target="charts/chart6.xml"/><Relationship Id="rId68" Type="http://schemas.openxmlformats.org/officeDocument/2006/relationships/footer" Target="footer5.xml"/><Relationship Id="rId7" Type="http://schemas.openxmlformats.org/officeDocument/2006/relationships/settings" Target="settings.xml"/><Relationship Id="rId71" Type="http://schemas.openxmlformats.org/officeDocument/2006/relationships/footer" Target="footer7.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0.png"/><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chart" Target="charts/chart4.xml"/><Relationship Id="rId37" Type="http://schemas.microsoft.com/office/2018/08/relationships/commentsExtensible" Target="commentsExtensible.xml"/><Relationship Id="rId40" Type="http://schemas.openxmlformats.org/officeDocument/2006/relationships/image" Target="media/image13.png"/><Relationship Id="rId45" Type="http://schemas.openxmlformats.org/officeDocument/2006/relationships/image" Target="media/image18.png"/><Relationship Id="rId58" Type="http://schemas.openxmlformats.org/officeDocument/2006/relationships/image" Target="media/image24.png"/><Relationship Id="rId66" Type="http://schemas.openxmlformats.org/officeDocument/2006/relationships/image" Target="media/image29.jpe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7.png"/><Relationship Id="rId19" Type="http://schemas.openxmlformats.org/officeDocument/2006/relationships/hyperlink" Target="https://sarwqmdashboard.org/" TargetMode="Externa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chart" Target="charts/chart2.xml"/><Relationship Id="rId35" Type="http://schemas.microsoft.com/office/2011/relationships/commentsExtended" Target="commentsExtended.xm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chart" Target="charts/chart7.xml"/><Relationship Id="rId69" Type="http://schemas.openxmlformats.org/officeDocument/2006/relationships/image" Target="media/image31.png"/><Relationship Id="rId8" Type="http://schemas.openxmlformats.org/officeDocument/2006/relationships/webSettings" Target="webSettings.xm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sawpa.org/task-forces/middle-santa-ana-river-watershed-tmdl-task-force/" TargetMode="External"/><Relationship Id="rId25" Type="http://schemas.openxmlformats.org/officeDocument/2006/relationships/footer" Target="footer3.xml"/><Relationship Id="rId33" Type="http://schemas.openxmlformats.org/officeDocument/2006/relationships/chart" Target="charts/chart5.xml"/><Relationship Id="rId38" Type="http://schemas.openxmlformats.org/officeDocument/2006/relationships/image" Target="media/image11.jpg"/><Relationship Id="rId46" Type="http://schemas.openxmlformats.org/officeDocument/2006/relationships/image" Target="media/image19.png"/><Relationship Id="rId59" Type="http://schemas.openxmlformats.org/officeDocument/2006/relationships/image" Target="media/image25.jpeg"/><Relationship Id="rId67" Type="http://schemas.openxmlformats.org/officeDocument/2006/relationships/image" Target="media/image30.png"/><Relationship Id="rId20" Type="http://schemas.openxmlformats.org/officeDocument/2006/relationships/image" Target="media/image4.jpeg"/><Relationship Id="rId41" Type="http://schemas.openxmlformats.org/officeDocument/2006/relationships/image" Target="media/image14.png"/><Relationship Id="rId62" Type="http://schemas.openxmlformats.org/officeDocument/2006/relationships/image" Target="media/image28.png"/><Relationship Id="rId7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chart" Target="charts/chart1.xml"/><Relationship Id="rId36" Type="http://schemas.microsoft.com/office/2016/09/relationships/commentsIds" Target="commentsIds.xml"/><Relationship Id="rId49" Type="http://schemas.openxmlformats.org/officeDocument/2006/relationships/image" Target="media/image22.jpg"/><Relationship Id="rId57" Type="http://schemas.openxmlformats.org/officeDocument/2006/relationships/image" Target="media/image29.png"/><Relationship Id="rId10" Type="http://schemas.openxmlformats.org/officeDocument/2006/relationships/endnotes" Target="endnotes.xml"/><Relationship Id="rId31" Type="http://schemas.openxmlformats.org/officeDocument/2006/relationships/chart" Target="charts/chart3.xml"/><Relationship Id="rId44" Type="http://schemas.openxmlformats.org/officeDocument/2006/relationships/image" Target="media/image17.png"/><Relationship Id="rId60" Type="http://schemas.openxmlformats.org/officeDocument/2006/relationships/image" Target="media/image26.png"/><Relationship Id="rId65" Type="http://schemas.openxmlformats.org/officeDocument/2006/relationships/footer" Target="footer4.xml"/><Relationship Id="rId73"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s://sawpa.org/task-forces/middle-santa-ana-river-watershed-tmdl-task-force/" TargetMode="External"/><Relationship Id="rId39" Type="http://schemas.openxmlformats.org/officeDocument/2006/relationships/image" Target="media/image12.png"/></Relationships>
</file>

<file path=word/_rels/footnotes.xml.rels><?xml version="1.0" encoding="UTF-8" standalone="yes"?>
<Relationships xmlns="http://schemas.openxmlformats.org/package/2006/relationships"><Relationship Id="rId8" Type="http://schemas.openxmlformats.org/officeDocument/2006/relationships/hyperlink" Target="https://www.waterboards.ca.gov/santaana/water_issues/programs/basin_plan/docs/rec_standards/UAA/Cucamonga_UAA_10-7-13_Final.pdf" TargetMode="External"/><Relationship Id="rId3" Type="http://schemas.openxmlformats.org/officeDocument/2006/relationships/hyperlink" Target="https://www.sawpa.org/wp-content/uploads/2018/04/2016_Triennial-Report-June-2017.pdf" TargetMode="External"/><Relationship Id="rId7" Type="http://schemas.openxmlformats.org/officeDocument/2006/relationships/hyperlink" Target="https://www.waterboards.ca.gov/santaana/water_issues/programs/basin_plan/docs/2015/Santa_Ana_Basin_UAA_Approval_Letter_040815.pdf" TargetMode="External"/><Relationship Id="rId2" Type="http://schemas.openxmlformats.org/officeDocument/2006/relationships/hyperlink" Target="https://www.sawpa.org/wp-content/uploads/2018/04/2013-Triennial-Report_Tier-1-Source-Evaluation-Final.pdf" TargetMode="External"/><Relationship Id="rId1" Type="http://schemas.openxmlformats.org/officeDocument/2006/relationships/hyperlink" Target="https://www.sawpa.org/wp-content/uploads/2018/04/2010_Triennial-Report.pdf%20" TargetMode="External"/><Relationship Id="rId6" Type="http://schemas.openxmlformats.org/officeDocument/2006/relationships/hyperlink" Target="https://sawpa.org/task-forces/regional-water-quality-monitoring-task-force/" TargetMode="External"/><Relationship Id="rId5" Type="http://schemas.openxmlformats.org/officeDocument/2006/relationships/hyperlink" Target="https://sawpa.gov/wp-content/uploads/2023/02/MSAR-TMDL-2023-Triennial-Report_Final_021123.pdf" TargetMode="External"/><Relationship Id="rId4" Type="http://schemas.openxmlformats.org/officeDocument/2006/relationships/hyperlink" Target="https://sawpa.org/wp-content/uploads/2020/05/Final-Synoptic-Study-Report_021020_BabcockLabQAQC-Report-Appended_05192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geiconsultants.com\data\Data_Storage\Working\SANTA%20ANA%20WATERSHED%20PROJECT%20AUTHORITY\2503316%20MSAR%20Bacteria%20TMDL%20Special%20Study\06_TECHNICAL\Analysis\Bacteria%20Analysis%20for%202026%20Repor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geiconsultants.com\data\Data_Storage\Working\SANTA%20ANA%20WATERSHED%20PROJECT%20AUTHORITY\2503316%20MSAR%20Bacteria%20TMDL%20Special%20Study\06_TECHNICAL\Analysis\Bacteria%20Analysis%20for%202026%20Repor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geiconsultants.com\data\Data_Storage\Working\SANTA%20ANA%20WATERSHED%20PROJECT%20AUTHORITY\2503316%20MSAR%20Bacteria%20TMDL%20Special%20Study\06_TECHNICAL\Analysis\Bacteria%20Analysis%20for%202026%20Repor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geiconsultants.com\data\Data_Storage\Working\SANTA%20ANA%20WATERSHED%20PROJECT%20AUTHORITY\2503316%20MSAR%20Bacteria%20TMDL%20Special%20Study\06_TECHNICAL\Analysis\Bacteria%20Analysis%20for%202026%20Report_SW.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geiconsultants.com\data\Data_Storage\Working\SANTA%20ANA%20WATERSHED%20PROJECT%20AUTHORITY\2503316%20MSAR%20Bacteria%20TMDL%20Special%20Study\06_TECHNICAL\Analysis\Bacteria%20Analysis%20for%202026%20Report_SW.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83048528832108"/>
          <c:y val="0.16691209429096746"/>
          <c:w val="0.81061400516059789"/>
          <c:h val="0.72568850942080421"/>
        </c:manualLayout>
      </c:layout>
      <c:barChart>
        <c:barDir val="col"/>
        <c:grouping val="clustered"/>
        <c:varyColors val="0"/>
        <c:ser>
          <c:idx val="2"/>
          <c:order val="0"/>
          <c:tx>
            <c:v>2007</c:v>
          </c:tx>
          <c:spPr>
            <a:solidFill>
              <a:srgbClr val="008000"/>
            </a:solidFill>
            <a:ln>
              <a:noFill/>
            </a:ln>
            <a:effectLst/>
          </c:spPr>
          <c:invertIfNegative val="0"/>
          <c:val>
            <c:numRef>
              <c:f>(Loading!$D$3,Loading!$D$7,Loading!$D$11)</c:f>
              <c:numCache>
                <c:formatCode>0.00</c:formatCode>
                <c:ptCount val="3"/>
                <c:pt idx="0">
                  <c:v>9.14</c:v>
                </c:pt>
                <c:pt idx="1">
                  <c:v>4.7</c:v>
                </c:pt>
                <c:pt idx="2">
                  <c:v>6</c:v>
                </c:pt>
              </c:numCache>
            </c:numRef>
          </c:val>
          <c:extLst>
            <c:ext xmlns:c16="http://schemas.microsoft.com/office/drawing/2014/chart" uri="{C3380CC4-5D6E-409C-BE32-E72D297353CC}">
              <c16:uniqueId val="{00000000-F5AC-4B3D-92F9-258EE88BE70D}"/>
            </c:ext>
          </c:extLst>
        </c:ser>
        <c:ser>
          <c:idx val="0"/>
          <c:order val="1"/>
          <c:tx>
            <c:v>2012</c:v>
          </c:tx>
          <c:spPr>
            <a:solidFill>
              <a:schemeClr val="accent1"/>
            </a:solidFill>
            <a:ln>
              <a:noFill/>
            </a:ln>
            <a:effectLst/>
          </c:spPr>
          <c:invertIfNegative val="0"/>
          <c:cat>
            <c:strRef>
              <c:f>(Loading!$B$4,Loading!$B$8,Loading!$B$12)</c:f>
              <c:strCache>
                <c:ptCount val="3"/>
                <c:pt idx="0">
                  <c:v>WW-C7</c:v>
                </c:pt>
                <c:pt idx="1">
                  <c:v>WW-S1</c:v>
                </c:pt>
                <c:pt idx="2">
                  <c:v>WW-S4</c:v>
                </c:pt>
              </c:strCache>
            </c:strRef>
          </c:cat>
          <c:val>
            <c:numRef>
              <c:f>(Loading!$D$4,Loading!$D$8,Loading!$D$12)</c:f>
              <c:numCache>
                <c:formatCode>0.00</c:formatCode>
                <c:ptCount val="3"/>
                <c:pt idx="0">
                  <c:v>6.6844561021699551</c:v>
                </c:pt>
                <c:pt idx="1">
                  <c:v>4.5196203239999999</c:v>
                </c:pt>
                <c:pt idx="2">
                  <c:v>4.0199648400000001</c:v>
                </c:pt>
              </c:numCache>
            </c:numRef>
          </c:val>
          <c:extLst>
            <c:ext xmlns:c16="http://schemas.microsoft.com/office/drawing/2014/chart" uri="{C3380CC4-5D6E-409C-BE32-E72D297353CC}">
              <c16:uniqueId val="{00000001-F5AC-4B3D-92F9-258EE88BE70D}"/>
            </c:ext>
          </c:extLst>
        </c:ser>
        <c:ser>
          <c:idx val="1"/>
          <c:order val="2"/>
          <c:tx>
            <c:v>2019</c:v>
          </c:tx>
          <c:spPr>
            <a:solidFill>
              <a:srgbClr val="FF6600"/>
            </a:solidFill>
            <a:ln>
              <a:noFill/>
            </a:ln>
            <a:effectLst/>
          </c:spPr>
          <c:invertIfNegative val="0"/>
          <c:cat>
            <c:strRef>
              <c:f>(Loading!$B$4,Loading!$B$8,Loading!$B$12)</c:f>
              <c:strCache>
                <c:ptCount val="3"/>
                <c:pt idx="0">
                  <c:v>WW-C7</c:v>
                </c:pt>
                <c:pt idx="1">
                  <c:v>WW-S1</c:v>
                </c:pt>
                <c:pt idx="2">
                  <c:v>WW-S4</c:v>
                </c:pt>
              </c:strCache>
            </c:strRef>
          </c:cat>
          <c:val>
            <c:numRef>
              <c:f>(Loading!$D$5,Loading!$D$9,Loading!$D$13)</c:f>
              <c:numCache>
                <c:formatCode>0.00</c:formatCode>
                <c:ptCount val="3"/>
                <c:pt idx="0">
                  <c:v>1.1346666666666665</c:v>
                </c:pt>
                <c:pt idx="1">
                  <c:v>0.8929999999999999</c:v>
                </c:pt>
                <c:pt idx="2">
                  <c:v>1.9082833333333333</c:v>
                </c:pt>
              </c:numCache>
            </c:numRef>
          </c:val>
          <c:extLst>
            <c:ext xmlns:c16="http://schemas.microsoft.com/office/drawing/2014/chart" uri="{C3380CC4-5D6E-409C-BE32-E72D297353CC}">
              <c16:uniqueId val="{00000002-F5AC-4B3D-92F9-258EE88BE70D}"/>
            </c:ext>
          </c:extLst>
        </c:ser>
        <c:ser>
          <c:idx val="3"/>
          <c:order val="3"/>
          <c:tx>
            <c:v>2025</c:v>
          </c:tx>
          <c:spPr>
            <a:solidFill>
              <a:srgbClr val="FFCC00"/>
            </a:solidFill>
            <a:ln>
              <a:noFill/>
            </a:ln>
            <a:effectLst/>
          </c:spPr>
          <c:invertIfNegative val="0"/>
          <c:val>
            <c:numRef>
              <c:f>(Loading!$D$6,Loading!$D$10,Loading!$D$14)</c:f>
              <c:numCache>
                <c:formatCode>0.00</c:formatCode>
                <c:ptCount val="3"/>
                <c:pt idx="0">
                  <c:v>1.8592599999999999</c:v>
                </c:pt>
                <c:pt idx="1">
                  <c:v>2.9770000000000003</c:v>
                </c:pt>
                <c:pt idx="2">
                  <c:v>2.1331000000000002</c:v>
                </c:pt>
              </c:numCache>
            </c:numRef>
          </c:val>
          <c:extLst>
            <c:ext xmlns:c16="http://schemas.microsoft.com/office/drawing/2014/chart" uri="{C3380CC4-5D6E-409C-BE32-E72D297353CC}">
              <c16:uniqueId val="{00000003-F5AC-4B3D-92F9-258EE88BE70D}"/>
            </c:ext>
          </c:extLst>
        </c:ser>
        <c:dLbls>
          <c:showLegendKey val="0"/>
          <c:showVal val="0"/>
          <c:showCatName val="0"/>
          <c:showSerName val="0"/>
          <c:showPercent val="0"/>
          <c:showBubbleSize val="0"/>
        </c:dLbls>
        <c:gapWidth val="219"/>
        <c:overlap val="-27"/>
        <c:axId val="1596274808"/>
        <c:axId val="1596275792"/>
      </c:barChart>
      <c:catAx>
        <c:axId val="1596274808"/>
        <c:scaling>
          <c:orientation val="minMax"/>
        </c:scaling>
        <c:delete val="0"/>
        <c:axPos val="b"/>
        <c:majorGridlines>
          <c:spPr>
            <a:ln w="9525" cap="flat" cmpd="sng" algn="ctr">
              <a:solidFill>
                <a:schemeClr val="tx1"/>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596275792"/>
        <c:crosses val="autoZero"/>
        <c:auto val="1"/>
        <c:lblAlgn val="ctr"/>
        <c:lblOffset val="100"/>
        <c:noMultiLvlLbl val="0"/>
      </c:catAx>
      <c:valAx>
        <c:axId val="159627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b="1"/>
                  <a:t>Average of Measured MS4 Discharges</a:t>
                </a:r>
                <a:r>
                  <a:rPr lang="en-US" b="1" baseline="0"/>
                  <a:t> </a:t>
                </a:r>
                <a:r>
                  <a:rPr lang="en-US" b="1"/>
                  <a:t>(cfs)</a:t>
                </a:r>
              </a:p>
            </c:rich>
          </c:tx>
          <c:layout>
            <c:manualLayout>
              <c:xMode val="edge"/>
              <c:yMode val="edge"/>
              <c:x val="2.5000082808054241E-2"/>
              <c:y val="0.19925812787978661"/>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596274808"/>
        <c:crosses val="autoZero"/>
        <c:crossBetween val="between"/>
      </c:valAx>
      <c:spPr>
        <a:noFill/>
        <a:ln>
          <a:solidFill>
            <a:schemeClr val="tx1"/>
          </a:solidFill>
        </a:ln>
        <a:effectLst/>
      </c:spPr>
    </c:plotArea>
    <c:legend>
      <c:legendPos val="r"/>
      <c:layout>
        <c:manualLayout>
          <c:xMode val="edge"/>
          <c:yMode val="edge"/>
          <c:x val="0.15154359733645126"/>
          <c:y val="4.0511814317167501E-2"/>
          <c:w val="0.78792018186856927"/>
          <c:h val="0.10687152293107435"/>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RP1 Effluent</a:t>
            </a:r>
            <a:r>
              <a:rPr lang="en-US" b="1" baseline="0"/>
              <a:t> on Synoptic Survey Dates</a:t>
            </a:r>
            <a:endParaRPr lang="en-US" b="1"/>
          </a:p>
        </c:rich>
      </c:tx>
      <c:layout>
        <c:manualLayout>
          <c:xMode val="edge"/>
          <c:yMode val="edge"/>
          <c:x val="0.28347062021256481"/>
          <c:y val="3.3011785467347163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504860379930363"/>
          <c:y val="0.13929484746759196"/>
          <c:w val="0.82591242515951091"/>
          <c:h val="0.7593686596458924"/>
        </c:manualLayout>
      </c:layout>
      <c:lineChart>
        <c:grouping val="standard"/>
        <c:varyColors val="0"/>
        <c:ser>
          <c:idx val="1"/>
          <c:order val="0"/>
          <c:tx>
            <c:strRef>
              <c:f>Flow!$K$1</c:f>
              <c:strCache>
                <c:ptCount val="1"/>
                <c:pt idx="0">
                  <c:v>RP1 EFFLUENT</c:v>
                </c:pt>
              </c:strCache>
            </c:strRef>
          </c:tx>
          <c:spPr>
            <a:ln w="28575" cap="rnd">
              <a:solidFill>
                <a:schemeClr val="accent2"/>
              </a:solidFill>
              <a:round/>
            </a:ln>
            <a:effectLst/>
          </c:spPr>
          <c:marker>
            <c:symbol val="circle"/>
            <c:size val="7"/>
            <c:spPr>
              <a:solidFill>
                <a:schemeClr val="bg1">
                  <a:lumMod val="75000"/>
                </a:schemeClr>
              </a:solidFill>
              <a:ln w="9525">
                <a:solidFill>
                  <a:schemeClr val="accent2"/>
                </a:solidFill>
              </a:ln>
              <a:effectLst/>
            </c:spPr>
          </c:marker>
          <c:cat>
            <c:numRef>
              <c:f>Flow!$A$2:$A$86</c:f>
              <c:numCache>
                <c:formatCode>m/d/yyyy</c:formatCode>
                <c:ptCount val="85"/>
                <c:pt idx="0">
                  <c:v>42600</c:v>
                </c:pt>
                <c:pt idx="1">
                  <c:v>42607</c:v>
                </c:pt>
                <c:pt idx="2">
                  <c:v>42614</c:v>
                </c:pt>
                <c:pt idx="3">
                  <c:v>42621</c:v>
                </c:pt>
                <c:pt idx="4">
                  <c:v>42628</c:v>
                </c:pt>
                <c:pt idx="5">
                  <c:v>42635</c:v>
                </c:pt>
                <c:pt idx="6">
                  <c:v>42642</c:v>
                </c:pt>
                <c:pt idx="7">
                  <c:v>42649</c:v>
                </c:pt>
                <c:pt idx="8">
                  <c:v>42656</c:v>
                </c:pt>
                <c:pt idx="9">
                  <c:v>42663</c:v>
                </c:pt>
                <c:pt idx="10">
                  <c:v>42944</c:v>
                </c:pt>
                <c:pt idx="11">
                  <c:v>42950</c:v>
                </c:pt>
                <c:pt idx="12">
                  <c:v>42958</c:v>
                </c:pt>
                <c:pt idx="13">
                  <c:v>42965</c:v>
                </c:pt>
                <c:pt idx="14">
                  <c:v>42972</c:v>
                </c:pt>
                <c:pt idx="15">
                  <c:v>42979</c:v>
                </c:pt>
                <c:pt idx="16">
                  <c:v>42985</c:v>
                </c:pt>
                <c:pt idx="17">
                  <c:v>42992</c:v>
                </c:pt>
                <c:pt idx="18">
                  <c:v>42998</c:v>
                </c:pt>
                <c:pt idx="19">
                  <c:v>43006</c:v>
                </c:pt>
                <c:pt idx="20">
                  <c:v>43315</c:v>
                </c:pt>
                <c:pt idx="21">
                  <c:v>43321</c:v>
                </c:pt>
                <c:pt idx="22">
                  <c:v>43328</c:v>
                </c:pt>
                <c:pt idx="23">
                  <c:v>43335</c:v>
                </c:pt>
                <c:pt idx="24">
                  <c:v>43342</c:v>
                </c:pt>
                <c:pt idx="25">
                  <c:v>43349</c:v>
                </c:pt>
                <c:pt idx="26">
                  <c:v>43356</c:v>
                </c:pt>
                <c:pt idx="27">
                  <c:v>43363</c:v>
                </c:pt>
                <c:pt idx="28">
                  <c:v>43370</c:v>
                </c:pt>
                <c:pt idx="29">
                  <c:v>43377</c:v>
                </c:pt>
                <c:pt idx="30">
                  <c:v>44040</c:v>
                </c:pt>
                <c:pt idx="31">
                  <c:v>44047</c:v>
                </c:pt>
                <c:pt idx="32">
                  <c:v>44054</c:v>
                </c:pt>
                <c:pt idx="33">
                  <c:v>44061</c:v>
                </c:pt>
                <c:pt idx="34">
                  <c:v>44068</c:v>
                </c:pt>
                <c:pt idx="35">
                  <c:v>44075</c:v>
                </c:pt>
                <c:pt idx="36">
                  <c:v>44082</c:v>
                </c:pt>
                <c:pt idx="37">
                  <c:v>44089</c:v>
                </c:pt>
                <c:pt idx="38">
                  <c:v>44096</c:v>
                </c:pt>
                <c:pt idx="39">
                  <c:v>44103</c:v>
                </c:pt>
                <c:pt idx="40">
                  <c:v>44406</c:v>
                </c:pt>
                <c:pt idx="41">
                  <c:v>44413</c:v>
                </c:pt>
                <c:pt idx="42">
                  <c:v>44420</c:v>
                </c:pt>
                <c:pt idx="43">
                  <c:v>44427</c:v>
                </c:pt>
                <c:pt idx="44">
                  <c:v>44434</c:v>
                </c:pt>
                <c:pt idx="45">
                  <c:v>44441</c:v>
                </c:pt>
                <c:pt idx="46">
                  <c:v>44448</c:v>
                </c:pt>
                <c:pt idx="47">
                  <c:v>44455</c:v>
                </c:pt>
                <c:pt idx="48">
                  <c:v>44462</c:v>
                </c:pt>
                <c:pt idx="49">
                  <c:v>44469</c:v>
                </c:pt>
                <c:pt idx="50">
                  <c:v>44770</c:v>
                </c:pt>
                <c:pt idx="51">
                  <c:v>44777</c:v>
                </c:pt>
                <c:pt idx="52">
                  <c:v>44784</c:v>
                </c:pt>
                <c:pt idx="53">
                  <c:v>44791</c:v>
                </c:pt>
                <c:pt idx="54">
                  <c:v>44798</c:v>
                </c:pt>
                <c:pt idx="55">
                  <c:v>44805</c:v>
                </c:pt>
                <c:pt idx="56">
                  <c:v>44812</c:v>
                </c:pt>
                <c:pt idx="57">
                  <c:v>44819</c:v>
                </c:pt>
                <c:pt idx="58">
                  <c:v>44826</c:v>
                </c:pt>
                <c:pt idx="59">
                  <c:v>44833</c:v>
                </c:pt>
                <c:pt idx="60">
                  <c:v>45134</c:v>
                </c:pt>
                <c:pt idx="61">
                  <c:v>45141</c:v>
                </c:pt>
                <c:pt idx="62">
                  <c:v>45147</c:v>
                </c:pt>
                <c:pt idx="63">
                  <c:v>45155</c:v>
                </c:pt>
                <c:pt idx="64">
                  <c:v>45162</c:v>
                </c:pt>
                <c:pt idx="65">
                  <c:v>45169</c:v>
                </c:pt>
                <c:pt idx="66">
                  <c:v>45176</c:v>
                </c:pt>
                <c:pt idx="67">
                  <c:v>45183</c:v>
                </c:pt>
                <c:pt idx="68">
                  <c:v>45190</c:v>
                </c:pt>
                <c:pt idx="69">
                  <c:v>45197</c:v>
                </c:pt>
                <c:pt idx="70">
                  <c:v>45498</c:v>
                </c:pt>
                <c:pt idx="71">
                  <c:v>45505</c:v>
                </c:pt>
                <c:pt idx="72">
                  <c:v>45512</c:v>
                </c:pt>
                <c:pt idx="73">
                  <c:v>45519</c:v>
                </c:pt>
                <c:pt idx="74">
                  <c:v>45526</c:v>
                </c:pt>
                <c:pt idx="75">
                  <c:v>45533</c:v>
                </c:pt>
                <c:pt idx="76">
                  <c:v>45540</c:v>
                </c:pt>
                <c:pt idx="77">
                  <c:v>45547</c:v>
                </c:pt>
                <c:pt idx="78">
                  <c:v>45554</c:v>
                </c:pt>
                <c:pt idx="79">
                  <c:v>45561</c:v>
                </c:pt>
                <c:pt idx="80">
                  <c:v>45876</c:v>
                </c:pt>
                <c:pt idx="81">
                  <c:v>45883</c:v>
                </c:pt>
                <c:pt idx="82">
                  <c:v>45890</c:v>
                </c:pt>
                <c:pt idx="83">
                  <c:v>45897</c:v>
                </c:pt>
                <c:pt idx="84">
                  <c:v>45904</c:v>
                </c:pt>
              </c:numCache>
            </c:numRef>
          </c:cat>
          <c:val>
            <c:numRef>
              <c:f>Flow!$K$2:$K$86</c:f>
              <c:numCache>
                <c:formatCode>0.00</c:formatCode>
                <c:ptCount val="85"/>
                <c:pt idx="0">
                  <c:v>2.16</c:v>
                </c:pt>
                <c:pt idx="1">
                  <c:v>3.25</c:v>
                </c:pt>
                <c:pt idx="2">
                  <c:v>3.25</c:v>
                </c:pt>
                <c:pt idx="3">
                  <c:v>5.88</c:v>
                </c:pt>
                <c:pt idx="4">
                  <c:v>6.0299999999999994</c:v>
                </c:pt>
                <c:pt idx="5">
                  <c:v>10.68</c:v>
                </c:pt>
                <c:pt idx="6">
                  <c:v>5.57</c:v>
                </c:pt>
                <c:pt idx="7">
                  <c:v>4.5719000000000003</c:v>
                </c:pt>
                <c:pt idx="8">
                  <c:v>2.8338000000000001</c:v>
                </c:pt>
                <c:pt idx="9">
                  <c:v>14.7128</c:v>
                </c:pt>
                <c:pt idx="10">
                  <c:v>8.0299999999999996E-2</c:v>
                </c:pt>
                <c:pt idx="11">
                  <c:v>3.6200000000000003E-2</c:v>
                </c:pt>
                <c:pt idx="12">
                  <c:v>3.2141999999999999</c:v>
                </c:pt>
                <c:pt idx="13">
                  <c:v>4.1833</c:v>
                </c:pt>
                <c:pt idx="14">
                  <c:v>2.5543</c:v>
                </c:pt>
                <c:pt idx="15">
                  <c:v>3.1107999999999998</c:v>
                </c:pt>
                <c:pt idx="16">
                  <c:v>4.6736000000000004</c:v>
                </c:pt>
                <c:pt idx="17">
                  <c:v>6.7400000000000002E-2</c:v>
                </c:pt>
                <c:pt idx="18">
                  <c:v>1.8158000000000001</c:v>
                </c:pt>
                <c:pt idx="19">
                  <c:v>5.7599999999999998E-2</c:v>
                </c:pt>
                <c:pt idx="20">
                  <c:v>0.3745</c:v>
                </c:pt>
                <c:pt idx="21">
                  <c:v>1.4497</c:v>
                </c:pt>
                <c:pt idx="22">
                  <c:v>1.2938000000000001</c:v>
                </c:pt>
                <c:pt idx="23">
                  <c:v>2.7979999999999996</c:v>
                </c:pt>
                <c:pt idx="24">
                  <c:v>0.58919999999999995</c:v>
                </c:pt>
                <c:pt idx="25">
                  <c:v>0.37620000000000003</c:v>
                </c:pt>
                <c:pt idx="26">
                  <c:v>4.6460000000000008</c:v>
                </c:pt>
                <c:pt idx="27">
                  <c:v>1.6165999999999998</c:v>
                </c:pt>
                <c:pt idx="28">
                  <c:v>8.5665999999999993</c:v>
                </c:pt>
                <c:pt idx="29">
                  <c:v>18.2255</c:v>
                </c:pt>
                <c:pt idx="30">
                  <c:v>3.300947416093202</c:v>
                </c:pt>
                <c:pt idx="31">
                  <c:v>3.6279079887083712</c:v>
                </c:pt>
                <c:pt idx="32">
                  <c:v>4.6053964491202395</c:v>
                </c:pt>
                <c:pt idx="33">
                  <c:v>12.209475745414453</c:v>
                </c:pt>
                <c:pt idx="34">
                  <c:v>4.5674630310606528</c:v>
                </c:pt>
                <c:pt idx="35">
                  <c:v>2.4335891272273322</c:v>
                </c:pt>
                <c:pt idx="36">
                  <c:v>6.9868148803108863</c:v>
                </c:pt>
                <c:pt idx="37">
                  <c:v>11.53567736909979</c:v>
                </c:pt>
                <c:pt idx="38">
                  <c:v>4.5409001785692258</c:v>
                </c:pt>
                <c:pt idx="39">
                  <c:v>8.2774667073373962</c:v>
                </c:pt>
                <c:pt idx="40">
                  <c:v>1.4450862724230149</c:v>
                </c:pt>
                <c:pt idx="41">
                  <c:v>4.4112357045663506</c:v>
                </c:pt>
                <c:pt idx="42">
                  <c:v>2.4114695074438934</c:v>
                </c:pt>
                <c:pt idx="43">
                  <c:v>2.2951619658560394</c:v>
                </c:pt>
                <c:pt idx="44">
                  <c:v>1.538036024811428</c:v>
                </c:pt>
                <c:pt idx="45">
                  <c:v>2.5845124295313631</c:v>
                </c:pt>
                <c:pt idx="46">
                  <c:v>4.6380873372272609</c:v>
                </c:pt>
                <c:pt idx="47">
                  <c:v>3.3878964708150145</c:v>
                </c:pt>
                <c:pt idx="48">
                  <c:v>2.5024404284687103</c:v>
                </c:pt>
                <c:pt idx="49">
                  <c:v>3.6271239724133104</c:v>
                </c:pt>
                <c:pt idx="50">
                  <c:v>2.0403924547265899</c:v>
                </c:pt>
                <c:pt idx="51">
                  <c:v>1.497118562390453</c:v>
                </c:pt>
                <c:pt idx="52">
                  <c:v>2.0070564848992394</c:v>
                </c:pt>
                <c:pt idx="53">
                  <c:v>2.1122670404449644</c:v>
                </c:pt>
                <c:pt idx="54">
                  <c:v>6.4112477081628594</c:v>
                </c:pt>
                <c:pt idx="55">
                  <c:v>3.9290436273222946</c:v>
                </c:pt>
                <c:pt idx="56">
                  <c:v>4.8036675814105143</c:v>
                </c:pt>
                <c:pt idx="57">
                  <c:v>6.9802950182484764</c:v>
                </c:pt>
                <c:pt idx="58">
                  <c:v>4.0270070431529774</c:v>
                </c:pt>
                <c:pt idx="59">
                  <c:v>3.3818016692066166</c:v>
                </c:pt>
                <c:pt idx="60">
                  <c:v>6.305279875382249</c:v>
                </c:pt>
                <c:pt idx="61">
                  <c:v>2.5303635538116738</c:v>
                </c:pt>
                <c:pt idx="62">
                  <c:v>1.946324788637779</c:v>
                </c:pt>
                <c:pt idx="63">
                  <c:v>1.3588786321551447</c:v>
                </c:pt>
                <c:pt idx="64">
                  <c:v>15.976481154626612</c:v>
                </c:pt>
                <c:pt idx="65">
                  <c:v>2.6486102356208669</c:v>
                </c:pt>
                <c:pt idx="66">
                  <c:v>4.5332757773171091</c:v>
                </c:pt>
                <c:pt idx="67">
                  <c:v>1.9468495701905615</c:v>
                </c:pt>
                <c:pt idx="68">
                  <c:v>0.47775741164657765</c:v>
                </c:pt>
                <c:pt idx="69">
                  <c:v>7.5642344613538537</c:v>
                </c:pt>
                <c:pt idx="70">
                  <c:v>3.0261690621574724</c:v>
                </c:pt>
                <c:pt idx="71">
                  <c:v>2.9181021351369356</c:v>
                </c:pt>
                <c:pt idx="72">
                  <c:v>3.5205917390992307</c:v>
                </c:pt>
                <c:pt idx="73">
                  <c:v>3.3114512533648242</c:v>
                </c:pt>
                <c:pt idx="74">
                  <c:v>2.1020183691446999</c:v>
                </c:pt>
                <c:pt idx="75">
                  <c:v>24.34934643739679</c:v>
                </c:pt>
                <c:pt idx="76">
                  <c:v>2.2768907312621347</c:v>
                </c:pt>
                <c:pt idx="77">
                  <c:v>1.7900992451856532</c:v>
                </c:pt>
                <c:pt idx="78">
                  <c:v>3.3133093766182657</c:v>
                </c:pt>
                <c:pt idx="79">
                  <c:v>2.3574516722174548</c:v>
                </c:pt>
                <c:pt idx="80">
                  <c:v>7.6424927460130219</c:v>
                </c:pt>
                <c:pt idx="81">
                  <c:v>10.286324700455907</c:v>
                </c:pt>
                <c:pt idx="82">
                  <c:v>10.324932460780255</c:v>
                </c:pt>
                <c:pt idx="83">
                  <c:v>11.554676209283725</c:v>
                </c:pt>
                <c:pt idx="84">
                  <c:v>4.1343194516064807</c:v>
                </c:pt>
              </c:numCache>
            </c:numRef>
          </c:val>
          <c:smooth val="0"/>
          <c:extLst>
            <c:ext xmlns:c16="http://schemas.microsoft.com/office/drawing/2014/chart" uri="{C3380CC4-5D6E-409C-BE32-E72D297353CC}">
              <c16:uniqueId val="{00000000-D456-455D-BB8A-F412E3A858EB}"/>
            </c:ext>
          </c:extLst>
        </c:ser>
        <c:dLbls>
          <c:showLegendKey val="0"/>
          <c:showVal val="0"/>
          <c:showCatName val="0"/>
          <c:showSerName val="0"/>
          <c:showPercent val="0"/>
          <c:showBubbleSize val="0"/>
        </c:dLbls>
        <c:marker val="1"/>
        <c:smooth val="0"/>
        <c:axId val="559326456"/>
        <c:axId val="559324488"/>
      </c:lineChart>
      <c:catAx>
        <c:axId val="559326456"/>
        <c:scaling>
          <c:orientation val="minMax"/>
        </c:scaling>
        <c:delete val="0"/>
        <c:axPos val="b"/>
        <c:majorGridlines>
          <c:spPr>
            <a:ln w="9525" cap="flat" cmpd="sng" algn="ctr">
              <a:solidFill>
                <a:schemeClr val="tx1"/>
              </a:solidFill>
              <a:round/>
            </a:ln>
            <a:effectLst/>
          </c:spPr>
        </c:majorGridlines>
        <c:numFmt formatCode="yyyy"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9324488"/>
        <c:crosses val="autoZero"/>
        <c:auto val="0"/>
        <c:lblAlgn val="ctr"/>
        <c:lblOffset val="100"/>
        <c:tickLblSkip val="10"/>
        <c:tickMarkSkip val="10"/>
        <c:noMultiLvlLbl val="0"/>
      </c:catAx>
      <c:valAx>
        <c:axId val="559324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b="1"/>
                  <a:t>Dry Weather Flow (cfs)</a:t>
                </a:r>
              </a:p>
            </c:rich>
          </c:tx>
          <c:layout>
            <c:manualLayout>
              <c:xMode val="edge"/>
              <c:yMode val="edge"/>
              <c:x val="2.4218110758618711E-2"/>
              <c:y val="0.30341966179106777"/>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9326456"/>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58442694663166"/>
          <c:y val="8.0354297484966294E-2"/>
          <c:w val="0.82891513560804897"/>
          <c:h val="0.62642027974351311"/>
        </c:manualLayout>
      </c:layout>
      <c:lineChart>
        <c:grouping val="standard"/>
        <c:varyColors val="0"/>
        <c:ser>
          <c:idx val="0"/>
          <c:order val="0"/>
          <c:tx>
            <c:strRef>
              <c:f>'Single Samples'!$B$1</c:f>
              <c:strCache>
                <c:ptCount val="1"/>
                <c:pt idx="0">
                  <c:v>Week 1</c:v>
                </c:pt>
              </c:strCache>
            </c:strRef>
          </c:tx>
          <c:spPr>
            <a:ln w="25400" cap="rnd">
              <a:noFill/>
              <a:round/>
            </a:ln>
            <a:effectLst/>
          </c:spPr>
          <c:marker>
            <c:symbol val="square"/>
            <c:size val="5"/>
            <c:spPr>
              <a:solidFill>
                <a:schemeClr val="bg1">
                  <a:lumMod val="95000"/>
                </a:schemeClr>
              </a:solidFill>
              <a:ln w="19050">
                <a:solidFill>
                  <a:srgbClr val="0070C0"/>
                </a:solidFill>
              </a:ln>
              <a:effectLst/>
            </c:spPr>
          </c:marker>
          <c:cat>
            <c:strRef>
              <c:f>'Single Samples'!$A$3:$A$25</c:f>
              <c:strCache>
                <c:ptCount val="23"/>
                <c:pt idx="0">
                  <c:v>T1-BXSP</c:v>
                </c:pt>
                <c:pt idx="1">
                  <c:v>T1-SNCH</c:v>
                </c:pt>
                <c:pt idx="2">
                  <c:v>T1-MCSD</c:v>
                </c:pt>
                <c:pt idx="3">
                  <c:v>T1-ANZA</c:v>
                </c:pt>
                <c:pt idx="4">
                  <c:v>T1-SSCH</c:v>
                </c:pt>
                <c:pt idx="5">
                  <c:v>T1-DAY</c:v>
                </c:pt>
                <c:pt idx="6">
                  <c:v>T1-EVLD</c:v>
                </c:pt>
                <c:pt idx="7">
                  <c:v>T1-EVLE</c:v>
                </c:pt>
                <c:pt idx="8">
                  <c:v>T1-CHINOCRK</c:v>
                </c:pt>
                <c:pt idx="9">
                  <c:v>T1-SACH</c:v>
                </c:pt>
                <c:pt idx="10">
                  <c:v>T1-BRSC</c:v>
                </c:pt>
                <c:pt idx="11">
                  <c:v>T1-CCCH</c:v>
                </c:pt>
                <c:pt idx="12">
                  <c:v>T1-LLSC</c:v>
                </c:pt>
                <c:pt idx="13">
                  <c:v>Chino-RP1</c:v>
                </c:pt>
                <c:pt idx="14">
                  <c:v>T2-CHRIS</c:v>
                </c:pt>
                <c:pt idx="15">
                  <c:v>T2-CLCH</c:v>
                </c:pt>
                <c:pt idx="16">
                  <c:v>T2-HWY60</c:v>
                </c:pt>
                <c:pt idx="17">
                  <c:v>T1-CUCAMONGA</c:v>
                </c:pt>
                <c:pt idx="18">
                  <c:v>WW-MISSION</c:v>
                </c:pt>
                <c:pt idx="19">
                  <c:v>WW-S1</c:v>
                </c:pt>
                <c:pt idx="20">
                  <c:v>WW-S4</c:v>
                </c:pt>
                <c:pt idx="21">
                  <c:v>WW-C7</c:v>
                </c:pt>
                <c:pt idx="22">
                  <c:v>WW-M6</c:v>
                </c:pt>
              </c:strCache>
            </c:strRef>
          </c:cat>
          <c:val>
            <c:numRef>
              <c:f>'Single Samples'!$B$3:$B$25</c:f>
              <c:numCache>
                <c:formatCode>General</c:formatCode>
                <c:ptCount val="23"/>
                <c:pt idx="0">
                  <c:v>2400</c:v>
                </c:pt>
                <c:pt idx="1">
                  <c:v>190</c:v>
                </c:pt>
                <c:pt idx="2">
                  <c:v>2400</c:v>
                </c:pt>
                <c:pt idx="3">
                  <c:v>79</c:v>
                </c:pt>
                <c:pt idx="4">
                  <c:v>2400</c:v>
                </c:pt>
                <c:pt idx="6">
                  <c:v>4900</c:v>
                </c:pt>
                <c:pt idx="7">
                  <c:v>1200</c:v>
                </c:pt>
                <c:pt idx="8">
                  <c:v>410</c:v>
                </c:pt>
                <c:pt idx="9">
                  <c:v>2400</c:v>
                </c:pt>
                <c:pt idx="10">
                  <c:v>2400</c:v>
                </c:pt>
                <c:pt idx="11">
                  <c:v>41</c:v>
                </c:pt>
                <c:pt idx="12">
                  <c:v>2400</c:v>
                </c:pt>
                <c:pt idx="13">
                  <c:v>170</c:v>
                </c:pt>
                <c:pt idx="14">
                  <c:v>13000</c:v>
                </c:pt>
                <c:pt idx="15">
                  <c:v>120</c:v>
                </c:pt>
                <c:pt idx="16">
                  <c:v>52</c:v>
                </c:pt>
                <c:pt idx="17">
                  <c:v>12000</c:v>
                </c:pt>
                <c:pt idx="18">
                  <c:v>130</c:v>
                </c:pt>
                <c:pt idx="19">
                  <c:v>75</c:v>
                </c:pt>
                <c:pt idx="20">
                  <c:v>120</c:v>
                </c:pt>
                <c:pt idx="21">
                  <c:v>560</c:v>
                </c:pt>
                <c:pt idx="22">
                  <c:v>560</c:v>
                </c:pt>
              </c:numCache>
            </c:numRef>
          </c:val>
          <c:smooth val="0"/>
          <c:extLst>
            <c:ext xmlns:c16="http://schemas.microsoft.com/office/drawing/2014/chart" uri="{C3380CC4-5D6E-409C-BE32-E72D297353CC}">
              <c16:uniqueId val="{00000000-CB33-4F64-B12E-88E83DA0D797}"/>
            </c:ext>
          </c:extLst>
        </c:ser>
        <c:ser>
          <c:idx val="1"/>
          <c:order val="1"/>
          <c:tx>
            <c:strRef>
              <c:f>'Single Samples'!$C$1</c:f>
              <c:strCache>
                <c:ptCount val="1"/>
                <c:pt idx="0">
                  <c:v>Week 2</c:v>
                </c:pt>
              </c:strCache>
            </c:strRef>
          </c:tx>
          <c:spPr>
            <a:ln w="25400" cap="rnd">
              <a:noFill/>
              <a:round/>
            </a:ln>
            <a:effectLst/>
          </c:spPr>
          <c:marker>
            <c:symbol val="square"/>
            <c:size val="5"/>
            <c:spPr>
              <a:solidFill>
                <a:schemeClr val="bg1">
                  <a:lumMod val="95000"/>
                </a:schemeClr>
              </a:solidFill>
              <a:ln w="19050">
                <a:solidFill>
                  <a:srgbClr val="0070C0"/>
                </a:solidFill>
              </a:ln>
              <a:effectLst/>
            </c:spPr>
          </c:marker>
          <c:cat>
            <c:strRef>
              <c:f>'Single Samples'!$A$3:$A$25</c:f>
              <c:strCache>
                <c:ptCount val="23"/>
                <c:pt idx="0">
                  <c:v>T1-BXSP</c:v>
                </c:pt>
                <c:pt idx="1">
                  <c:v>T1-SNCH</c:v>
                </c:pt>
                <c:pt idx="2">
                  <c:v>T1-MCSD</c:v>
                </c:pt>
                <c:pt idx="3">
                  <c:v>T1-ANZA</c:v>
                </c:pt>
                <c:pt idx="4">
                  <c:v>T1-SSCH</c:v>
                </c:pt>
                <c:pt idx="5">
                  <c:v>T1-DAY</c:v>
                </c:pt>
                <c:pt idx="6">
                  <c:v>T1-EVLD</c:v>
                </c:pt>
                <c:pt idx="7">
                  <c:v>T1-EVLE</c:v>
                </c:pt>
                <c:pt idx="8">
                  <c:v>T1-CHINOCRK</c:v>
                </c:pt>
                <c:pt idx="9">
                  <c:v>T1-SACH</c:v>
                </c:pt>
                <c:pt idx="10">
                  <c:v>T1-BRSC</c:v>
                </c:pt>
                <c:pt idx="11">
                  <c:v>T1-CCCH</c:v>
                </c:pt>
                <c:pt idx="12">
                  <c:v>T1-LLSC</c:v>
                </c:pt>
                <c:pt idx="13">
                  <c:v>Chino-RP1</c:v>
                </c:pt>
                <c:pt idx="14">
                  <c:v>T2-CHRIS</c:v>
                </c:pt>
                <c:pt idx="15">
                  <c:v>T2-CLCH</c:v>
                </c:pt>
                <c:pt idx="16">
                  <c:v>T2-HWY60</c:v>
                </c:pt>
                <c:pt idx="17">
                  <c:v>T1-CUCAMONGA</c:v>
                </c:pt>
                <c:pt idx="18">
                  <c:v>WW-MISSION</c:v>
                </c:pt>
                <c:pt idx="19">
                  <c:v>WW-S1</c:v>
                </c:pt>
                <c:pt idx="20">
                  <c:v>WW-S4</c:v>
                </c:pt>
                <c:pt idx="21">
                  <c:v>WW-C7</c:v>
                </c:pt>
                <c:pt idx="22">
                  <c:v>WW-M6</c:v>
                </c:pt>
              </c:strCache>
            </c:strRef>
          </c:cat>
          <c:val>
            <c:numRef>
              <c:f>'Single Samples'!$C$3:$C$25</c:f>
              <c:numCache>
                <c:formatCode>General</c:formatCode>
                <c:ptCount val="23"/>
                <c:pt idx="0">
                  <c:v>1200</c:v>
                </c:pt>
                <c:pt idx="1">
                  <c:v>230</c:v>
                </c:pt>
                <c:pt idx="2">
                  <c:v>6100</c:v>
                </c:pt>
                <c:pt idx="3">
                  <c:v>31</c:v>
                </c:pt>
                <c:pt idx="4">
                  <c:v>430</c:v>
                </c:pt>
                <c:pt idx="5">
                  <c:v>390</c:v>
                </c:pt>
                <c:pt idx="6">
                  <c:v>24000</c:v>
                </c:pt>
                <c:pt idx="7">
                  <c:v>4600</c:v>
                </c:pt>
                <c:pt idx="8">
                  <c:v>230</c:v>
                </c:pt>
                <c:pt idx="9">
                  <c:v>1200</c:v>
                </c:pt>
                <c:pt idx="10">
                  <c:v>4900</c:v>
                </c:pt>
                <c:pt idx="11">
                  <c:v>240</c:v>
                </c:pt>
                <c:pt idx="12">
                  <c:v>2900</c:v>
                </c:pt>
                <c:pt idx="13">
                  <c:v>10</c:v>
                </c:pt>
                <c:pt idx="14">
                  <c:v>1700</c:v>
                </c:pt>
                <c:pt idx="15">
                  <c:v>170</c:v>
                </c:pt>
                <c:pt idx="16">
                  <c:v>600</c:v>
                </c:pt>
                <c:pt idx="17">
                  <c:v>260</c:v>
                </c:pt>
                <c:pt idx="18">
                  <c:v>840</c:v>
                </c:pt>
                <c:pt idx="19">
                  <c:v>290</c:v>
                </c:pt>
                <c:pt idx="20">
                  <c:v>290</c:v>
                </c:pt>
                <c:pt idx="21">
                  <c:v>230</c:v>
                </c:pt>
                <c:pt idx="22">
                  <c:v>180</c:v>
                </c:pt>
              </c:numCache>
            </c:numRef>
          </c:val>
          <c:smooth val="0"/>
          <c:extLst>
            <c:ext xmlns:c16="http://schemas.microsoft.com/office/drawing/2014/chart" uri="{C3380CC4-5D6E-409C-BE32-E72D297353CC}">
              <c16:uniqueId val="{00000001-CB33-4F64-B12E-88E83DA0D797}"/>
            </c:ext>
          </c:extLst>
        </c:ser>
        <c:ser>
          <c:idx val="2"/>
          <c:order val="2"/>
          <c:tx>
            <c:strRef>
              <c:f>'Single Samples'!$D$1</c:f>
              <c:strCache>
                <c:ptCount val="1"/>
                <c:pt idx="0">
                  <c:v>Week 3</c:v>
                </c:pt>
              </c:strCache>
            </c:strRef>
          </c:tx>
          <c:spPr>
            <a:ln w="25400" cap="rnd">
              <a:noFill/>
              <a:round/>
            </a:ln>
            <a:effectLst/>
          </c:spPr>
          <c:marker>
            <c:symbol val="square"/>
            <c:size val="5"/>
            <c:spPr>
              <a:solidFill>
                <a:schemeClr val="bg1">
                  <a:lumMod val="95000"/>
                </a:schemeClr>
              </a:solidFill>
              <a:ln w="19050">
                <a:solidFill>
                  <a:srgbClr val="0070C0"/>
                </a:solidFill>
              </a:ln>
              <a:effectLst/>
            </c:spPr>
          </c:marker>
          <c:cat>
            <c:strRef>
              <c:f>'Single Samples'!$A$3:$A$25</c:f>
              <c:strCache>
                <c:ptCount val="23"/>
                <c:pt idx="0">
                  <c:v>T1-BXSP</c:v>
                </c:pt>
                <c:pt idx="1">
                  <c:v>T1-SNCH</c:v>
                </c:pt>
                <c:pt idx="2">
                  <c:v>T1-MCSD</c:v>
                </c:pt>
                <c:pt idx="3">
                  <c:v>T1-ANZA</c:v>
                </c:pt>
                <c:pt idx="4">
                  <c:v>T1-SSCH</c:v>
                </c:pt>
                <c:pt idx="5">
                  <c:v>T1-DAY</c:v>
                </c:pt>
                <c:pt idx="6">
                  <c:v>T1-EVLD</c:v>
                </c:pt>
                <c:pt idx="7">
                  <c:v>T1-EVLE</c:v>
                </c:pt>
                <c:pt idx="8">
                  <c:v>T1-CHINOCRK</c:v>
                </c:pt>
                <c:pt idx="9">
                  <c:v>T1-SACH</c:v>
                </c:pt>
                <c:pt idx="10">
                  <c:v>T1-BRSC</c:v>
                </c:pt>
                <c:pt idx="11">
                  <c:v>T1-CCCH</c:v>
                </c:pt>
                <c:pt idx="12">
                  <c:v>T1-LLSC</c:v>
                </c:pt>
                <c:pt idx="13">
                  <c:v>Chino-RP1</c:v>
                </c:pt>
                <c:pt idx="14">
                  <c:v>T2-CHRIS</c:v>
                </c:pt>
                <c:pt idx="15">
                  <c:v>T2-CLCH</c:v>
                </c:pt>
                <c:pt idx="16">
                  <c:v>T2-HWY60</c:v>
                </c:pt>
                <c:pt idx="17">
                  <c:v>T1-CUCAMONGA</c:v>
                </c:pt>
                <c:pt idx="18">
                  <c:v>WW-MISSION</c:v>
                </c:pt>
                <c:pt idx="19">
                  <c:v>WW-S1</c:v>
                </c:pt>
                <c:pt idx="20">
                  <c:v>WW-S4</c:v>
                </c:pt>
                <c:pt idx="21">
                  <c:v>WW-C7</c:v>
                </c:pt>
                <c:pt idx="22">
                  <c:v>WW-M6</c:v>
                </c:pt>
              </c:strCache>
            </c:strRef>
          </c:cat>
          <c:val>
            <c:numRef>
              <c:f>'Single Samples'!$D$3:$D$25</c:f>
              <c:numCache>
                <c:formatCode>General</c:formatCode>
                <c:ptCount val="23"/>
                <c:pt idx="0">
                  <c:v>5200</c:v>
                </c:pt>
                <c:pt idx="1">
                  <c:v>490</c:v>
                </c:pt>
                <c:pt idx="2">
                  <c:v>7700</c:v>
                </c:pt>
                <c:pt idx="3">
                  <c:v>10</c:v>
                </c:pt>
                <c:pt idx="4">
                  <c:v>930</c:v>
                </c:pt>
                <c:pt idx="5">
                  <c:v>24000</c:v>
                </c:pt>
                <c:pt idx="6">
                  <c:v>7300</c:v>
                </c:pt>
                <c:pt idx="7">
                  <c:v>610</c:v>
                </c:pt>
                <c:pt idx="8">
                  <c:v>980</c:v>
                </c:pt>
                <c:pt idx="9">
                  <c:v>360</c:v>
                </c:pt>
                <c:pt idx="10">
                  <c:v>1700</c:v>
                </c:pt>
                <c:pt idx="11">
                  <c:v>52</c:v>
                </c:pt>
                <c:pt idx="12">
                  <c:v>640</c:v>
                </c:pt>
                <c:pt idx="13">
                  <c:v>16</c:v>
                </c:pt>
                <c:pt idx="14">
                  <c:v>1700</c:v>
                </c:pt>
                <c:pt idx="15">
                  <c:v>610</c:v>
                </c:pt>
                <c:pt idx="16">
                  <c:v>26</c:v>
                </c:pt>
                <c:pt idx="17">
                  <c:v>440</c:v>
                </c:pt>
                <c:pt idx="18">
                  <c:v>160</c:v>
                </c:pt>
                <c:pt idx="19">
                  <c:v>230</c:v>
                </c:pt>
                <c:pt idx="20">
                  <c:v>170</c:v>
                </c:pt>
                <c:pt idx="21">
                  <c:v>750</c:v>
                </c:pt>
                <c:pt idx="22">
                  <c:v>120</c:v>
                </c:pt>
              </c:numCache>
            </c:numRef>
          </c:val>
          <c:smooth val="0"/>
          <c:extLst>
            <c:ext xmlns:c16="http://schemas.microsoft.com/office/drawing/2014/chart" uri="{C3380CC4-5D6E-409C-BE32-E72D297353CC}">
              <c16:uniqueId val="{00000002-CB33-4F64-B12E-88E83DA0D797}"/>
            </c:ext>
          </c:extLst>
        </c:ser>
        <c:ser>
          <c:idx val="3"/>
          <c:order val="3"/>
          <c:tx>
            <c:strRef>
              <c:f>'Single Samples'!$E$1</c:f>
              <c:strCache>
                <c:ptCount val="1"/>
                <c:pt idx="0">
                  <c:v>Week 4</c:v>
                </c:pt>
              </c:strCache>
            </c:strRef>
          </c:tx>
          <c:spPr>
            <a:ln w="25400" cap="rnd">
              <a:noFill/>
              <a:round/>
            </a:ln>
            <a:effectLst/>
          </c:spPr>
          <c:marker>
            <c:symbol val="square"/>
            <c:size val="5"/>
            <c:spPr>
              <a:solidFill>
                <a:schemeClr val="bg1">
                  <a:lumMod val="95000"/>
                </a:schemeClr>
              </a:solidFill>
              <a:ln w="19050">
                <a:solidFill>
                  <a:srgbClr val="0070C0"/>
                </a:solidFill>
              </a:ln>
              <a:effectLst/>
            </c:spPr>
          </c:marker>
          <c:cat>
            <c:strRef>
              <c:f>'Single Samples'!$A$3:$A$25</c:f>
              <c:strCache>
                <c:ptCount val="23"/>
                <c:pt idx="0">
                  <c:v>T1-BXSP</c:v>
                </c:pt>
                <c:pt idx="1">
                  <c:v>T1-SNCH</c:v>
                </c:pt>
                <c:pt idx="2">
                  <c:v>T1-MCSD</c:v>
                </c:pt>
                <c:pt idx="3">
                  <c:v>T1-ANZA</c:v>
                </c:pt>
                <c:pt idx="4">
                  <c:v>T1-SSCH</c:v>
                </c:pt>
                <c:pt idx="5">
                  <c:v>T1-DAY</c:v>
                </c:pt>
                <c:pt idx="6">
                  <c:v>T1-EVLD</c:v>
                </c:pt>
                <c:pt idx="7">
                  <c:v>T1-EVLE</c:v>
                </c:pt>
                <c:pt idx="8">
                  <c:v>T1-CHINOCRK</c:v>
                </c:pt>
                <c:pt idx="9">
                  <c:v>T1-SACH</c:v>
                </c:pt>
                <c:pt idx="10">
                  <c:v>T1-BRSC</c:v>
                </c:pt>
                <c:pt idx="11">
                  <c:v>T1-CCCH</c:v>
                </c:pt>
                <c:pt idx="12">
                  <c:v>T1-LLSC</c:v>
                </c:pt>
                <c:pt idx="13">
                  <c:v>Chino-RP1</c:v>
                </c:pt>
                <c:pt idx="14">
                  <c:v>T2-CHRIS</c:v>
                </c:pt>
                <c:pt idx="15">
                  <c:v>T2-CLCH</c:v>
                </c:pt>
                <c:pt idx="16">
                  <c:v>T2-HWY60</c:v>
                </c:pt>
                <c:pt idx="17">
                  <c:v>T1-CUCAMONGA</c:v>
                </c:pt>
                <c:pt idx="18">
                  <c:v>WW-MISSION</c:v>
                </c:pt>
                <c:pt idx="19">
                  <c:v>WW-S1</c:v>
                </c:pt>
                <c:pt idx="20">
                  <c:v>WW-S4</c:v>
                </c:pt>
                <c:pt idx="21">
                  <c:v>WW-C7</c:v>
                </c:pt>
                <c:pt idx="22">
                  <c:v>WW-M6</c:v>
                </c:pt>
              </c:strCache>
            </c:strRef>
          </c:cat>
          <c:val>
            <c:numRef>
              <c:f>'Single Samples'!$E$3:$E$25</c:f>
              <c:numCache>
                <c:formatCode>General</c:formatCode>
                <c:ptCount val="23"/>
                <c:pt idx="0">
                  <c:v>10000</c:v>
                </c:pt>
                <c:pt idx="1">
                  <c:v>620</c:v>
                </c:pt>
                <c:pt idx="2">
                  <c:v>3900</c:v>
                </c:pt>
                <c:pt idx="3">
                  <c:v>31</c:v>
                </c:pt>
                <c:pt idx="4">
                  <c:v>24000</c:v>
                </c:pt>
                <c:pt idx="5">
                  <c:v>630</c:v>
                </c:pt>
                <c:pt idx="6">
                  <c:v>5200</c:v>
                </c:pt>
                <c:pt idx="7">
                  <c:v>1200</c:v>
                </c:pt>
                <c:pt idx="8">
                  <c:v>630</c:v>
                </c:pt>
                <c:pt idx="9">
                  <c:v>1400</c:v>
                </c:pt>
                <c:pt idx="10">
                  <c:v>13000</c:v>
                </c:pt>
                <c:pt idx="11">
                  <c:v>120</c:v>
                </c:pt>
                <c:pt idx="12">
                  <c:v>2900</c:v>
                </c:pt>
                <c:pt idx="13">
                  <c:v>310</c:v>
                </c:pt>
                <c:pt idx="14">
                  <c:v>1300</c:v>
                </c:pt>
                <c:pt idx="15">
                  <c:v>1000</c:v>
                </c:pt>
                <c:pt idx="16">
                  <c:v>690</c:v>
                </c:pt>
                <c:pt idx="17">
                  <c:v>140</c:v>
                </c:pt>
                <c:pt idx="18">
                  <c:v>240</c:v>
                </c:pt>
                <c:pt idx="19">
                  <c:v>470</c:v>
                </c:pt>
                <c:pt idx="20">
                  <c:v>170</c:v>
                </c:pt>
                <c:pt idx="21">
                  <c:v>230</c:v>
                </c:pt>
                <c:pt idx="22">
                  <c:v>160</c:v>
                </c:pt>
              </c:numCache>
            </c:numRef>
          </c:val>
          <c:smooth val="0"/>
          <c:extLst>
            <c:ext xmlns:c16="http://schemas.microsoft.com/office/drawing/2014/chart" uri="{C3380CC4-5D6E-409C-BE32-E72D297353CC}">
              <c16:uniqueId val="{00000003-CB33-4F64-B12E-88E83DA0D797}"/>
            </c:ext>
          </c:extLst>
        </c:ser>
        <c:ser>
          <c:idx val="4"/>
          <c:order val="4"/>
          <c:tx>
            <c:strRef>
              <c:f>'Single Samples'!$F$1</c:f>
              <c:strCache>
                <c:ptCount val="1"/>
                <c:pt idx="0">
                  <c:v>Week 5</c:v>
                </c:pt>
              </c:strCache>
            </c:strRef>
          </c:tx>
          <c:spPr>
            <a:ln w="25400" cap="rnd">
              <a:noFill/>
              <a:round/>
            </a:ln>
            <a:effectLst/>
          </c:spPr>
          <c:marker>
            <c:symbol val="square"/>
            <c:size val="5"/>
            <c:spPr>
              <a:solidFill>
                <a:schemeClr val="bg1">
                  <a:lumMod val="95000"/>
                </a:schemeClr>
              </a:solidFill>
              <a:ln w="19050">
                <a:solidFill>
                  <a:srgbClr val="0070C0"/>
                </a:solidFill>
              </a:ln>
              <a:effectLst/>
            </c:spPr>
          </c:marker>
          <c:cat>
            <c:strRef>
              <c:f>'Single Samples'!$A$3:$A$25</c:f>
              <c:strCache>
                <c:ptCount val="23"/>
                <c:pt idx="0">
                  <c:v>T1-BXSP</c:v>
                </c:pt>
                <c:pt idx="1">
                  <c:v>T1-SNCH</c:v>
                </c:pt>
                <c:pt idx="2">
                  <c:v>T1-MCSD</c:v>
                </c:pt>
                <c:pt idx="3">
                  <c:v>T1-ANZA</c:v>
                </c:pt>
                <c:pt idx="4">
                  <c:v>T1-SSCH</c:v>
                </c:pt>
                <c:pt idx="5">
                  <c:v>T1-DAY</c:v>
                </c:pt>
                <c:pt idx="6">
                  <c:v>T1-EVLD</c:v>
                </c:pt>
                <c:pt idx="7">
                  <c:v>T1-EVLE</c:v>
                </c:pt>
                <c:pt idx="8">
                  <c:v>T1-CHINOCRK</c:v>
                </c:pt>
                <c:pt idx="9">
                  <c:v>T1-SACH</c:v>
                </c:pt>
                <c:pt idx="10">
                  <c:v>T1-BRSC</c:v>
                </c:pt>
                <c:pt idx="11">
                  <c:v>T1-CCCH</c:v>
                </c:pt>
                <c:pt idx="12">
                  <c:v>T1-LLSC</c:v>
                </c:pt>
                <c:pt idx="13">
                  <c:v>Chino-RP1</c:v>
                </c:pt>
                <c:pt idx="14">
                  <c:v>T2-CHRIS</c:v>
                </c:pt>
                <c:pt idx="15">
                  <c:v>T2-CLCH</c:v>
                </c:pt>
                <c:pt idx="16">
                  <c:v>T2-HWY60</c:v>
                </c:pt>
                <c:pt idx="17">
                  <c:v>T1-CUCAMONGA</c:v>
                </c:pt>
                <c:pt idx="18">
                  <c:v>WW-MISSION</c:v>
                </c:pt>
                <c:pt idx="19">
                  <c:v>WW-S1</c:v>
                </c:pt>
                <c:pt idx="20">
                  <c:v>WW-S4</c:v>
                </c:pt>
                <c:pt idx="21">
                  <c:v>WW-C7</c:v>
                </c:pt>
                <c:pt idx="22">
                  <c:v>WW-M6</c:v>
                </c:pt>
              </c:strCache>
            </c:strRef>
          </c:cat>
          <c:val>
            <c:numRef>
              <c:f>'Single Samples'!$F$3:$F$25</c:f>
              <c:numCache>
                <c:formatCode>General</c:formatCode>
                <c:ptCount val="23"/>
                <c:pt idx="0">
                  <c:v>13000</c:v>
                </c:pt>
                <c:pt idx="1">
                  <c:v>160</c:v>
                </c:pt>
                <c:pt idx="2">
                  <c:v>5800</c:v>
                </c:pt>
                <c:pt idx="3">
                  <c:v>86</c:v>
                </c:pt>
                <c:pt idx="4">
                  <c:v>350</c:v>
                </c:pt>
                <c:pt idx="5">
                  <c:v>3100</c:v>
                </c:pt>
                <c:pt idx="6">
                  <c:v>10000</c:v>
                </c:pt>
                <c:pt idx="7">
                  <c:v>1500</c:v>
                </c:pt>
                <c:pt idx="8">
                  <c:v>2900</c:v>
                </c:pt>
                <c:pt idx="9">
                  <c:v>240</c:v>
                </c:pt>
                <c:pt idx="10">
                  <c:v>1900</c:v>
                </c:pt>
                <c:pt idx="11">
                  <c:v>20</c:v>
                </c:pt>
                <c:pt idx="12">
                  <c:v>180</c:v>
                </c:pt>
                <c:pt idx="13">
                  <c:v>820</c:v>
                </c:pt>
                <c:pt idx="14">
                  <c:v>580</c:v>
                </c:pt>
                <c:pt idx="15">
                  <c:v>1000</c:v>
                </c:pt>
                <c:pt idx="16">
                  <c:v>650</c:v>
                </c:pt>
                <c:pt idx="17">
                  <c:v>270</c:v>
                </c:pt>
                <c:pt idx="18">
                  <c:v>630</c:v>
                </c:pt>
                <c:pt idx="19">
                  <c:v>370</c:v>
                </c:pt>
                <c:pt idx="20">
                  <c:v>290</c:v>
                </c:pt>
                <c:pt idx="21">
                  <c:v>160</c:v>
                </c:pt>
                <c:pt idx="22">
                  <c:v>170</c:v>
                </c:pt>
              </c:numCache>
            </c:numRef>
          </c:val>
          <c:smooth val="0"/>
          <c:extLst>
            <c:ext xmlns:c16="http://schemas.microsoft.com/office/drawing/2014/chart" uri="{C3380CC4-5D6E-409C-BE32-E72D297353CC}">
              <c16:uniqueId val="{00000004-CB33-4F64-B12E-88E83DA0D797}"/>
            </c:ext>
          </c:extLst>
        </c:ser>
        <c:ser>
          <c:idx val="5"/>
          <c:order val="5"/>
          <c:tx>
            <c:v>Single Sample Result</c:v>
          </c:tx>
          <c:spPr>
            <a:ln w="28575" cap="rnd">
              <a:noFill/>
              <a:round/>
            </a:ln>
            <a:effectLst/>
          </c:spPr>
          <c:marker>
            <c:symbol val="square"/>
            <c:size val="5"/>
            <c:spPr>
              <a:solidFill>
                <a:schemeClr val="bg1">
                  <a:lumMod val="95000"/>
                </a:schemeClr>
              </a:solidFill>
              <a:ln w="19050">
                <a:solidFill>
                  <a:srgbClr val="0070C0"/>
                </a:solidFill>
              </a:ln>
              <a:effectLst/>
            </c:spPr>
          </c:marker>
          <c:cat>
            <c:strRef>
              <c:f>'Single Samples'!$A$3:$A$25</c:f>
              <c:strCache>
                <c:ptCount val="23"/>
                <c:pt idx="0">
                  <c:v>T1-BXSP</c:v>
                </c:pt>
                <c:pt idx="1">
                  <c:v>T1-SNCH</c:v>
                </c:pt>
                <c:pt idx="2">
                  <c:v>T1-MCSD</c:v>
                </c:pt>
                <c:pt idx="3">
                  <c:v>T1-ANZA</c:v>
                </c:pt>
                <c:pt idx="4">
                  <c:v>T1-SSCH</c:v>
                </c:pt>
                <c:pt idx="5">
                  <c:v>T1-DAY</c:v>
                </c:pt>
                <c:pt idx="6">
                  <c:v>T1-EVLD</c:v>
                </c:pt>
                <c:pt idx="7">
                  <c:v>T1-EVLE</c:v>
                </c:pt>
                <c:pt idx="8">
                  <c:v>T1-CHINOCRK</c:v>
                </c:pt>
                <c:pt idx="9">
                  <c:v>T1-SACH</c:v>
                </c:pt>
                <c:pt idx="10">
                  <c:v>T1-BRSC</c:v>
                </c:pt>
                <c:pt idx="11">
                  <c:v>T1-CCCH</c:v>
                </c:pt>
                <c:pt idx="12">
                  <c:v>T1-LLSC</c:v>
                </c:pt>
                <c:pt idx="13">
                  <c:v>Chino-RP1</c:v>
                </c:pt>
                <c:pt idx="14">
                  <c:v>T2-CHRIS</c:v>
                </c:pt>
                <c:pt idx="15">
                  <c:v>T2-CLCH</c:v>
                </c:pt>
                <c:pt idx="16">
                  <c:v>T2-HWY60</c:v>
                </c:pt>
                <c:pt idx="17">
                  <c:v>T1-CUCAMONGA</c:v>
                </c:pt>
                <c:pt idx="18">
                  <c:v>WW-MISSION</c:v>
                </c:pt>
                <c:pt idx="19">
                  <c:v>WW-S1</c:v>
                </c:pt>
                <c:pt idx="20">
                  <c:v>WW-S4</c:v>
                </c:pt>
                <c:pt idx="21">
                  <c:v>WW-C7</c:v>
                </c:pt>
                <c:pt idx="22">
                  <c:v>WW-M6</c:v>
                </c:pt>
              </c:strCache>
            </c:strRef>
          </c:cat>
          <c:val>
            <c:numRef>
              <c:f>'HF183'!$Q$37:$Q$56</c:f>
              <c:numCache>
                <c:formatCode>General</c:formatCode>
                <c:ptCount val="20"/>
              </c:numCache>
            </c:numRef>
          </c:val>
          <c:smooth val="0"/>
          <c:extLst>
            <c:ext xmlns:c16="http://schemas.microsoft.com/office/drawing/2014/chart" uri="{C3380CC4-5D6E-409C-BE32-E72D297353CC}">
              <c16:uniqueId val="{00000005-CB33-4F64-B12E-88E83DA0D797}"/>
            </c:ext>
          </c:extLst>
        </c:ser>
        <c:ser>
          <c:idx val="6"/>
          <c:order val="6"/>
          <c:tx>
            <c:strRef>
              <c:f>'Single Samples'!$J$1</c:f>
              <c:strCache>
                <c:ptCount val="1"/>
                <c:pt idx="0">
                  <c:v>WLA (113 MPN/100mL)</c:v>
                </c:pt>
              </c:strCache>
            </c:strRef>
          </c:tx>
          <c:spPr>
            <a:ln w="25400" cap="rnd">
              <a:solidFill>
                <a:srgbClr val="FF0000"/>
              </a:solidFill>
              <a:round/>
            </a:ln>
            <a:effectLst/>
          </c:spPr>
          <c:marker>
            <c:symbol val="none"/>
          </c:marker>
          <c:val>
            <c:numRef>
              <c:f>'Single Samples'!$J$3:$AF$3</c:f>
              <c:numCache>
                <c:formatCode>General</c:formatCode>
                <c:ptCount val="23"/>
                <c:pt idx="0">
                  <c:v>113</c:v>
                </c:pt>
                <c:pt idx="1">
                  <c:v>113</c:v>
                </c:pt>
                <c:pt idx="2">
                  <c:v>113</c:v>
                </c:pt>
                <c:pt idx="3">
                  <c:v>113</c:v>
                </c:pt>
                <c:pt idx="4">
                  <c:v>113</c:v>
                </c:pt>
                <c:pt idx="5">
                  <c:v>113</c:v>
                </c:pt>
                <c:pt idx="6">
                  <c:v>113</c:v>
                </c:pt>
                <c:pt idx="7">
                  <c:v>113</c:v>
                </c:pt>
                <c:pt idx="8">
                  <c:v>113</c:v>
                </c:pt>
                <c:pt idx="9">
                  <c:v>113</c:v>
                </c:pt>
                <c:pt idx="10">
                  <c:v>113</c:v>
                </c:pt>
                <c:pt idx="11">
                  <c:v>113</c:v>
                </c:pt>
                <c:pt idx="12">
                  <c:v>113</c:v>
                </c:pt>
                <c:pt idx="13">
                  <c:v>113</c:v>
                </c:pt>
                <c:pt idx="14">
                  <c:v>113</c:v>
                </c:pt>
                <c:pt idx="15">
                  <c:v>113</c:v>
                </c:pt>
                <c:pt idx="16">
                  <c:v>113</c:v>
                </c:pt>
                <c:pt idx="17">
                  <c:v>113</c:v>
                </c:pt>
                <c:pt idx="18">
                  <c:v>113</c:v>
                </c:pt>
                <c:pt idx="19">
                  <c:v>113</c:v>
                </c:pt>
                <c:pt idx="20">
                  <c:v>113</c:v>
                </c:pt>
                <c:pt idx="21">
                  <c:v>113</c:v>
                </c:pt>
                <c:pt idx="22">
                  <c:v>113</c:v>
                </c:pt>
              </c:numCache>
            </c:numRef>
          </c:val>
          <c:smooth val="0"/>
          <c:extLst>
            <c:ext xmlns:c16="http://schemas.microsoft.com/office/drawing/2014/chart" uri="{C3380CC4-5D6E-409C-BE32-E72D297353CC}">
              <c16:uniqueId val="{00000006-CB33-4F64-B12E-88E83DA0D797}"/>
            </c:ext>
          </c:extLst>
        </c:ser>
        <c:dLbls>
          <c:showLegendKey val="0"/>
          <c:showVal val="0"/>
          <c:showCatName val="0"/>
          <c:showSerName val="0"/>
          <c:showPercent val="0"/>
          <c:showBubbleSize val="0"/>
        </c:dLbls>
        <c:marker val="1"/>
        <c:smooth val="0"/>
        <c:axId val="1235588472"/>
        <c:axId val="1235593064"/>
      </c:lineChart>
      <c:catAx>
        <c:axId val="1235588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ysClr val="windowText" lastClr="000000"/>
            </a:solidFill>
            <a:round/>
          </a:ln>
          <a:effectLst/>
        </c:spPr>
        <c:txPr>
          <a:bodyPr rot="-5400000" spcFirstLastPara="1" vertOverflow="ellipsis"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235593064"/>
        <c:crosses val="autoZero"/>
        <c:auto val="1"/>
        <c:lblAlgn val="ctr"/>
        <c:lblOffset val="100"/>
        <c:noMultiLvlLbl val="0"/>
      </c:catAx>
      <c:valAx>
        <c:axId val="1235593064"/>
        <c:scaling>
          <c:logBase val="10"/>
          <c:orientation val="minMax"/>
          <c:min val="10"/>
        </c:scaling>
        <c:delete val="0"/>
        <c:axPos val="l"/>
        <c:majorGridlines>
          <c:spPr>
            <a:ln w="9525" cap="flat" cmpd="sng" algn="ctr">
              <a:solidFill>
                <a:schemeClr val="tx1">
                  <a:lumMod val="50000"/>
                  <a:lumOff val="50000"/>
                </a:schemeClr>
              </a:solidFill>
              <a:round/>
            </a:ln>
            <a:effectLst/>
          </c:spPr>
        </c:majorGridlines>
        <c:minorGridlines>
          <c:spPr>
            <a:ln w="9525" cap="flat" cmpd="sng" algn="ctr">
              <a:solidFill>
                <a:schemeClr val="bg1">
                  <a:lumMod val="75000"/>
                </a:schemeClr>
              </a:solidFill>
              <a:round/>
            </a:ln>
            <a:effectLst/>
          </c:spPr>
        </c:min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b="1" i="1"/>
                  <a:t>E. coli </a:t>
                </a:r>
                <a:r>
                  <a:rPr lang="en-US" sz="1200" b="1"/>
                  <a:t>(mpn/100mL)</a:t>
                </a:r>
              </a:p>
            </c:rich>
          </c:tx>
          <c:layout>
            <c:manualLayout>
              <c:xMode val="edge"/>
              <c:yMode val="edge"/>
              <c:x val="1.2170253718285215E-2"/>
              <c:y val="0.21815010828564463"/>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1235588472"/>
        <c:crosses val="autoZero"/>
        <c:crossBetween val="between"/>
      </c:valAx>
      <c:spPr>
        <a:noFill/>
        <a:ln>
          <a:solidFill>
            <a:sysClr val="windowText" lastClr="000000"/>
          </a:solidFill>
        </a:ln>
        <a:effectLst/>
      </c:spPr>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ayout>
        <c:manualLayout>
          <c:xMode val="edge"/>
          <c:yMode val="edge"/>
          <c:x val="0.21138652668416447"/>
          <c:y val="2.5756603209408972E-2"/>
          <c:w val="0.72705497202988689"/>
          <c:h val="4.417048865929395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74968400077325"/>
          <c:y val="4.8037181102549537E-2"/>
          <c:w val="0.83325270189665623"/>
          <c:h val="0.75187231177254676"/>
        </c:manualLayout>
      </c:layout>
      <c:barChart>
        <c:barDir val="col"/>
        <c:grouping val="clustered"/>
        <c:varyColors val="0"/>
        <c:ser>
          <c:idx val="0"/>
          <c:order val="0"/>
          <c:tx>
            <c:strRef>
              <c:f>Loading!$I$32</c:f>
              <c:strCache>
                <c:ptCount val="1"/>
                <c:pt idx="0">
                  <c:v>2012</c:v>
                </c:pt>
              </c:strCache>
            </c:strRef>
          </c:tx>
          <c:spPr>
            <a:solidFill>
              <a:schemeClr val="accent1"/>
            </a:solidFill>
            <a:ln>
              <a:noFill/>
            </a:ln>
            <a:effectLst/>
          </c:spPr>
          <c:invertIfNegative val="0"/>
          <c:cat>
            <c:strRef>
              <c:f>Loading!$C$33:$C$45</c:f>
              <c:strCache>
                <c:ptCount val="13"/>
                <c:pt idx="0">
                  <c:v>T1-CHINOCRK</c:v>
                </c:pt>
                <c:pt idx="1">
                  <c:v>T1-BRSC</c:v>
                </c:pt>
                <c:pt idx="2">
                  <c:v>T1-CCCH</c:v>
                </c:pt>
                <c:pt idx="3">
                  <c:v>T1-SACH</c:v>
                </c:pt>
                <c:pt idx="4">
                  <c:v>T1-LLSC</c:v>
                </c:pt>
                <c:pt idx="5">
                  <c:v>T1-MCSD</c:v>
                </c:pt>
                <c:pt idx="6">
                  <c:v>T1-SNCH</c:v>
                </c:pt>
                <c:pt idx="7">
                  <c:v>T1-BXSP</c:v>
                </c:pt>
                <c:pt idx="8">
                  <c:v>T1-ANZA</c:v>
                </c:pt>
                <c:pt idx="9">
                  <c:v>T1-SSCH</c:v>
                </c:pt>
                <c:pt idx="10">
                  <c:v>T1-DAY</c:v>
                </c:pt>
                <c:pt idx="11">
                  <c:v>T2-HWY60</c:v>
                </c:pt>
                <c:pt idx="12">
                  <c:v>T2-CHRIS</c:v>
                </c:pt>
              </c:strCache>
            </c:strRef>
          </c:cat>
          <c:val>
            <c:numRef>
              <c:f>Loading!$I$33:$I$45</c:f>
              <c:numCache>
                <c:formatCode>0</c:formatCode>
                <c:ptCount val="13"/>
                <c:pt idx="0">
                  <c:v>535.61568833506453</c:v>
                </c:pt>
                <c:pt idx="1">
                  <c:v>550.88003993941413</c:v>
                </c:pt>
                <c:pt idx="2">
                  <c:v>69.908518811239631</c:v>
                </c:pt>
                <c:pt idx="3">
                  <c:v>275.52558224276748</c:v>
                </c:pt>
                <c:pt idx="4">
                  <c:v>38.721463152450752</c:v>
                </c:pt>
                <c:pt idx="5">
                  <c:v>234.20882069202992</c:v>
                </c:pt>
                <c:pt idx="6">
                  <c:v>326.3215002554802</c:v>
                </c:pt>
                <c:pt idx="7">
                  <c:v>1260.0323062245541</c:v>
                </c:pt>
                <c:pt idx="8">
                  <c:v>287.35061987042428</c:v>
                </c:pt>
                <c:pt idx="9">
                  <c:v>1700.9490830812217</c:v>
                </c:pt>
                <c:pt idx="10">
                  <c:v>550.49476900905995</c:v>
                </c:pt>
                <c:pt idx="11">
                  <c:v>296.71970744319543</c:v>
                </c:pt>
                <c:pt idx="12">
                  <c:v>2801.1221139556055</c:v>
                </c:pt>
              </c:numCache>
            </c:numRef>
          </c:val>
          <c:extLst>
            <c:ext xmlns:c16="http://schemas.microsoft.com/office/drawing/2014/chart" uri="{C3380CC4-5D6E-409C-BE32-E72D297353CC}">
              <c16:uniqueId val="{00000000-14F5-4F8E-A2EF-465197643831}"/>
            </c:ext>
          </c:extLst>
        </c:ser>
        <c:ser>
          <c:idx val="1"/>
          <c:order val="1"/>
          <c:tx>
            <c:strRef>
              <c:f>Loading!$J$32</c:f>
              <c:strCache>
                <c:ptCount val="1"/>
                <c:pt idx="0">
                  <c:v>2019</c:v>
                </c:pt>
              </c:strCache>
            </c:strRef>
          </c:tx>
          <c:spPr>
            <a:solidFill>
              <a:srgbClr val="FF6600"/>
            </a:solidFill>
            <a:ln>
              <a:noFill/>
            </a:ln>
            <a:effectLst/>
          </c:spPr>
          <c:invertIfNegative val="0"/>
          <c:cat>
            <c:strRef>
              <c:f>Loading!$C$33:$C$45</c:f>
              <c:strCache>
                <c:ptCount val="13"/>
                <c:pt idx="0">
                  <c:v>T1-CHINOCRK</c:v>
                </c:pt>
                <c:pt idx="1">
                  <c:v>T1-BRSC</c:v>
                </c:pt>
                <c:pt idx="2">
                  <c:v>T1-CCCH</c:v>
                </c:pt>
                <c:pt idx="3">
                  <c:v>T1-SACH</c:v>
                </c:pt>
                <c:pt idx="4">
                  <c:v>T1-LLSC</c:v>
                </c:pt>
                <c:pt idx="5">
                  <c:v>T1-MCSD</c:v>
                </c:pt>
                <c:pt idx="6">
                  <c:v>T1-SNCH</c:v>
                </c:pt>
                <c:pt idx="7">
                  <c:v>T1-BXSP</c:v>
                </c:pt>
                <c:pt idx="8">
                  <c:v>T1-ANZA</c:v>
                </c:pt>
                <c:pt idx="9">
                  <c:v>T1-SSCH</c:v>
                </c:pt>
                <c:pt idx="10">
                  <c:v>T1-DAY</c:v>
                </c:pt>
                <c:pt idx="11">
                  <c:v>T2-HWY60</c:v>
                </c:pt>
                <c:pt idx="12">
                  <c:v>T2-CHRIS</c:v>
                </c:pt>
              </c:strCache>
            </c:strRef>
          </c:cat>
          <c:val>
            <c:numRef>
              <c:f>Loading!$J$33:$J$45</c:f>
              <c:numCache>
                <c:formatCode>0</c:formatCode>
                <c:ptCount val="13"/>
                <c:pt idx="0">
                  <c:v>852.52695001119696</c:v>
                </c:pt>
                <c:pt idx="1">
                  <c:v>1205.2158519408924</c:v>
                </c:pt>
                <c:pt idx="2">
                  <c:v>65.224154998543185</c:v>
                </c:pt>
                <c:pt idx="3">
                  <c:v>158.79677772137177</c:v>
                </c:pt>
                <c:pt idx="4">
                  <c:v>521.53619241621186</c:v>
                </c:pt>
                <c:pt idx="5">
                  <c:v>4087.499280766523</c:v>
                </c:pt>
                <c:pt idx="6">
                  <c:v>759.5835209193192</c:v>
                </c:pt>
                <c:pt idx="7">
                  <c:v>847.00424952026253</c:v>
                </c:pt>
                <c:pt idx="8">
                  <c:v>268.75161209475789</c:v>
                </c:pt>
                <c:pt idx="9">
                  <c:v>1440.1373210736485</c:v>
                </c:pt>
                <c:pt idx="10">
                  <c:v>719.5578995747527</c:v>
                </c:pt>
                <c:pt idx="11">
                  <c:v>140.35505996786458</c:v>
                </c:pt>
                <c:pt idx="12">
                  <c:v>867.33411068298619</c:v>
                </c:pt>
              </c:numCache>
            </c:numRef>
          </c:val>
          <c:extLst>
            <c:ext xmlns:c16="http://schemas.microsoft.com/office/drawing/2014/chart" uri="{C3380CC4-5D6E-409C-BE32-E72D297353CC}">
              <c16:uniqueId val="{00000001-14F5-4F8E-A2EF-465197643831}"/>
            </c:ext>
          </c:extLst>
        </c:ser>
        <c:ser>
          <c:idx val="2"/>
          <c:order val="2"/>
          <c:tx>
            <c:v>2025</c:v>
          </c:tx>
          <c:spPr>
            <a:solidFill>
              <a:srgbClr val="FFCC00"/>
            </a:solidFill>
            <a:ln>
              <a:noFill/>
            </a:ln>
            <a:effectLst/>
          </c:spPr>
          <c:invertIfNegative val="0"/>
          <c:val>
            <c:numRef>
              <c:f>Loading!$K$33:$K$45</c:f>
              <c:numCache>
                <c:formatCode>0</c:formatCode>
                <c:ptCount val="13"/>
                <c:pt idx="0">
                  <c:v>700.64054094765925</c:v>
                </c:pt>
                <c:pt idx="1">
                  <c:v>3457.0896290510454</c:v>
                </c:pt>
                <c:pt idx="2">
                  <c:v>65.741852366080806</c:v>
                </c:pt>
                <c:pt idx="3">
                  <c:v>809.85422675514144</c:v>
                </c:pt>
                <c:pt idx="4">
                  <c:v>1183.8370924079788</c:v>
                </c:pt>
                <c:pt idx="5">
                  <c:v>4800.7034613137439</c:v>
                </c:pt>
                <c:pt idx="6">
                  <c:v>292.03697270112536</c:v>
                </c:pt>
                <c:pt idx="7">
                  <c:v>4548.4962054526841</c:v>
                </c:pt>
                <c:pt idx="8">
                  <c:v>36.556935799042463</c:v>
                </c:pt>
                <c:pt idx="9">
                  <c:v>1518.058075299615</c:v>
                </c:pt>
                <c:pt idx="10">
                  <c:v>2067.7333050665766</c:v>
                </c:pt>
              </c:numCache>
            </c:numRef>
          </c:val>
          <c:extLst>
            <c:ext xmlns:c16="http://schemas.microsoft.com/office/drawing/2014/chart" uri="{C3380CC4-5D6E-409C-BE32-E72D297353CC}">
              <c16:uniqueId val="{00000002-14F5-4F8E-A2EF-465197643831}"/>
            </c:ext>
          </c:extLst>
        </c:ser>
        <c:dLbls>
          <c:showLegendKey val="0"/>
          <c:showVal val="0"/>
          <c:showCatName val="0"/>
          <c:showSerName val="0"/>
          <c:showPercent val="0"/>
          <c:showBubbleSize val="0"/>
        </c:dLbls>
        <c:gapWidth val="75"/>
        <c:axId val="564554112"/>
        <c:axId val="564560672"/>
      </c:barChart>
      <c:catAx>
        <c:axId val="5645541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64560672"/>
        <c:crosses val="autoZero"/>
        <c:auto val="1"/>
        <c:lblAlgn val="ctr"/>
        <c:lblOffset val="100"/>
        <c:noMultiLvlLbl val="0"/>
      </c:catAx>
      <c:valAx>
        <c:axId val="564560672"/>
        <c:scaling>
          <c:logBase val="10"/>
          <c:orientation val="minMax"/>
          <c:max val="10000"/>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b="1" i="1" baseline="0">
                    <a:effectLst/>
                  </a:rPr>
                  <a:t>E. coli </a:t>
                </a:r>
                <a:r>
                  <a:rPr lang="en-US" sz="1100" b="1" i="0" baseline="0">
                    <a:effectLst/>
                  </a:rPr>
                  <a:t>Geomean (MPN/100mL)</a:t>
                </a:r>
                <a:endParaRPr lang="en-US" sz="1100">
                  <a:effectLst/>
                </a:endParaRPr>
              </a:p>
            </c:rich>
          </c:tx>
          <c:layout>
            <c:manualLayout>
              <c:xMode val="edge"/>
              <c:yMode val="edge"/>
              <c:x val="1.8706386701662293E-2"/>
              <c:y val="8.4968225125705427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64554112"/>
        <c:crosses val="autoZero"/>
        <c:crossBetween val="between"/>
      </c:valAx>
      <c:spPr>
        <a:noFill/>
        <a:ln>
          <a:solidFill>
            <a:schemeClr val="tx1"/>
          </a:solidFill>
        </a:ln>
        <a:effectLst/>
      </c:spPr>
    </c:plotArea>
    <c:legend>
      <c:legendPos val="r"/>
      <c:layout>
        <c:manualLayout>
          <c:xMode val="edge"/>
          <c:yMode val="edge"/>
          <c:x val="0.83893490813648275"/>
          <c:y val="6.4841923168694818E-2"/>
          <c:w val="0.11593042279633663"/>
          <c:h val="0.20317853734192318"/>
        </c:manualLayout>
      </c:layout>
      <c:overlay val="0"/>
      <c:spPr>
        <a:solidFill>
          <a:schemeClr val="bg1"/>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16776484207797"/>
          <c:y val="0.17004147152799051"/>
          <c:w val="0.79127671302219016"/>
          <c:h val="0.7251405572877111"/>
        </c:manualLayout>
      </c:layout>
      <c:barChart>
        <c:barDir val="col"/>
        <c:grouping val="clustered"/>
        <c:varyColors val="0"/>
        <c:ser>
          <c:idx val="2"/>
          <c:order val="0"/>
          <c:tx>
            <c:v>2007</c:v>
          </c:tx>
          <c:spPr>
            <a:solidFill>
              <a:schemeClr val="accent3">
                <a:lumMod val="75000"/>
              </a:schemeClr>
            </a:solidFill>
            <a:ln>
              <a:noFill/>
            </a:ln>
            <a:effectLst/>
          </c:spPr>
          <c:invertIfNegative val="0"/>
          <c:val>
            <c:numRef>
              <c:f>(Loading!$F$3,Loading!$F$7,Loading!$F$11)</c:f>
              <c:numCache>
                <c:formatCode>0.0</c:formatCode>
                <c:ptCount val="3"/>
                <c:pt idx="0">
                  <c:v>53</c:v>
                </c:pt>
                <c:pt idx="1">
                  <c:v>94</c:v>
                </c:pt>
                <c:pt idx="2">
                  <c:v>62</c:v>
                </c:pt>
              </c:numCache>
            </c:numRef>
          </c:val>
          <c:extLst>
            <c:ext xmlns:c16="http://schemas.microsoft.com/office/drawing/2014/chart" uri="{C3380CC4-5D6E-409C-BE32-E72D297353CC}">
              <c16:uniqueId val="{00000000-4747-4218-85B3-8488485DE4D7}"/>
            </c:ext>
          </c:extLst>
        </c:ser>
        <c:ser>
          <c:idx val="0"/>
          <c:order val="1"/>
          <c:tx>
            <c:v>2012</c:v>
          </c:tx>
          <c:spPr>
            <a:solidFill>
              <a:schemeClr val="accent1"/>
            </a:solidFill>
            <a:ln>
              <a:noFill/>
            </a:ln>
            <a:effectLst/>
          </c:spPr>
          <c:invertIfNegative val="0"/>
          <c:cat>
            <c:strRef>
              <c:f>(Loading!$B$4,Loading!$B$8,Loading!$B$12)</c:f>
              <c:strCache>
                <c:ptCount val="3"/>
                <c:pt idx="0">
                  <c:v>WW-C7</c:v>
                </c:pt>
                <c:pt idx="1">
                  <c:v>WW-S1</c:v>
                </c:pt>
                <c:pt idx="2">
                  <c:v>WW-S4</c:v>
                </c:pt>
              </c:strCache>
            </c:strRef>
          </c:cat>
          <c:val>
            <c:numRef>
              <c:f>(Loading!$F$4,Loading!$F$8,Loading!$F$12)</c:f>
              <c:numCache>
                <c:formatCode>0.0</c:formatCode>
                <c:ptCount val="3"/>
                <c:pt idx="0">
                  <c:v>36.801027965562838</c:v>
                </c:pt>
                <c:pt idx="1">
                  <c:v>46.053954689935935</c:v>
                </c:pt>
                <c:pt idx="2">
                  <c:v>48.22880441831424</c:v>
                </c:pt>
              </c:numCache>
            </c:numRef>
          </c:val>
          <c:extLst>
            <c:ext xmlns:c16="http://schemas.microsoft.com/office/drawing/2014/chart" uri="{C3380CC4-5D6E-409C-BE32-E72D297353CC}">
              <c16:uniqueId val="{00000001-4747-4218-85B3-8488485DE4D7}"/>
            </c:ext>
          </c:extLst>
        </c:ser>
        <c:ser>
          <c:idx val="1"/>
          <c:order val="2"/>
          <c:tx>
            <c:v>2019</c:v>
          </c:tx>
          <c:spPr>
            <a:solidFill>
              <a:srgbClr val="FF6600"/>
            </a:solidFill>
            <a:ln>
              <a:noFill/>
            </a:ln>
            <a:effectLst/>
          </c:spPr>
          <c:invertIfNegative val="0"/>
          <c:cat>
            <c:strRef>
              <c:f>(Loading!$B$4,Loading!$B$8,Loading!$B$12)</c:f>
              <c:strCache>
                <c:ptCount val="3"/>
                <c:pt idx="0">
                  <c:v>WW-C7</c:v>
                </c:pt>
                <c:pt idx="1">
                  <c:v>WW-S1</c:v>
                </c:pt>
                <c:pt idx="2">
                  <c:v>WW-S4</c:v>
                </c:pt>
              </c:strCache>
            </c:strRef>
          </c:cat>
          <c:val>
            <c:numRef>
              <c:f>(Loading!$F$5,Loading!$F$9,Loading!$F$13)</c:f>
              <c:numCache>
                <c:formatCode>0.0</c:formatCode>
                <c:ptCount val="3"/>
                <c:pt idx="0">
                  <c:v>20.0684983235328</c:v>
                </c:pt>
                <c:pt idx="1">
                  <c:v>45.966552703487999</c:v>
                </c:pt>
                <c:pt idx="2">
                  <c:v>13.124021276160001</c:v>
                </c:pt>
              </c:numCache>
            </c:numRef>
          </c:val>
          <c:extLst>
            <c:ext xmlns:c16="http://schemas.microsoft.com/office/drawing/2014/chart" uri="{C3380CC4-5D6E-409C-BE32-E72D297353CC}">
              <c16:uniqueId val="{00000002-4747-4218-85B3-8488485DE4D7}"/>
            </c:ext>
          </c:extLst>
        </c:ser>
        <c:ser>
          <c:idx val="3"/>
          <c:order val="3"/>
          <c:tx>
            <c:v>2025</c:v>
          </c:tx>
          <c:spPr>
            <a:solidFill>
              <a:srgbClr val="FFCC00"/>
            </a:solidFill>
            <a:ln>
              <a:noFill/>
            </a:ln>
            <a:effectLst/>
          </c:spPr>
          <c:invertIfNegative val="0"/>
          <c:val>
            <c:numRef>
              <c:f>(Loading!$F$6,Loading!$F$10,Loading!$F$14)</c:f>
              <c:numCache>
                <c:formatCode>0.0</c:formatCode>
                <c:ptCount val="3"/>
                <c:pt idx="0">
                  <c:v>25.156382340096002</c:v>
                </c:pt>
                <c:pt idx="1">
                  <c:v>56.403259822079995</c:v>
                </c:pt>
                <c:pt idx="2">
                  <c:v>12.6607874245632</c:v>
                </c:pt>
              </c:numCache>
            </c:numRef>
          </c:val>
          <c:extLst>
            <c:ext xmlns:c16="http://schemas.microsoft.com/office/drawing/2014/chart" uri="{C3380CC4-5D6E-409C-BE32-E72D297353CC}">
              <c16:uniqueId val="{00000003-4747-4218-85B3-8488485DE4D7}"/>
            </c:ext>
          </c:extLst>
        </c:ser>
        <c:dLbls>
          <c:showLegendKey val="0"/>
          <c:showVal val="0"/>
          <c:showCatName val="0"/>
          <c:showSerName val="0"/>
          <c:showPercent val="0"/>
          <c:showBubbleSize val="0"/>
        </c:dLbls>
        <c:gapWidth val="219"/>
        <c:overlap val="-27"/>
        <c:axId val="1596274808"/>
        <c:axId val="1596275792"/>
      </c:barChart>
      <c:catAx>
        <c:axId val="1596274808"/>
        <c:scaling>
          <c:orientation val="minMax"/>
        </c:scaling>
        <c:delete val="0"/>
        <c:axPos val="b"/>
        <c:majorGridlines>
          <c:spPr>
            <a:ln w="9525" cap="flat" cmpd="sng" algn="ctr">
              <a:solidFill>
                <a:schemeClr val="tx1"/>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596275792"/>
        <c:crosses val="autoZero"/>
        <c:auto val="1"/>
        <c:lblAlgn val="ctr"/>
        <c:lblOffset val="100"/>
        <c:noMultiLvlLbl val="0"/>
      </c:catAx>
      <c:valAx>
        <c:axId val="1596275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b="1"/>
                  <a:t>Median of Measured MS4 Inflow Load (billion mpn/day)</a:t>
                </a:r>
              </a:p>
            </c:rich>
          </c:tx>
          <c:layout>
            <c:manualLayout>
              <c:xMode val="edge"/>
              <c:yMode val="edge"/>
              <c:x val="2.7777889177190568E-2"/>
              <c:y val="0.13639060145439538"/>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596274808"/>
        <c:crosses val="autoZero"/>
        <c:crossBetween val="between"/>
      </c:valAx>
      <c:spPr>
        <a:noFill/>
        <a:ln>
          <a:solidFill>
            <a:schemeClr val="tx1"/>
          </a:solidFill>
        </a:ln>
        <a:effectLst/>
      </c:spPr>
    </c:plotArea>
    <c:legend>
      <c:legendPos val="r"/>
      <c:layout>
        <c:manualLayout>
          <c:xMode val="edge"/>
          <c:yMode val="edge"/>
          <c:x val="0.17517553411428724"/>
          <c:y val="3.6960541865452799E-2"/>
          <c:w val="0.78384723243610566"/>
          <c:h val="0.10513259008685104"/>
        </c:manualLayout>
      </c:layout>
      <c:overlay val="0"/>
      <c:spPr>
        <a:solidFill>
          <a:sysClr val="window" lastClr="FFFFFF"/>
        </a:solid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056037634516481"/>
          <c:y val="5.5782640817664979E-2"/>
          <c:w val="0.73830207578060725"/>
          <c:h val="0.64909255886416106"/>
        </c:manualLayout>
      </c:layout>
      <c:barChart>
        <c:barDir val="col"/>
        <c:grouping val="clustered"/>
        <c:varyColors val="0"/>
        <c:ser>
          <c:idx val="0"/>
          <c:order val="0"/>
          <c:tx>
            <c:strRef>
              <c:f>Prioritization2025!$AR$2</c:f>
              <c:strCache>
                <c:ptCount val="1"/>
                <c:pt idx="0">
                  <c:v>Geomean</c:v>
                </c:pt>
              </c:strCache>
            </c:strRef>
          </c:tx>
          <c:spPr>
            <a:solidFill>
              <a:srgbClr val="FFC000"/>
            </a:solidFill>
            <a:ln>
              <a:noFill/>
            </a:ln>
            <a:effectLst/>
          </c:spPr>
          <c:invertIfNegative val="0"/>
          <c:dPt>
            <c:idx val="1"/>
            <c:invertIfNegative val="0"/>
            <c:bubble3D val="0"/>
            <c:spPr>
              <a:solidFill>
                <a:srgbClr val="FF7C80"/>
              </a:solidFill>
              <a:ln>
                <a:noFill/>
              </a:ln>
              <a:effectLst/>
            </c:spPr>
            <c:extLst>
              <c:ext xmlns:c16="http://schemas.microsoft.com/office/drawing/2014/chart" uri="{C3380CC4-5D6E-409C-BE32-E72D297353CC}">
                <c16:uniqueId val="{00000001-E520-4FC0-9AE5-2662025953E0}"/>
              </c:ext>
            </c:extLst>
          </c:dPt>
          <c:dPt>
            <c:idx val="3"/>
            <c:invertIfNegative val="0"/>
            <c:bubble3D val="0"/>
            <c:spPr>
              <a:solidFill>
                <a:srgbClr val="00CC66"/>
              </a:solidFill>
              <a:ln>
                <a:noFill/>
              </a:ln>
              <a:effectLst/>
            </c:spPr>
            <c:extLst>
              <c:ext xmlns:c16="http://schemas.microsoft.com/office/drawing/2014/chart" uri="{C3380CC4-5D6E-409C-BE32-E72D297353CC}">
                <c16:uniqueId val="{00000006-E520-4FC0-9AE5-2662025953E0}"/>
              </c:ext>
            </c:extLst>
          </c:dPt>
          <c:dPt>
            <c:idx val="4"/>
            <c:invertIfNegative val="0"/>
            <c:bubble3D val="0"/>
            <c:spPr>
              <a:solidFill>
                <a:srgbClr val="FF9966"/>
              </a:solidFill>
              <a:ln>
                <a:noFill/>
              </a:ln>
              <a:effectLst/>
            </c:spPr>
            <c:extLst>
              <c:ext xmlns:c16="http://schemas.microsoft.com/office/drawing/2014/chart" uri="{C3380CC4-5D6E-409C-BE32-E72D297353CC}">
                <c16:uniqueId val="{00000002-E520-4FC0-9AE5-2662025953E0}"/>
              </c:ext>
            </c:extLst>
          </c:dPt>
          <c:dPt>
            <c:idx val="7"/>
            <c:invertIfNegative val="0"/>
            <c:bubble3D val="0"/>
            <c:spPr>
              <a:solidFill>
                <a:srgbClr val="00CC66"/>
              </a:solidFill>
              <a:ln>
                <a:noFill/>
              </a:ln>
              <a:effectLst/>
            </c:spPr>
            <c:extLst>
              <c:ext xmlns:c16="http://schemas.microsoft.com/office/drawing/2014/chart" uri="{C3380CC4-5D6E-409C-BE32-E72D297353CC}">
                <c16:uniqueId val="{00000003-E520-4FC0-9AE5-2662025953E0}"/>
              </c:ext>
            </c:extLst>
          </c:dPt>
          <c:dPt>
            <c:idx val="10"/>
            <c:invertIfNegative val="0"/>
            <c:bubble3D val="0"/>
            <c:spPr>
              <a:solidFill>
                <a:srgbClr val="00CC66"/>
              </a:solidFill>
              <a:ln>
                <a:noFill/>
              </a:ln>
              <a:effectLst/>
            </c:spPr>
            <c:extLst>
              <c:ext xmlns:c16="http://schemas.microsoft.com/office/drawing/2014/chart" uri="{C3380CC4-5D6E-409C-BE32-E72D297353CC}">
                <c16:uniqueId val="{00000004-E520-4FC0-9AE5-2662025953E0}"/>
              </c:ext>
            </c:extLst>
          </c:dPt>
          <c:dPt>
            <c:idx val="15"/>
            <c:invertIfNegative val="0"/>
            <c:bubble3D val="0"/>
            <c:spPr>
              <a:solidFill>
                <a:srgbClr val="00CC66"/>
              </a:solidFill>
              <a:ln>
                <a:noFill/>
              </a:ln>
              <a:effectLst/>
            </c:spPr>
            <c:extLst>
              <c:ext xmlns:c16="http://schemas.microsoft.com/office/drawing/2014/chart" uri="{C3380CC4-5D6E-409C-BE32-E72D297353CC}">
                <c16:uniqueId val="{00000005-E520-4FC0-9AE5-2662025953E0}"/>
              </c:ext>
            </c:extLst>
          </c:dPt>
          <c:cat>
            <c:strRef>
              <c:f>Prioritization2025!$E$3:$E$20</c:f>
              <c:strCache>
                <c:ptCount val="18"/>
                <c:pt idx="0">
                  <c:v>T1-SNCH</c:v>
                </c:pt>
                <c:pt idx="1">
                  <c:v>T1-MCSD</c:v>
                </c:pt>
                <c:pt idx="2">
                  <c:v>T1-CUCAMONGA</c:v>
                </c:pt>
                <c:pt idx="3">
                  <c:v>T1-ANZA</c:v>
                </c:pt>
                <c:pt idx="4">
                  <c:v>T1-BXSP</c:v>
                </c:pt>
                <c:pt idx="5">
                  <c:v>T2-CHRIS</c:v>
                </c:pt>
                <c:pt idx="6">
                  <c:v>T1-EVLD</c:v>
                </c:pt>
                <c:pt idx="7">
                  <c:v>T1-SACH</c:v>
                </c:pt>
                <c:pt idx="8">
                  <c:v>T2-CLCH</c:v>
                </c:pt>
                <c:pt idx="9">
                  <c:v>T1-CHINOCRK</c:v>
                </c:pt>
                <c:pt idx="10">
                  <c:v>T1-BRSC</c:v>
                </c:pt>
                <c:pt idx="11">
                  <c:v>T1-CCCH</c:v>
                </c:pt>
                <c:pt idx="12">
                  <c:v>T1-SSCH</c:v>
                </c:pt>
                <c:pt idx="13">
                  <c:v>T1-EVLE</c:v>
                </c:pt>
                <c:pt idx="14">
                  <c:v>T1-DAY</c:v>
                </c:pt>
                <c:pt idx="15">
                  <c:v>T1-LLSC</c:v>
                </c:pt>
                <c:pt idx="16">
                  <c:v>T2-HWY60</c:v>
                </c:pt>
                <c:pt idx="17">
                  <c:v>Chino-RP1</c:v>
                </c:pt>
              </c:strCache>
            </c:strRef>
          </c:cat>
          <c:val>
            <c:numRef>
              <c:f>Prioritization2025!$AR$3:$AR$20</c:f>
              <c:numCache>
                <c:formatCode>0</c:formatCode>
                <c:ptCount val="18"/>
                <c:pt idx="0">
                  <c:v>469</c:v>
                </c:pt>
                <c:pt idx="1">
                  <c:v>26614.084584834949</c:v>
                </c:pt>
                <c:pt idx="2">
                  <c:v>0</c:v>
                </c:pt>
                <c:pt idx="3">
                  <c:v>34</c:v>
                </c:pt>
                <c:pt idx="4">
                  <c:v>1574</c:v>
                </c:pt>
                <c:pt idx="5">
                  <c:v>0</c:v>
                </c:pt>
                <c:pt idx="6">
                  <c:v>0</c:v>
                </c:pt>
                <c:pt idx="7">
                  <c:v>60</c:v>
                </c:pt>
                <c:pt idx="8">
                  <c:v>25</c:v>
                </c:pt>
                <c:pt idx="9">
                  <c:v>0</c:v>
                </c:pt>
                <c:pt idx="10">
                  <c:v>51</c:v>
                </c:pt>
                <c:pt idx="11">
                  <c:v>0</c:v>
                </c:pt>
                <c:pt idx="12">
                  <c:v>31</c:v>
                </c:pt>
                <c:pt idx="13">
                  <c:v>0</c:v>
                </c:pt>
                <c:pt idx="14">
                  <c:v>0</c:v>
                </c:pt>
                <c:pt idx="15">
                  <c:v>46</c:v>
                </c:pt>
                <c:pt idx="16">
                  <c:v>0</c:v>
                </c:pt>
                <c:pt idx="17">
                  <c:v>0</c:v>
                </c:pt>
              </c:numCache>
            </c:numRef>
          </c:val>
          <c:extLst>
            <c:ext xmlns:c16="http://schemas.microsoft.com/office/drawing/2014/chart" uri="{C3380CC4-5D6E-409C-BE32-E72D297353CC}">
              <c16:uniqueId val="{00000000-E520-4FC0-9AE5-2662025953E0}"/>
            </c:ext>
          </c:extLst>
        </c:ser>
        <c:dLbls>
          <c:showLegendKey val="0"/>
          <c:showVal val="0"/>
          <c:showCatName val="0"/>
          <c:showSerName val="0"/>
          <c:showPercent val="0"/>
          <c:showBubbleSize val="0"/>
        </c:dLbls>
        <c:gapWidth val="166"/>
        <c:overlap val="-25"/>
        <c:axId val="692641376"/>
        <c:axId val="692642032"/>
      </c:barChart>
      <c:catAx>
        <c:axId val="692641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92642032"/>
        <c:crosses val="autoZero"/>
        <c:auto val="1"/>
        <c:lblAlgn val="ctr"/>
        <c:lblOffset val="100"/>
        <c:noMultiLvlLbl val="0"/>
      </c:catAx>
      <c:valAx>
        <c:axId val="692642032"/>
        <c:scaling>
          <c:logBase val="10"/>
          <c:orientation val="minMax"/>
          <c:max val="30000"/>
          <c:min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1" i="0" u="none" strike="noStrike" kern="1200" spc="0" baseline="0">
                    <a:solidFill>
                      <a:sysClr val="windowText" lastClr="000000">
                        <a:lumMod val="65000"/>
                        <a:lumOff val="35000"/>
                      </a:sysClr>
                    </a:solidFill>
                  </a:rPr>
                  <a:t>HF183 Geometric Mean</a:t>
                </a:r>
              </a:p>
              <a:p>
                <a:pPr>
                  <a:defRPr/>
                </a:pPr>
                <a:r>
                  <a:rPr lang="en-US" sz="1200" b="1" i="0" u="none" strike="noStrike" kern="1200" spc="0" baseline="0">
                    <a:solidFill>
                      <a:sysClr val="windowText" lastClr="000000">
                        <a:lumMod val="65000"/>
                        <a:lumOff val="35000"/>
                      </a:sysClr>
                    </a:solidFill>
                  </a:rPr>
                  <a:t>Concentrations (gc/100mL)</a:t>
                </a:r>
              </a:p>
            </c:rich>
          </c:tx>
          <c:layout>
            <c:manualLayout>
              <c:xMode val="edge"/>
              <c:yMode val="edge"/>
              <c:x val="2.4604013454223951E-2"/>
              <c:y val="0.2347485532246092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92641376"/>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sz="12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Bacteria Prioritization Score (2025)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805153053080741"/>
          <c:y val="0.15969798681331054"/>
          <c:w val="0.75473378566635274"/>
          <c:h val="0.78772019449311459"/>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7C80"/>
              </a:solidFill>
              <a:ln>
                <a:noFill/>
              </a:ln>
              <a:effectLst/>
            </c:spPr>
            <c:extLst>
              <c:ext xmlns:c16="http://schemas.microsoft.com/office/drawing/2014/chart" uri="{C3380CC4-5D6E-409C-BE32-E72D297353CC}">
                <c16:uniqueId val="{00000001-232A-4324-A8BA-86611C7B5F23}"/>
              </c:ext>
            </c:extLst>
          </c:dPt>
          <c:dPt>
            <c:idx val="1"/>
            <c:invertIfNegative val="0"/>
            <c:bubble3D val="0"/>
            <c:spPr>
              <a:solidFill>
                <a:srgbClr val="FF7C80"/>
              </a:solidFill>
              <a:ln>
                <a:noFill/>
              </a:ln>
              <a:effectLst/>
            </c:spPr>
            <c:extLst>
              <c:ext xmlns:c16="http://schemas.microsoft.com/office/drawing/2014/chart" uri="{C3380CC4-5D6E-409C-BE32-E72D297353CC}">
                <c16:uniqueId val="{00000003-232A-4324-A8BA-86611C7B5F23}"/>
              </c:ext>
            </c:extLst>
          </c:dPt>
          <c:dPt>
            <c:idx val="2"/>
            <c:invertIfNegative val="0"/>
            <c:bubble3D val="0"/>
            <c:spPr>
              <a:solidFill>
                <a:srgbClr val="FFCC00"/>
              </a:solidFill>
              <a:ln>
                <a:noFill/>
              </a:ln>
              <a:effectLst/>
            </c:spPr>
            <c:extLst>
              <c:ext xmlns:c16="http://schemas.microsoft.com/office/drawing/2014/chart" uri="{C3380CC4-5D6E-409C-BE32-E72D297353CC}">
                <c16:uniqueId val="{00000005-232A-4324-A8BA-86611C7B5F23}"/>
              </c:ext>
            </c:extLst>
          </c:dPt>
          <c:dPt>
            <c:idx val="3"/>
            <c:invertIfNegative val="0"/>
            <c:bubble3D val="0"/>
            <c:spPr>
              <a:solidFill>
                <a:srgbClr val="FFCC00"/>
              </a:solidFill>
              <a:ln>
                <a:noFill/>
              </a:ln>
              <a:effectLst/>
            </c:spPr>
            <c:extLst>
              <c:ext xmlns:c16="http://schemas.microsoft.com/office/drawing/2014/chart" uri="{C3380CC4-5D6E-409C-BE32-E72D297353CC}">
                <c16:uniqueId val="{00000007-232A-4324-A8BA-86611C7B5F23}"/>
              </c:ext>
            </c:extLst>
          </c:dPt>
          <c:dPt>
            <c:idx val="4"/>
            <c:invertIfNegative val="0"/>
            <c:bubble3D val="0"/>
            <c:spPr>
              <a:solidFill>
                <a:srgbClr val="FFCC00"/>
              </a:solidFill>
              <a:ln>
                <a:noFill/>
              </a:ln>
              <a:effectLst/>
            </c:spPr>
            <c:extLst>
              <c:ext xmlns:c16="http://schemas.microsoft.com/office/drawing/2014/chart" uri="{C3380CC4-5D6E-409C-BE32-E72D297353CC}">
                <c16:uniqueId val="{00000009-232A-4324-A8BA-86611C7B5F23}"/>
              </c:ext>
            </c:extLst>
          </c:dPt>
          <c:dPt>
            <c:idx val="5"/>
            <c:invertIfNegative val="0"/>
            <c:bubble3D val="0"/>
            <c:spPr>
              <a:solidFill>
                <a:srgbClr val="FFCC00"/>
              </a:solidFill>
              <a:ln>
                <a:noFill/>
              </a:ln>
              <a:effectLst/>
            </c:spPr>
            <c:extLst>
              <c:ext xmlns:c16="http://schemas.microsoft.com/office/drawing/2014/chart" uri="{C3380CC4-5D6E-409C-BE32-E72D297353CC}">
                <c16:uniqueId val="{0000000B-232A-4324-A8BA-86611C7B5F23}"/>
              </c:ext>
            </c:extLst>
          </c:dPt>
          <c:dPt>
            <c:idx val="6"/>
            <c:invertIfNegative val="0"/>
            <c:bubble3D val="0"/>
            <c:spPr>
              <a:solidFill>
                <a:srgbClr val="FFCC00"/>
              </a:solidFill>
              <a:ln>
                <a:noFill/>
              </a:ln>
              <a:effectLst/>
            </c:spPr>
            <c:extLst>
              <c:ext xmlns:c16="http://schemas.microsoft.com/office/drawing/2014/chart" uri="{C3380CC4-5D6E-409C-BE32-E72D297353CC}">
                <c16:uniqueId val="{0000000D-232A-4324-A8BA-86611C7B5F23}"/>
              </c:ext>
            </c:extLst>
          </c:dPt>
          <c:dPt>
            <c:idx val="7"/>
            <c:invertIfNegative val="0"/>
            <c:bubble3D val="0"/>
            <c:spPr>
              <a:solidFill>
                <a:srgbClr val="FFCC00"/>
              </a:solidFill>
              <a:ln>
                <a:noFill/>
              </a:ln>
              <a:effectLst/>
            </c:spPr>
            <c:extLst>
              <c:ext xmlns:c16="http://schemas.microsoft.com/office/drawing/2014/chart" uri="{C3380CC4-5D6E-409C-BE32-E72D297353CC}">
                <c16:uniqueId val="{0000000F-232A-4324-A8BA-86611C7B5F23}"/>
              </c:ext>
            </c:extLst>
          </c:dPt>
          <c:dPt>
            <c:idx val="8"/>
            <c:invertIfNegative val="0"/>
            <c:bubble3D val="0"/>
            <c:spPr>
              <a:solidFill>
                <a:srgbClr val="FFCC00"/>
              </a:solidFill>
              <a:ln>
                <a:noFill/>
              </a:ln>
              <a:effectLst/>
            </c:spPr>
            <c:extLst>
              <c:ext xmlns:c16="http://schemas.microsoft.com/office/drawing/2014/chart" uri="{C3380CC4-5D6E-409C-BE32-E72D297353CC}">
                <c16:uniqueId val="{00000011-232A-4324-A8BA-86611C7B5F23}"/>
              </c:ext>
            </c:extLst>
          </c:dPt>
          <c:dPt>
            <c:idx val="9"/>
            <c:invertIfNegative val="0"/>
            <c:bubble3D val="0"/>
            <c:spPr>
              <a:solidFill>
                <a:srgbClr val="9EBD5E"/>
              </a:solidFill>
              <a:ln>
                <a:noFill/>
              </a:ln>
              <a:effectLst/>
            </c:spPr>
            <c:extLst>
              <c:ext xmlns:c16="http://schemas.microsoft.com/office/drawing/2014/chart" uri="{C3380CC4-5D6E-409C-BE32-E72D297353CC}">
                <c16:uniqueId val="{00000013-232A-4324-A8BA-86611C7B5F23}"/>
              </c:ext>
            </c:extLst>
          </c:dPt>
          <c:dPt>
            <c:idx val="10"/>
            <c:invertIfNegative val="0"/>
            <c:bubble3D val="0"/>
            <c:spPr>
              <a:solidFill>
                <a:srgbClr val="9EBD5E"/>
              </a:solidFill>
              <a:ln>
                <a:noFill/>
              </a:ln>
              <a:effectLst/>
            </c:spPr>
            <c:extLst>
              <c:ext xmlns:c16="http://schemas.microsoft.com/office/drawing/2014/chart" uri="{C3380CC4-5D6E-409C-BE32-E72D297353CC}">
                <c16:uniqueId val="{00000015-232A-4324-A8BA-86611C7B5F23}"/>
              </c:ext>
            </c:extLst>
          </c:dPt>
          <c:dPt>
            <c:idx val="11"/>
            <c:invertIfNegative val="0"/>
            <c:bubble3D val="0"/>
            <c:spPr>
              <a:solidFill>
                <a:srgbClr val="9EBD5E"/>
              </a:solidFill>
              <a:ln>
                <a:noFill/>
              </a:ln>
              <a:effectLst/>
            </c:spPr>
            <c:extLst>
              <c:ext xmlns:c16="http://schemas.microsoft.com/office/drawing/2014/chart" uri="{C3380CC4-5D6E-409C-BE32-E72D297353CC}">
                <c16:uniqueId val="{00000017-232A-4324-A8BA-86611C7B5F23}"/>
              </c:ext>
            </c:extLst>
          </c:dPt>
          <c:dPt>
            <c:idx val="12"/>
            <c:invertIfNegative val="0"/>
            <c:bubble3D val="0"/>
            <c:spPr>
              <a:solidFill>
                <a:srgbClr val="9EBD5E"/>
              </a:solidFill>
              <a:ln>
                <a:noFill/>
              </a:ln>
              <a:effectLst/>
            </c:spPr>
            <c:extLst>
              <c:ext xmlns:c16="http://schemas.microsoft.com/office/drawing/2014/chart" uri="{C3380CC4-5D6E-409C-BE32-E72D297353CC}">
                <c16:uniqueId val="{00000019-232A-4324-A8BA-86611C7B5F23}"/>
              </c:ext>
            </c:extLst>
          </c:dPt>
          <c:dPt>
            <c:idx val="13"/>
            <c:invertIfNegative val="0"/>
            <c:bubble3D val="0"/>
            <c:spPr>
              <a:solidFill>
                <a:srgbClr val="9EBD5E"/>
              </a:solidFill>
              <a:ln>
                <a:noFill/>
              </a:ln>
              <a:effectLst/>
            </c:spPr>
            <c:extLst>
              <c:ext xmlns:c16="http://schemas.microsoft.com/office/drawing/2014/chart" uri="{C3380CC4-5D6E-409C-BE32-E72D297353CC}">
                <c16:uniqueId val="{0000001B-232A-4324-A8BA-86611C7B5F23}"/>
              </c:ext>
            </c:extLst>
          </c:dPt>
          <c:dPt>
            <c:idx val="14"/>
            <c:invertIfNegative val="0"/>
            <c:bubble3D val="0"/>
            <c:spPr>
              <a:solidFill>
                <a:srgbClr val="9EBD5E"/>
              </a:solidFill>
              <a:ln>
                <a:noFill/>
              </a:ln>
              <a:effectLst/>
            </c:spPr>
            <c:extLst>
              <c:ext xmlns:c16="http://schemas.microsoft.com/office/drawing/2014/chart" uri="{C3380CC4-5D6E-409C-BE32-E72D297353CC}">
                <c16:uniqueId val="{0000001D-232A-4324-A8BA-86611C7B5F23}"/>
              </c:ext>
            </c:extLst>
          </c:dPt>
          <c:dPt>
            <c:idx val="15"/>
            <c:invertIfNegative val="0"/>
            <c:bubble3D val="0"/>
            <c:spPr>
              <a:solidFill>
                <a:srgbClr val="9EBD5E"/>
              </a:solidFill>
              <a:ln>
                <a:noFill/>
              </a:ln>
              <a:effectLst/>
            </c:spPr>
            <c:extLst>
              <c:ext xmlns:c16="http://schemas.microsoft.com/office/drawing/2014/chart" uri="{C3380CC4-5D6E-409C-BE32-E72D297353CC}">
                <c16:uniqueId val="{0000001F-232A-4324-A8BA-86611C7B5F23}"/>
              </c:ext>
            </c:extLst>
          </c:dPt>
          <c:dPt>
            <c:idx val="16"/>
            <c:invertIfNegative val="0"/>
            <c:bubble3D val="0"/>
            <c:spPr>
              <a:solidFill>
                <a:srgbClr val="9EBD5E"/>
              </a:solidFill>
              <a:ln>
                <a:noFill/>
              </a:ln>
              <a:effectLst/>
            </c:spPr>
            <c:extLst>
              <c:ext xmlns:c16="http://schemas.microsoft.com/office/drawing/2014/chart" uri="{C3380CC4-5D6E-409C-BE32-E72D297353CC}">
                <c16:uniqueId val="{00000021-232A-4324-A8BA-86611C7B5F23}"/>
              </c:ext>
            </c:extLst>
          </c:dPt>
          <c:dPt>
            <c:idx val="17"/>
            <c:invertIfNegative val="0"/>
            <c:bubble3D val="0"/>
            <c:spPr>
              <a:solidFill>
                <a:srgbClr val="9EBD5E"/>
              </a:solidFill>
              <a:ln>
                <a:noFill/>
              </a:ln>
              <a:effectLst/>
            </c:spPr>
            <c:extLst>
              <c:ext xmlns:c16="http://schemas.microsoft.com/office/drawing/2014/chart" uri="{C3380CC4-5D6E-409C-BE32-E72D297353CC}">
                <c16:uniqueId val="{00000023-232A-4324-A8BA-86611C7B5F23}"/>
              </c:ext>
            </c:extLst>
          </c:dPt>
          <c:cat>
            <c:strRef>
              <c:f>Prioritization2025!$A$3:$A$20</c:f>
              <c:strCache>
                <c:ptCount val="18"/>
                <c:pt idx="0">
                  <c:v>T1-MCSD</c:v>
                </c:pt>
                <c:pt idx="1">
                  <c:v>T1-SNCH</c:v>
                </c:pt>
                <c:pt idx="2">
                  <c:v>T1-CUCAMONGA</c:v>
                </c:pt>
                <c:pt idx="3">
                  <c:v>T2-CHRIS</c:v>
                </c:pt>
                <c:pt idx="4">
                  <c:v>T1-ANZA</c:v>
                </c:pt>
                <c:pt idx="5">
                  <c:v>T1-BXSP</c:v>
                </c:pt>
                <c:pt idx="6">
                  <c:v>T1-EVLD</c:v>
                </c:pt>
                <c:pt idx="7">
                  <c:v>T1-SSCH</c:v>
                </c:pt>
                <c:pt idx="8">
                  <c:v>T1-CHINOCRK</c:v>
                </c:pt>
                <c:pt idx="9">
                  <c:v>T1-CCCH</c:v>
                </c:pt>
                <c:pt idx="10">
                  <c:v>T2-CLCH</c:v>
                </c:pt>
                <c:pt idx="11">
                  <c:v>T1-BRSC</c:v>
                </c:pt>
                <c:pt idx="12">
                  <c:v>T1-DAY</c:v>
                </c:pt>
                <c:pt idx="13">
                  <c:v>T1-EVLE</c:v>
                </c:pt>
                <c:pt idx="14">
                  <c:v>T2-HWY60</c:v>
                </c:pt>
                <c:pt idx="15">
                  <c:v>T1-SACH</c:v>
                </c:pt>
                <c:pt idx="16">
                  <c:v>T1-LLSC</c:v>
                </c:pt>
                <c:pt idx="17">
                  <c:v>Chino-RP1</c:v>
                </c:pt>
              </c:strCache>
            </c:strRef>
          </c:cat>
          <c:val>
            <c:numRef>
              <c:f>Prioritization2025!$B$3:$B$20</c:f>
              <c:numCache>
                <c:formatCode>0</c:formatCode>
                <c:ptCount val="18"/>
                <c:pt idx="0">
                  <c:v>58.397435897435898</c:v>
                </c:pt>
                <c:pt idx="1">
                  <c:v>56.757951520246607</c:v>
                </c:pt>
                <c:pt idx="2">
                  <c:v>52.5</c:v>
                </c:pt>
                <c:pt idx="3">
                  <c:v>44.664574751296058</c:v>
                </c:pt>
                <c:pt idx="4">
                  <c:v>44.226923076923079</c:v>
                </c:pt>
                <c:pt idx="5">
                  <c:v>39.747267759562845</c:v>
                </c:pt>
                <c:pt idx="6">
                  <c:v>32.558322824716271</c:v>
                </c:pt>
                <c:pt idx="7">
                  <c:v>26.620823875577972</c:v>
                </c:pt>
                <c:pt idx="8">
                  <c:v>26.127023959646909</c:v>
                </c:pt>
                <c:pt idx="9">
                  <c:v>24.895519125683059</c:v>
                </c:pt>
                <c:pt idx="10">
                  <c:v>19.870919153706041</c:v>
                </c:pt>
                <c:pt idx="11">
                  <c:v>17.924873196020737</c:v>
                </c:pt>
                <c:pt idx="12">
                  <c:v>16.082257250945773</c:v>
                </c:pt>
                <c:pt idx="13">
                  <c:v>15.664144598570829</c:v>
                </c:pt>
                <c:pt idx="14">
                  <c:v>13.883434216057168</c:v>
                </c:pt>
                <c:pt idx="15">
                  <c:v>9.4440689365279535</c:v>
                </c:pt>
                <c:pt idx="16">
                  <c:v>7.5020316659660926</c:v>
                </c:pt>
                <c:pt idx="17">
                  <c:v>0.34748493764887212</c:v>
                </c:pt>
              </c:numCache>
            </c:numRef>
          </c:val>
          <c:extLst>
            <c:ext xmlns:c16="http://schemas.microsoft.com/office/drawing/2014/chart" uri="{C3380CC4-5D6E-409C-BE32-E72D297353CC}">
              <c16:uniqueId val="{00000024-232A-4324-A8BA-86611C7B5F23}"/>
            </c:ext>
          </c:extLst>
        </c:ser>
        <c:dLbls>
          <c:showLegendKey val="0"/>
          <c:showVal val="0"/>
          <c:showCatName val="0"/>
          <c:showSerName val="0"/>
          <c:showPercent val="0"/>
          <c:showBubbleSize val="0"/>
        </c:dLbls>
        <c:gapWidth val="125"/>
        <c:axId val="911296656"/>
        <c:axId val="911297968"/>
      </c:barChart>
      <c:catAx>
        <c:axId val="911296656"/>
        <c:scaling>
          <c:orientation val="maxMin"/>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1297968"/>
        <c:crosses val="autoZero"/>
        <c:auto val="1"/>
        <c:lblAlgn val="ctr"/>
        <c:lblOffset val="100"/>
        <c:noMultiLvlLbl val="0"/>
      </c:catAx>
      <c:valAx>
        <c:axId val="91129796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1296656"/>
        <c:crosses val="autoZero"/>
        <c:crossBetween val="between"/>
      </c:valAx>
      <c:spPr>
        <a:noFill/>
        <a:ln>
          <a:solidFill>
            <a:schemeClr val="tx1"/>
          </a:solid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5AA0DAD67F3EB4D9530849632315A67" ma:contentTypeVersion="10" ma:contentTypeDescription="Create a new document." ma:contentTypeScope="" ma:versionID="c72786e2170fbe65ae10c9ba8fcd25c7">
  <xsd:schema xmlns:xsd="http://www.w3.org/2001/XMLSchema" xmlns:xs="http://www.w3.org/2001/XMLSchema" xmlns:p="http://schemas.microsoft.com/office/2006/metadata/properties" xmlns:ns2="ed3be316-943f-4ae3-bd59-65a76dd627d9" xmlns:ns3="7ddd4620-98af-4440-abb0-c20204486837" targetNamespace="http://schemas.microsoft.com/office/2006/metadata/properties" ma:root="true" ma:fieldsID="60e90fade5d91c47e1accf777b81c61d" ns2:_="" ns3:_="">
    <xsd:import namespace="ed3be316-943f-4ae3-bd59-65a76dd627d9"/>
    <xsd:import namespace="7ddd4620-98af-4440-abb0-c2020448683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3be316-943f-4ae3-bd59-65a76dd627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a282d6c-52ee-4069-b23a-3ae5d54b807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dd4620-98af-4440-abb0-c2020448683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646abce-3769-4c5f-92ab-5b8214fe86e8}" ma:internalName="TaxCatchAll" ma:showField="CatchAllData" ma:web="7ddd4620-98af-4440-abb0-c202044868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d3be316-943f-4ae3-bd59-65a76dd627d9">
      <Terms xmlns="http://schemas.microsoft.com/office/infopath/2007/PartnerControls"/>
    </lcf76f155ced4ddcb4097134ff3c332f>
    <TaxCatchAll xmlns="7ddd4620-98af-4440-abb0-c20204486837"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2756CA-5DEB-4B76-BABD-8E1DE90FB5C2}">
  <ds:schemaRefs>
    <ds:schemaRef ds:uri="http://schemas.microsoft.com/sharepoint/v3/contenttype/forms"/>
  </ds:schemaRefs>
</ds:datastoreItem>
</file>

<file path=customXml/itemProps2.xml><?xml version="1.0" encoding="utf-8"?>
<ds:datastoreItem xmlns:ds="http://schemas.openxmlformats.org/officeDocument/2006/customXml" ds:itemID="{1D1867E4-539A-490F-AE9C-41C6B5938C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3be316-943f-4ae3-bd59-65a76dd627d9"/>
    <ds:schemaRef ds:uri="7ddd4620-98af-4440-abb0-c202044868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528DE8-EA2C-42C7-855A-0D159145CF12}">
  <ds:schemaRefs>
    <ds:schemaRef ds:uri="http://schemas.microsoft.com/office/2006/metadata/properties"/>
    <ds:schemaRef ds:uri="http://schemas.microsoft.com/office/infopath/2007/PartnerControls"/>
    <ds:schemaRef ds:uri="ed3be316-943f-4ae3-bd59-65a76dd627d9"/>
    <ds:schemaRef ds:uri="7ddd4620-98af-4440-abb0-c20204486837"/>
  </ds:schemaRefs>
</ds:datastoreItem>
</file>

<file path=customXml/itemProps4.xml><?xml version="1.0" encoding="utf-8"?>
<ds:datastoreItem xmlns:ds="http://schemas.openxmlformats.org/officeDocument/2006/customXml" ds:itemID="{4D20E7DA-7F03-4B2E-8D5C-B7479796CA1D}">
  <ds:schemaRefs>
    <ds:schemaRef ds:uri="http://schemas.openxmlformats.org/officeDocument/2006/bibliography"/>
  </ds:schemaRefs>
</ds:datastoreItem>
</file>

<file path=docMetadata/LabelInfo.xml><?xml version="1.0" encoding="utf-8"?>
<clbl:labelList xmlns:clbl="http://schemas.microsoft.com/office/2020/mipLabelMetadata">
  <clbl:label id="{fb1cae5a-c4b9-4108-99c3-f60570916df9}" enabled="0" method="" siteId="{fb1cae5a-c4b9-4108-99c3-f60570916df9}" removed="1"/>
</clbl:labelList>
</file>

<file path=docProps/app.xml><?xml version="1.0" encoding="utf-8"?>
<Properties xmlns="http://schemas.openxmlformats.org/officeDocument/2006/extended-properties" xmlns:vt="http://schemas.openxmlformats.org/officeDocument/2006/docPropsVTypes">
  <Template>Normal</Template>
  <TotalTime>28</TotalTime>
  <Pages>92</Pages>
  <Words>25672</Words>
  <Characters>151158</Characters>
  <Application>Microsoft Office Word</Application>
  <DocSecurity>0</DocSecurity>
  <Lines>3686</Lines>
  <Paragraphs>1564</Paragraphs>
  <ScaleCrop>false</ScaleCrop>
  <HeadingPairs>
    <vt:vector size="2" baseType="variant">
      <vt:variant>
        <vt:lpstr>Title</vt:lpstr>
      </vt:variant>
      <vt:variant>
        <vt:i4>1</vt:i4>
      </vt:variant>
    </vt:vector>
  </HeadingPairs>
  <TitlesOfParts>
    <vt:vector size="1" baseType="lpstr">
      <vt:lpstr>GEI Report Template Feb2009 and MSWord 2007</vt:lpstr>
    </vt:vector>
  </TitlesOfParts>
  <Company>GEI Consultants, Inc.</Company>
  <LinksUpToDate>false</LinksUpToDate>
  <CharactersWithSpaces>175266</CharactersWithSpaces>
  <SharedDoc>false</SharedDoc>
  <HLinks>
    <vt:vector size="594" baseType="variant">
      <vt:variant>
        <vt:i4>7995418</vt:i4>
      </vt:variant>
      <vt:variant>
        <vt:i4>429</vt:i4>
      </vt:variant>
      <vt:variant>
        <vt:i4>0</vt:i4>
      </vt:variant>
      <vt:variant>
        <vt:i4>5</vt:i4>
      </vt:variant>
      <vt:variant>
        <vt:lpwstr>https://www.sawpa.org/wp-content/uploads/2018/04/2016_Triennial-Report-June-2017.pdf</vt:lpwstr>
      </vt:variant>
      <vt:variant>
        <vt:lpwstr/>
      </vt:variant>
      <vt:variant>
        <vt:i4>6029374</vt:i4>
      </vt:variant>
      <vt:variant>
        <vt:i4>426</vt:i4>
      </vt:variant>
      <vt:variant>
        <vt:i4>0</vt:i4>
      </vt:variant>
      <vt:variant>
        <vt:i4>5</vt:i4>
      </vt:variant>
      <vt:variant>
        <vt:lpwstr>https://www.sawpa.org/wp-content/uploads/2018/04/2013-Triennial-Report_Tier-1-Source-Evaluation-Final.pdf</vt:lpwstr>
      </vt:variant>
      <vt:variant>
        <vt:lpwstr/>
      </vt:variant>
      <vt:variant>
        <vt:i4>1310756</vt:i4>
      </vt:variant>
      <vt:variant>
        <vt:i4>423</vt:i4>
      </vt:variant>
      <vt:variant>
        <vt:i4>0</vt:i4>
      </vt:variant>
      <vt:variant>
        <vt:i4>5</vt:i4>
      </vt:variant>
      <vt:variant>
        <vt:lpwstr>https://www.sawpa.org/wp-content/uploads/2018/04/FinalDeliverable_2018.pdf</vt:lpwstr>
      </vt:variant>
      <vt:variant>
        <vt:lpwstr/>
      </vt:variant>
      <vt:variant>
        <vt:i4>3014736</vt:i4>
      </vt:variant>
      <vt:variant>
        <vt:i4>420</vt:i4>
      </vt:variant>
      <vt:variant>
        <vt:i4>0</vt:i4>
      </vt:variant>
      <vt:variant>
        <vt:i4>5</vt:i4>
      </vt:variant>
      <vt:variant>
        <vt:lpwstr>https://www.sawpa.org/wp-content/uploads/2018/04/2015_Residential-Property-Scale-Bacteria-Study-Interim-Data-Analysis.pdf</vt:lpwstr>
      </vt:variant>
      <vt:variant>
        <vt:lpwstr/>
      </vt:variant>
      <vt:variant>
        <vt:i4>4194400</vt:i4>
      </vt:variant>
      <vt:variant>
        <vt:i4>417</vt:i4>
      </vt:variant>
      <vt:variant>
        <vt:i4>0</vt:i4>
      </vt:variant>
      <vt:variant>
        <vt:i4>5</vt:i4>
      </vt:variant>
      <vt:variant>
        <vt:lpwstr>https://www.sawpa.org/wp-content/uploads/2018/04/2016_Uncontrollable-Bacteria-Sources-Final-Report.pdf</vt:lpwstr>
      </vt:variant>
      <vt:variant>
        <vt:lpwstr/>
      </vt:variant>
      <vt:variant>
        <vt:i4>720957</vt:i4>
      </vt:variant>
      <vt:variant>
        <vt:i4>414</vt:i4>
      </vt:variant>
      <vt:variant>
        <vt:i4>0</vt:i4>
      </vt:variant>
      <vt:variant>
        <vt:i4>5</vt:i4>
      </vt:variant>
      <vt:variant>
        <vt:lpwstr>https://www.sawpa.org/wp-content/uploads/2018/04/2014_Tier-2-_2013-Evaluation_Final.pdf</vt:lpwstr>
      </vt:variant>
      <vt:variant>
        <vt:lpwstr/>
      </vt:variant>
      <vt:variant>
        <vt:i4>983149</vt:i4>
      </vt:variant>
      <vt:variant>
        <vt:i4>411</vt:i4>
      </vt:variant>
      <vt:variant>
        <vt:i4>0</vt:i4>
      </vt:variant>
      <vt:variant>
        <vt:i4>5</vt:i4>
      </vt:variant>
      <vt:variant>
        <vt:lpwstr>https://www.sawpa.org/wp-content/uploads/2018/04/2011_Source-Evaluation-Project-Activities.pdf</vt:lpwstr>
      </vt:variant>
      <vt:variant>
        <vt:lpwstr/>
      </vt:variant>
      <vt:variant>
        <vt:i4>1966118</vt:i4>
      </vt:variant>
      <vt:variant>
        <vt:i4>408</vt:i4>
      </vt:variant>
      <vt:variant>
        <vt:i4>0</vt:i4>
      </vt:variant>
      <vt:variant>
        <vt:i4>5</vt:i4>
      </vt:variant>
      <vt:variant>
        <vt:lpwstr>https://www.sawpa.org/wp-content/uploads/2018/04/2010_Cypress_CarbonCyn_TM.pdf</vt:lpwstr>
      </vt:variant>
      <vt:variant>
        <vt:lpwstr/>
      </vt:variant>
      <vt:variant>
        <vt:i4>6160425</vt:i4>
      </vt:variant>
      <vt:variant>
        <vt:i4>405</vt:i4>
      </vt:variant>
      <vt:variant>
        <vt:i4>0</vt:i4>
      </vt:variant>
      <vt:variant>
        <vt:i4>5</vt:i4>
      </vt:variant>
      <vt:variant>
        <vt:lpwstr>https://www.sawpa.org/wp-content/uploads/2018/04/2010_Chris-Basin-Final-TM.pdf</vt:lpwstr>
      </vt:variant>
      <vt:variant>
        <vt:lpwstr/>
      </vt:variant>
      <vt:variant>
        <vt:i4>1507416</vt:i4>
      </vt:variant>
      <vt:variant>
        <vt:i4>402</vt:i4>
      </vt:variant>
      <vt:variant>
        <vt:i4>0</vt:i4>
      </vt:variant>
      <vt:variant>
        <vt:i4>5</vt:i4>
      </vt:variant>
      <vt:variant>
        <vt:lpwstr>https://www.sawpa.org/wp-content/uploads/2018/04/2009_Final-Data-Analysis-Report_033109.pdf</vt:lpwstr>
      </vt:variant>
      <vt:variant>
        <vt:lpwstr/>
      </vt:variant>
      <vt:variant>
        <vt:i4>786451</vt:i4>
      </vt:variant>
      <vt:variant>
        <vt:i4>399</vt:i4>
      </vt:variant>
      <vt:variant>
        <vt:i4>0</vt:i4>
      </vt:variant>
      <vt:variant>
        <vt:i4>5</vt:i4>
      </vt:variant>
      <vt:variant>
        <vt:lpwstr>https://www.casqa.org/events/bacteria-summit</vt:lpwstr>
      </vt:variant>
      <vt:variant>
        <vt:lpwstr/>
      </vt:variant>
      <vt:variant>
        <vt:i4>262231</vt:i4>
      </vt:variant>
      <vt:variant>
        <vt:i4>396</vt:i4>
      </vt:variant>
      <vt:variant>
        <vt:i4>0</vt:i4>
      </vt:variant>
      <vt:variant>
        <vt:i4>5</vt:i4>
      </vt:variant>
      <vt:variant>
        <vt:lpwstr>https://sawpa.org/task-forces/regional-water-quality-monitoring-task-force/</vt:lpwstr>
      </vt:variant>
      <vt:variant>
        <vt:lpwstr>geographic-setting</vt:lpwstr>
      </vt:variant>
      <vt:variant>
        <vt:i4>7995455</vt:i4>
      </vt:variant>
      <vt:variant>
        <vt:i4>393</vt:i4>
      </vt:variant>
      <vt:variant>
        <vt:i4>0</vt:i4>
      </vt:variant>
      <vt:variant>
        <vt:i4>5</vt:i4>
      </vt:variant>
      <vt:variant>
        <vt:lpwstr>https://sawpa.org/owow/dci-program/services/owow-dci-assessment-of-homelessness-and-water-quality/</vt:lpwstr>
      </vt:variant>
      <vt:variant>
        <vt:lpwstr/>
      </vt:variant>
      <vt:variant>
        <vt:i4>3539059</vt:i4>
      </vt:variant>
      <vt:variant>
        <vt:i4>390</vt:i4>
      </vt:variant>
      <vt:variant>
        <vt:i4>0</vt:i4>
      </vt:variant>
      <vt:variant>
        <vt:i4>5</vt:i4>
      </vt:variant>
      <vt:variant>
        <vt:lpwstr>https://sawpa.cdmsmith.com/</vt:lpwstr>
      </vt:variant>
      <vt:variant>
        <vt:lpwstr/>
      </vt:variant>
      <vt:variant>
        <vt:i4>262231</vt:i4>
      </vt:variant>
      <vt:variant>
        <vt:i4>387</vt:i4>
      </vt:variant>
      <vt:variant>
        <vt:i4>0</vt:i4>
      </vt:variant>
      <vt:variant>
        <vt:i4>5</vt:i4>
      </vt:variant>
      <vt:variant>
        <vt:lpwstr>https://sawpa.org/task-forces/regional-water-quality-monitoring-task-force/</vt:lpwstr>
      </vt:variant>
      <vt:variant>
        <vt:lpwstr>geographic-setting</vt:lpwstr>
      </vt:variant>
      <vt:variant>
        <vt:i4>3145759</vt:i4>
      </vt:variant>
      <vt:variant>
        <vt:i4>384</vt:i4>
      </vt:variant>
      <vt:variant>
        <vt:i4>0</vt:i4>
      </vt:variant>
      <vt:variant>
        <vt:i4>5</vt:i4>
      </vt:variant>
      <vt:variant>
        <vt:lpwstr>https://sawpa.org/wp-content/uploads/2020/05/Final-Synoptic-Study-Report_021020_BabcockLabQAQC-Report-Appended_051920.pdf</vt:lpwstr>
      </vt:variant>
      <vt:variant>
        <vt:lpwstr/>
      </vt:variant>
      <vt:variant>
        <vt:i4>7995418</vt:i4>
      </vt:variant>
      <vt:variant>
        <vt:i4>381</vt:i4>
      </vt:variant>
      <vt:variant>
        <vt:i4>0</vt:i4>
      </vt:variant>
      <vt:variant>
        <vt:i4>5</vt:i4>
      </vt:variant>
      <vt:variant>
        <vt:lpwstr>https://www.sawpa.org/wp-content/uploads/2018/04/2016_Triennial-Report-June-2017.pdf</vt:lpwstr>
      </vt:variant>
      <vt:variant>
        <vt:lpwstr/>
      </vt:variant>
      <vt:variant>
        <vt:i4>6029374</vt:i4>
      </vt:variant>
      <vt:variant>
        <vt:i4>378</vt:i4>
      </vt:variant>
      <vt:variant>
        <vt:i4>0</vt:i4>
      </vt:variant>
      <vt:variant>
        <vt:i4>5</vt:i4>
      </vt:variant>
      <vt:variant>
        <vt:lpwstr>https://www.sawpa.org/wp-content/uploads/2018/04/2013-Triennial-Report_Tier-1-Source-Evaluation-Final.pdf</vt:lpwstr>
      </vt:variant>
      <vt:variant>
        <vt:lpwstr/>
      </vt:variant>
      <vt:variant>
        <vt:i4>5505058</vt:i4>
      </vt:variant>
      <vt:variant>
        <vt:i4>375</vt:i4>
      </vt:variant>
      <vt:variant>
        <vt:i4>0</vt:i4>
      </vt:variant>
      <vt:variant>
        <vt:i4>5</vt:i4>
      </vt:variant>
      <vt:variant>
        <vt:lpwstr>https://www.sawpa.org/wp-content/uploads/2018/04/2010_Triennial-Report.pdf</vt:lpwstr>
      </vt:variant>
      <vt:variant>
        <vt:lpwstr/>
      </vt:variant>
      <vt:variant>
        <vt:i4>1572890</vt:i4>
      </vt:variant>
      <vt:variant>
        <vt:i4>372</vt:i4>
      </vt:variant>
      <vt:variant>
        <vt:i4>0</vt:i4>
      </vt:variant>
      <vt:variant>
        <vt:i4>5</vt:i4>
      </vt:variant>
      <vt:variant>
        <vt:lpwstr>https://sawpa.org/task-forces/middle-santa-ana-river-watershed-tmdl-task-force/</vt:lpwstr>
      </vt:variant>
      <vt:variant>
        <vt:lpwstr>resourcesb8a6-4b67</vt:lpwstr>
      </vt:variant>
      <vt:variant>
        <vt:i4>8257650</vt:i4>
      </vt:variant>
      <vt:variant>
        <vt:i4>369</vt:i4>
      </vt:variant>
      <vt:variant>
        <vt:i4>0</vt:i4>
      </vt:variant>
      <vt:variant>
        <vt:i4>5</vt:i4>
      </vt:variant>
      <vt:variant>
        <vt:lpwstr>https://sawpa.org/task-forces/middle-santa-ana-river-watershed-tmdl-task-force/</vt:lpwstr>
      </vt:variant>
      <vt:variant>
        <vt:lpwstr/>
      </vt:variant>
      <vt:variant>
        <vt:i4>1835057</vt:i4>
      </vt:variant>
      <vt:variant>
        <vt:i4>366</vt:i4>
      </vt:variant>
      <vt:variant>
        <vt:i4>0</vt:i4>
      </vt:variant>
      <vt:variant>
        <vt:i4>5</vt:i4>
      </vt:variant>
      <vt:variant>
        <vt:lpwstr/>
      </vt:variant>
      <vt:variant>
        <vt:lpwstr>_Toc110718152</vt:lpwstr>
      </vt:variant>
      <vt:variant>
        <vt:i4>1835057</vt:i4>
      </vt:variant>
      <vt:variant>
        <vt:i4>363</vt:i4>
      </vt:variant>
      <vt:variant>
        <vt:i4>0</vt:i4>
      </vt:variant>
      <vt:variant>
        <vt:i4>5</vt:i4>
      </vt:variant>
      <vt:variant>
        <vt:lpwstr/>
      </vt:variant>
      <vt:variant>
        <vt:lpwstr>_Toc110718152</vt:lpwstr>
      </vt:variant>
      <vt:variant>
        <vt:i4>1835057</vt:i4>
      </vt:variant>
      <vt:variant>
        <vt:i4>360</vt:i4>
      </vt:variant>
      <vt:variant>
        <vt:i4>0</vt:i4>
      </vt:variant>
      <vt:variant>
        <vt:i4>5</vt:i4>
      </vt:variant>
      <vt:variant>
        <vt:lpwstr/>
      </vt:variant>
      <vt:variant>
        <vt:lpwstr>_Toc110718152</vt:lpwstr>
      </vt:variant>
      <vt:variant>
        <vt:i4>1835057</vt:i4>
      </vt:variant>
      <vt:variant>
        <vt:i4>357</vt:i4>
      </vt:variant>
      <vt:variant>
        <vt:i4>0</vt:i4>
      </vt:variant>
      <vt:variant>
        <vt:i4>5</vt:i4>
      </vt:variant>
      <vt:variant>
        <vt:lpwstr/>
      </vt:variant>
      <vt:variant>
        <vt:lpwstr>_Toc110718152</vt:lpwstr>
      </vt:variant>
      <vt:variant>
        <vt:i4>1835057</vt:i4>
      </vt:variant>
      <vt:variant>
        <vt:i4>354</vt:i4>
      </vt:variant>
      <vt:variant>
        <vt:i4>0</vt:i4>
      </vt:variant>
      <vt:variant>
        <vt:i4>5</vt:i4>
      </vt:variant>
      <vt:variant>
        <vt:lpwstr/>
      </vt:variant>
      <vt:variant>
        <vt:lpwstr>_Toc110718152</vt:lpwstr>
      </vt:variant>
      <vt:variant>
        <vt:i4>1835057</vt:i4>
      </vt:variant>
      <vt:variant>
        <vt:i4>351</vt:i4>
      </vt:variant>
      <vt:variant>
        <vt:i4>0</vt:i4>
      </vt:variant>
      <vt:variant>
        <vt:i4>5</vt:i4>
      </vt:variant>
      <vt:variant>
        <vt:lpwstr/>
      </vt:variant>
      <vt:variant>
        <vt:lpwstr>_Toc110718152</vt:lpwstr>
      </vt:variant>
      <vt:variant>
        <vt:i4>1835057</vt:i4>
      </vt:variant>
      <vt:variant>
        <vt:i4>348</vt:i4>
      </vt:variant>
      <vt:variant>
        <vt:i4>0</vt:i4>
      </vt:variant>
      <vt:variant>
        <vt:i4>5</vt:i4>
      </vt:variant>
      <vt:variant>
        <vt:lpwstr/>
      </vt:variant>
      <vt:variant>
        <vt:lpwstr>_Toc110718152</vt:lpwstr>
      </vt:variant>
      <vt:variant>
        <vt:i4>1835057</vt:i4>
      </vt:variant>
      <vt:variant>
        <vt:i4>345</vt:i4>
      </vt:variant>
      <vt:variant>
        <vt:i4>0</vt:i4>
      </vt:variant>
      <vt:variant>
        <vt:i4>5</vt:i4>
      </vt:variant>
      <vt:variant>
        <vt:lpwstr/>
      </vt:variant>
      <vt:variant>
        <vt:lpwstr>_Toc110718152</vt:lpwstr>
      </vt:variant>
      <vt:variant>
        <vt:i4>1835057</vt:i4>
      </vt:variant>
      <vt:variant>
        <vt:i4>342</vt:i4>
      </vt:variant>
      <vt:variant>
        <vt:i4>0</vt:i4>
      </vt:variant>
      <vt:variant>
        <vt:i4>5</vt:i4>
      </vt:variant>
      <vt:variant>
        <vt:lpwstr/>
      </vt:variant>
      <vt:variant>
        <vt:lpwstr>_Toc110718152</vt:lpwstr>
      </vt:variant>
      <vt:variant>
        <vt:i4>1835057</vt:i4>
      </vt:variant>
      <vt:variant>
        <vt:i4>339</vt:i4>
      </vt:variant>
      <vt:variant>
        <vt:i4>0</vt:i4>
      </vt:variant>
      <vt:variant>
        <vt:i4>5</vt:i4>
      </vt:variant>
      <vt:variant>
        <vt:lpwstr/>
      </vt:variant>
      <vt:variant>
        <vt:lpwstr>_Toc110718152</vt:lpwstr>
      </vt:variant>
      <vt:variant>
        <vt:i4>1835057</vt:i4>
      </vt:variant>
      <vt:variant>
        <vt:i4>336</vt:i4>
      </vt:variant>
      <vt:variant>
        <vt:i4>0</vt:i4>
      </vt:variant>
      <vt:variant>
        <vt:i4>5</vt:i4>
      </vt:variant>
      <vt:variant>
        <vt:lpwstr/>
      </vt:variant>
      <vt:variant>
        <vt:lpwstr>_Toc110718152</vt:lpwstr>
      </vt:variant>
      <vt:variant>
        <vt:i4>1835057</vt:i4>
      </vt:variant>
      <vt:variant>
        <vt:i4>333</vt:i4>
      </vt:variant>
      <vt:variant>
        <vt:i4>0</vt:i4>
      </vt:variant>
      <vt:variant>
        <vt:i4>5</vt:i4>
      </vt:variant>
      <vt:variant>
        <vt:lpwstr/>
      </vt:variant>
      <vt:variant>
        <vt:lpwstr>_Toc110718152</vt:lpwstr>
      </vt:variant>
      <vt:variant>
        <vt:i4>1835057</vt:i4>
      </vt:variant>
      <vt:variant>
        <vt:i4>330</vt:i4>
      </vt:variant>
      <vt:variant>
        <vt:i4>0</vt:i4>
      </vt:variant>
      <vt:variant>
        <vt:i4>5</vt:i4>
      </vt:variant>
      <vt:variant>
        <vt:lpwstr/>
      </vt:variant>
      <vt:variant>
        <vt:lpwstr>_Toc110718152</vt:lpwstr>
      </vt:variant>
      <vt:variant>
        <vt:i4>1835057</vt:i4>
      </vt:variant>
      <vt:variant>
        <vt:i4>327</vt:i4>
      </vt:variant>
      <vt:variant>
        <vt:i4>0</vt:i4>
      </vt:variant>
      <vt:variant>
        <vt:i4>5</vt:i4>
      </vt:variant>
      <vt:variant>
        <vt:lpwstr/>
      </vt:variant>
      <vt:variant>
        <vt:lpwstr>_Toc110718152</vt:lpwstr>
      </vt:variant>
      <vt:variant>
        <vt:i4>1835057</vt:i4>
      </vt:variant>
      <vt:variant>
        <vt:i4>324</vt:i4>
      </vt:variant>
      <vt:variant>
        <vt:i4>0</vt:i4>
      </vt:variant>
      <vt:variant>
        <vt:i4>5</vt:i4>
      </vt:variant>
      <vt:variant>
        <vt:lpwstr/>
      </vt:variant>
      <vt:variant>
        <vt:lpwstr>_Toc110718152</vt:lpwstr>
      </vt:variant>
      <vt:variant>
        <vt:i4>1835057</vt:i4>
      </vt:variant>
      <vt:variant>
        <vt:i4>321</vt:i4>
      </vt:variant>
      <vt:variant>
        <vt:i4>0</vt:i4>
      </vt:variant>
      <vt:variant>
        <vt:i4>5</vt:i4>
      </vt:variant>
      <vt:variant>
        <vt:lpwstr/>
      </vt:variant>
      <vt:variant>
        <vt:lpwstr>_Toc110718152</vt:lpwstr>
      </vt:variant>
      <vt:variant>
        <vt:i4>1835057</vt:i4>
      </vt:variant>
      <vt:variant>
        <vt:i4>318</vt:i4>
      </vt:variant>
      <vt:variant>
        <vt:i4>0</vt:i4>
      </vt:variant>
      <vt:variant>
        <vt:i4>5</vt:i4>
      </vt:variant>
      <vt:variant>
        <vt:lpwstr/>
      </vt:variant>
      <vt:variant>
        <vt:lpwstr>_Toc110718152</vt:lpwstr>
      </vt:variant>
      <vt:variant>
        <vt:i4>1835057</vt:i4>
      </vt:variant>
      <vt:variant>
        <vt:i4>315</vt:i4>
      </vt:variant>
      <vt:variant>
        <vt:i4>0</vt:i4>
      </vt:variant>
      <vt:variant>
        <vt:i4>5</vt:i4>
      </vt:variant>
      <vt:variant>
        <vt:lpwstr/>
      </vt:variant>
      <vt:variant>
        <vt:lpwstr>_Toc110718152</vt:lpwstr>
      </vt:variant>
      <vt:variant>
        <vt:i4>1835057</vt:i4>
      </vt:variant>
      <vt:variant>
        <vt:i4>312</vt:i4>
      </vt:variant>
      <vt:variant>
        <vt:i4>0</vt:i4>
      </vt:variant>
      <vt:variant>
        <vt:i4>5</vt:i4>
      </vt:variant>
      <vt:variant>
        <vt:lpwstr/>
      </vt:variant>
      <vt:variant>
        <vt:lpwstr>_Toc110718152</vt:lpwstr>
      </vt:variant>
      <vt:variant>
        <vt:i4>1835057</vt:i4>
      </vt:variant>
      <vt:variant>
        <vt:i4>309</vt:i4>
      </vt:variant>
      <vt:variant>
        <vt:i4>0</vt:i4>
      </vt:variant>
      <vt:variant>
        <vt:i4>5</vt:i4>
      </vt:variant>
      <vt:variant>
        <vt:lpwstr/>
      </vt:variant>
      <vt:variant>
        <vt:lpwstr>_Toc110718152</vt:lpwstr>
      </vt:variant>
      <vt:variant>
        <vt:i4>1835057</vt:i4>
      </vt:variant>
      <vt:variant>
        <vt:i4>306</vt:i4>
      </vt:variant>
      <vt:variant>
        <vt:i4>0</vt:i4>
      </vt:variant>
      <vt:variant>
        <vt:i4>5</vt:i4>
      </vt:variant>
      <vt:variant>
        <vt:lpwstr/>
      </vt:variant>
      <vt:variant>
        <vt:lpwstr>_Toc110718152</vt:lpwstr>
      </vt:variant>
      <vt:variant>
        <vt:i4>1835057</vt:i4>
      </vt:variant>
      <vt:variant>
        <vt:i4>303</vt:i4>
      </vt:variant>
      <vt:variant>
        <vt:i4>0</vt:i4>
      </vt:variant>
      <vt:variant>
        <vt:i4>5</vt:i4>
      </vt:variant>
      <vt:variant>
        <vt:lpwstr/>
      </vt:variant>
      <vt:variant>
        <vt:lpwstr>_Toc110718152</vt:lpwstr>
      </vt:variant>
      <vt:variant>
        <vt:i4>1835057</vt:i4>
      </vt:variant>
      <vt:variant>
        <vt:i4>300</vt:i4>
      </vt:variant>
      <vt:variant>
        <vt:i4>0</vt:i4>
      </vt:variant>
      <vt:variant>
        <vt:i4>5</vt:i4>
      </vt:variant>
      <vt:variant>
        <vt:lpwstr/>
      </vt:variant>
      <vt:variant>
        <vt:lpwstr>_Toc110718152</vt:lpwstr>
      </vt:variant>
      <vt:variant>
        <vt:i4>1835057</vt:i4>
      </vt:variant>
      <vt:variant>
        <vt:i4>297</vt:i4>
      </vt:variant>
      <vt:variant>
        <vt:i4>0</vt:i4>
      </vt:variant>
      <vt:variant>
        <vt:i4>5</vt:i4>
      </vt:variant>
      <vt:variant>
        <vt:lpwstr/>
      </vt:variant>
      <vt:variant>
        <vt:lpwstr>_Toc110718152</vt:lpwstr>
      </vt:variant>
      <vt:variant>
        <vt:i4>1835057</vt:i4>
      </vt:variant>
      <vt:variant>
        <vt:i4>294</vt:i4>
      </vt:variant>
      <vt:variant>
        <vt:i4>0</vt:i4>
      </vt:variant>
      <vt:variant>
        <vt:i4>5</vt:i4>
      </vt:variant>
      <vt:variant>
        <vt:lpwstr/>
      </vt:variant>
      <vt:variant>
        <vt:lpwstr>_Toc110718152</vt:lpwstr>
      </vt:variant>
      <vt:variant>
        <vt:i4>1835057</vt:i4>
      </vt:variant>
      <vt:variant>
        <vt:i4>291</vt:i4>
      </vt:variant>
      <vt:variant>
        <vt:i4>0</vt:i4>
      </vt:variant>
      <vt:variant>
        <vt:i4>5</vt:i4>
      </vt:variant>
      <vt:variant>
        <vt:lpwstr/>
      </vt:variant>
      <vt:variant>
        <vt:lpwstr>_Toc110718152</vt:lpwstr>
      </vt:variant>
      <vt:variant>
        <vt:i4>1114165</vt:i4>
      </vt:variant>
      <vt:variant>
        <vt:i4>284</vt:i4>
      </vt:variant>
      <vt:variant>
        <vt:i4>0</vt:i4>
      </vt:variant>
      <vt:variant>
        <vt:i4>5</vt:i4>
      </vt:variant>
      <vt:variant>
        <vt:lpwstr/>
      </vt:variant>
      <vt:variant>
        <vt:lpwstr>_Toc121735664</vt:lpwstr>
      </vt:variant>
      <vt:variant>
        <vt:i4>1114165</vt:i4>
      </vt:variant>
      <vt:variant>
        <vt:i4>278</vt:i4>
      </vt:variant>
      <vt:variant>
        <vt:i4>0</vt:i4>
      </vt:variant>
      <vt:variant>
        <vt:i4>5</vt:i4>
      </vt:variant>
      <vt:variant>
        <vt:lpwstr/>
      </vt:variant>
      <vt:variant>
        <vt:lpwstr>_Toc121735663</vt:lpwstr>
      </vt:variant>
      <vt:variant>
        <vt:i4>1114165</vt:i4>
      </vt:variant>
      <vt:variant>
        <vt:i4>272</vt:i4>
      </vt:variant>
      <vt:variant>
        <vt:i4>0</vt:i4>
      </vt:variant>
      <vt:variant>
        <vt:i4>5</vt:i4>
      </vt:variant>
      <vt:variant>
        <vt:lpwstr/>
      </vt:variant>
      <vt:variant>
        <vt:lpwstr>_Toc121735662</vt:lpwstr>
      </vt:variant>
      <vt:variant>
        <vt:i4>1114165</vt:i4>
      </vt:variant>
      <vt:variant>
        <vt:i4>266</vt:i4>
      </vt:variant>
      <vt:variant>
        <vt:i4>0</vt:i4>
      </vt:variant>
      <vt:variant>
        <vt:i4>5</vt:i4>
      </vt:variant>
      <vt:variant>
        <vt:lpwstr/>
      </vt:variant>
      <vt:variant>
        <vt:lpwstr>_Toc121735661</vt:lpwstr>
      </vt:variant>
      <vt:variant>
        <vt:i4>1114165</vt:i4>
      </vt:variant>
      <vt:variant>
        <vt:i4>260</vt:i4>
      </vt:variant>
      <vt:variant>
        <vt:i4>0</vt:i4>
      </vt:variant>
      <vt:variant>
        <vt:i4>5</vt:i4>
      </vt:variant>
      <vt:variant>
        <vt:lpwstr/>
      </vt:variant>
      <vt:variant>
        <vt:lpwstr>_Toc121735660</vt:lpwstr>
      </vt:variant>
      <vt:variant>
        <vt:i4>1179701</vt:i4>
      </vt:variant>
      <vt:variant>
        <vt:i4>254</vt:i4>
      </vt:variant>
      <vt:variant>
        <vt:i4>0</vt:i4>
      </vt:variant>
      <vt:variant>
        <vt:i4>5</vt:i4>
      </vt:variant>
      <vt:variant>
        <vt:lpwstr/>
      </vt:variant>
      <vt:variant>
        <vt:lpwstr>_Toc121735659</vt:lpwstr>
      </vt:variant>
      <vt:variant>
        <vt:i4>1179701</vt:i4>
      </vt:variant>
      <vt:variant>
        <vt:i4>248</vt:i4>
      </vt:variant>
      <vt:variant>
        <vt:i4>0</vt:i4>
      </vt:variant>
      <vt:variant>
        <vt:i4>5</vt:i4>
      </vt:variant>
      <vt:variant>
        <vt:lpwstr/>
      </vt:variant>
      <vt:variant>
        <vt:lpwstr>_Toc121735658</vt:lpwstr>
      </vt:variant>
      <vt:variant>
        <vt:i4>1179701</vt:i4>
      </vt:variant>
      <vt:variant>
        <vt:i4>242</vt:i4>
      </vt:variant>
      <vt:variant>
        <vt:i4>0</vt:i4>
      </vt:variant>
      <vt:variant>
        <vt:i4>5</vt:i4>
      </vt:variant>
      <vt:variant>
        <vt:lpwstr/>
      </vt:variant>
      <vt:variant>
        <vt:lpwstr>_Toc121735657</vt:lpwstr>
      </vt:variant>
      <vt:variant>
        <vt:i4>1179701</vt:i4>
      </vt:variant>
      <vt:variant>
        <vt:i4>236</vt:i4>
      </vt:variant>
      <vt:variant>
        <vt:i4>0</vt:i4>
      </vt:variant>
      <vt:variant>
        <vt:i4>5</vt:i4>
      </vt:variant>
      <vt:variant>
        <vt:lpwstr/>
      </vt:variant>
      <vt:variant>
        <vt:lpwstr>_Toc121735656</vt:lpwstr>
      </vt:variant>
      <vt:variant>
        <vt:i4>1179701</vt:i4>
      </vt:variant>
      <vt:variant>
        <vt:i4>230</vt:i4>
      </vt:variant>
      <vt:variant>
        <vt:i4>0</vt:i4>
      </vt:variant>
      <vt:variant>
        <vt:i4>5</vt:i4>
      </vt:variant>
      <vt:variant>
        <vt:lpwstr/>
      </vt:variant>
      <vt:variant>
        <vt:lpwstr>_Toc121735655</vt:lpwstr>
      </vt:variant>
      <vt:variant>
        <vt:i4>1179701</vt:i4>
      </vt:variant>
      <vt:variant>
        <vt:i4>224</vt:i4>
      </vt:variant>
      <vt:variant>
        <vt:i4>0</vt:i4>
      </vt:variant>
      <vt:variant>
        <vt:i4>5</vt:i4>
      </vt:variant>
      <vt:variant>
        <vt:lpwstr/>
      </vt:variant>
      <vt:variant>
        <vt:lpwstr>_Toc121735654</vt:lpwstr>
      </vt:variant>
      <vt:variant>
        <vt:i4>1179701</vt:i4>
      </vt:variant>
      <vt:variant>
        <vt:i4>218</vt:i4>
      </vt:variant>
      <vt:variant>
        <vt:i4>0</vt:i4>
      </vt:variant>
      <vt:variant>
        <vt:i4>5</vt:i4>
      </vt:variant>
      <vt:variant>
        <vt:lpwstr/>
      </vt:variant>
      <vt:variant>
        <vt:lpwstr>_Toc121735653</vt:lpwstr>
      </vt:variant>
      <vt:variant>
        <vt:i4>1179701</vt:i4>
      </vt:variant>
      <vt:variant>
        <vt:i4>212</vt:i4>
      </vt:variant>
      <vt:variant>
        <vt:i4>0</vt:i4>
      </vt:variant>
      <vt:variant>
        <vt:i4>5</vt:i4>
      </vt:variant>
      <vt:variant>
        <vt:lpwstr/>
      </vt:variant>
      <vt:variant>
        <vt:lpwstr>_Toc121735652</vt:lpwstr>
      </vt:variant>
      <vt:variant>
        <vt:i4>1179701</vt:i4>
      </vt:variant>
      <vt:variant>
        <vt:i4>206</vt:i4>
      </vt:variant>
      <vt:variant>
        <vt:i4>0</vt:i4>
      </vt:variant>
      <vt:variant>
        <vt:i4>5</vt:i4>
      </vt:variant>
      <vt:variant>
        <vt:lpwstr/>
      </vt:variant>
      <vt:variant>
        <vt:lpwstr>_Toc121735651</vt:lpwstr>
      </vt:variant>
      <vt:variant>
        <vt:i4>1179701</vt:i4>
      </vt:variant>
      <vt:variant>
        <vt:i4>200</vt:i4>
      </vt:variant>
      <vt:variant>
        <vt:i4>0</vt:i4>
      </vt:variant>
      <vt:variant>
        <vt:i4>5</vt:i4>
      </vt:variant>
      <vt:variant>
        <vt:lpwstr/>
      </vt:variant>
      <vt:variant>
        <vt:lpwstr>_Toc121735650</vt:lpwstr>
      </vt:variant>
      <vt:variant>
        <vt:i4>1245237</vt:i4>
      </vt:variant>
      <vt:variant>
        <vt:i4>194</vt:i4>
      </vt:variant>
      <vt:variant>
        <vt:i4>0</vt:i4>
      </vt:variant>
      <vt:variant>
        <vt:i4>5</vt:i4>
      </vt:variant>
      <vt:variant>
        <vt:lpwstr/>
      </vt:variant>
      <vt:variant>
        <vt:lpwstr>_Toc121735649</vt:lpwstr>
      </vt:variant>
      <vt:variant>
        <vt:i4>1245237</vt:i4>
      </vt:variant>
      <vt:variant>
        <vt:i4>188</vt:i4>
      </vt:variant>
      <vt:variant>
        <vt:i4>0</vt:i4>
      </vt:variant>
      <vt:variant>
        <vt:i4>5</vt:i4>
      </vt:variant>
      <vt:variant>
        <vt:lpwstr/>
      </vt:variant>
      <vt:variant>
        <vt:lpwstr>_Toc121735648</vt:lpwstr>
      </vt:variant>
      <vt:variant>
        <vt:i4>1245237</vt:i4>
      </vt:variant>
      <vt:variant>
        <vt:i4>182</vt:i4>
      </vt:variant>
      <vt:variant>
        <vt:i4>0</vt:i4>
      </vt:variant>
      <vt:variant>
        <vt:i4>5</vt:i4>
      </vt:variant>
      <vt:variant>
        <vt:lpwstr/>
      </vt:variant>
      <vt:variant>
        <vt:lpwstr>_Toc121735647</vt:lpwstr>
      </vt:variant>
      <vt:variant>
        <vt:i4>1245237</vt:i4>
      </vt:variant>
      <vt:variant>
        <vt:i4>176</vt:i4>
      </vt:variant>
      <vt:variant>
        <vt:i4>0</vt:i4>
      </vt:variant>
      <vt:variant>
        <vt:i4>5</vt:i4>
      </vt:variant>
      <vt:variant>
        <vt:lpwstr/>
      </vt:variant>
      <vt:variant>
        <vt:lpwstr>_Toc121735646</vt:lpwstr>
      </vt:variant>
      <vt:variant>
        <vt:i4>1245237</vt:i4>
      </vt:variant>
      <vt:variant>
        <vt:i4>170</vt:i4>
      </vt:variant>
      <vt:variant>
        <vt:i4>0</vt:i4>
      </vt:variant>
      <vt:variant>
        <vt:i4>5</vt:i4>
      </vt:variant>
      <vt:variant>
        <vt:lpwstr/>
      </vt:variant>
      <vt:variant>
        <vt:lpwstr>_Toc121735645</vt:lpwstr>
      </vt:variant>
      <vt:variant>
        <vt:i4>1245237</vt:i4>
      </vt:variant>
      <vt:variant>
        <vt:i4>164</vt:i4>
      </vt:variant>
      <vt:variant>
        <vt:i4>0</vt:i4>
      </vt:variant>
      <vt:variant>
        <vt:i4>5</vt:i4>
      </vt:variant>
      <vt:variant>
        <vt:lpwstr/>
      </vt:variant>
      <vt:variant>
        <vt:lpwstr>_Toc121735644</vt:lpwstr>
      </vt:variant>
      <vt:variant>
        <vt:i4>1245237</vt:i4>
      </vt:variant>
      <vt:variant>
        <vt:i4>158</vt:i4>
      </vt:variant>
      <vt:variant>
        <vt:i4>0</vt:i4>
      </vt:variant>
      <vt:variant>
        <vt:i4>5</vt:i4>
      </vt:variant>
      <vt:variant>
        <vt:lpwstr/>
      </vt:variant>
      <vt:variant>
        <vt:lpwstr>_Toc121735643</vt:lpwstr>
      </vt:variant>
      <vt:variant>
        <vt:i4>1245237</vt:i4>
      </vt:variant>
      <vt:variant>
        <vt:i4>152</vt:i4>
      </vt:variant>
      <vt:variant>
        <vt:i4>0</vt:i4>
      </vt:variant>
      <vt:variant>
        <vt:i4>5</vt:i4>
      </vt:variant>
      <vt:variant>
        <vt:lpwstr/>
      </vt:variant>
      <vt:variant>
        <vt:lpwstr>_Toc121735642</vt:lpwstr>
      </vt:variant>
      <vt:variant>
        <vt:i4>1245237</vt:i4>
      </vt:variant>
      <vt:variant>
        <vt:i4>146</vt:i4>
      </vt:variant>
      <vt:variant>
        <vt:i4>0</vt:i4>
      </vt:variant>
      <vt:variant>
        <vt:i4>5</vt:i4>
      </vt:variant>
      <vt:variant>
        <vt:lpwstr/>
      </vt:variant>
      <vt:variant>
        <vt:lpwstr>_Toc121735641</vt:lpwstr>
      </vt:variant>
      <vt:variant>
        <vt:i4>1245237</vt:i4>
      </vt:variant>
      <vt:variant>
        <vt:i4>140</vt:i4>
      </vt:variant>
      <vt:variant>
        <vt:i4>0</vt:i4>
      </vt:variant>
      <vt:variant>
        <vt:i4>5</vt:i4>
      </vt:variant>
      <vt:variant>
        <vt:lpwstr/>
      </vt:variant>
      <vt:variant>
        <vt:lpwstr>_Toc121735640</vt:lpwstr>
      </vt:variant>
      <vt:variant>
        <vt:i4>1310773</vt:i4>
      </vt:variant>
      <vt:variant>
        <vt:i4>134</vt:i4>
      </vt:variant>
      <vt:variant>
        <vt:i4>0</vt:i4>
      </vt:variant>
      <vt:variant>
        <vt:i4>5</vt:i4>
      </vt:variant>
      <vt:variant>
        <vt:lpwstr/>
      </vt:variant>
      <vt:variant>
        <vt:lpwstr>_Toc121735639</vt:lpwstr>
      </vt:variant>
      <vt:variant>
        <vt:i4>1310773</vt:i4>
      </vt:variant>
      <vt:variant>
        <vt:i4>128</vt:i4>
      </vt:variant>
      <vt:variant>
        <vt:i4>0</vt:i4>
      </vt:variant>
      <vt:variant>
        <vt:i4>5</vt:i4>
      </vt:variant>
      <vt:variant>
        <vt:lpwstr/>
      </vt:variant>
      <vt:variant>
        <vt:lpwstr>_Toc121735638</vt:lpwstr>
      </vt:variant>
      <vt:variant>
        <vt:i4>1310773</vt:i4>
      </vt:variant>
      <vt:variant>
        <vt:i4>122</vt:i4>
      </vt:variant>
      <vt:variant>
        <vt:i4>0</vt:i4>
      </vt:variant>
      <vt:variant>
        <vt:i4>5</vt:i4>
      </vt:variant>
      <vt:variant>
        <vt:lpwstr/>
      </vt:variant>
      <vt:variant>
        <vt:lpwstr>_Toc121735637</vt:lpwstr>
      </vt:variant>
      <vt:variant>
        <vt:i4>1310773</vt:i4>
      </vt:variant>
      <vt:variant>
        <vt:i4>116</vt:i4>
      </vt:variant>
      <vt:variant>
        <vt:i4>0</vt:i4>
      </vt:variant>
      <vt:variant>
        <vt:i4>5</vt:i4>
      </vt:variant>
      <vt:variant>
        <vt:lpwstr/>
      </vt:variant>
      <vt:variant>
        <vt:lpwstr>_Toc121735636</vt:lpwstr>
      </vt:variant>
      <vt:variant>
        <vt:i4>1310773</vt:i4>
      </vt:variant>
      <vt:variant>
        <vt:i4>110</vt:i4>
      </vt:variant>
      <vt:variant>
        <vt:i4>0</vt:i4>
      </vt:variant>
      <vt:variant>
        <vt:i4>5</vt:i4>
      </vt:variant>
      <vt:variant>
        <vt:lpwstr/>
      </vt:variant>
      <vt:variant>
        <vt:lpwstr>_Toc121735635</vt:lpwstr>
      </vt:variant>
      <vt:variant>
        <vt:i4>1310773</vt:i4>
      </vt:variant>
      <vt:variant>
        <vt:i4>104</vt:i4>
      </vt:variant>
      <vt:variant>
        <vt:i4>0</vt:i4>
      </vt:variant>
      <vt:variant>
        <vt:i4>5</vt:i4>
      </vt:variant>
      <vt:variant>
        <vt:lpwstr/>
      </vt:variant>
      <vt:variant>
        <vt:lpwstr>_Toc121735634</vt:lpwstr>
      </vt:variant>
      <vt:variant>
        <vt:i4>1310773</vt:i4>
      </vt:variant>
      <vt:variant>
        <vt:i4>98</vt:i4>
      </vt:variant>
      <vt:variant>
        <vt:i4>0</vt:i4>
      </vt:variant>
      <vt:variant>
        <vt:i4>5</vt:i4>
      </vt:variant>
      <vt:variant>
        <vt:lpwstr/>
      </vt:variant>
      <vt:variant>
        <vt:lpwstr>_Toc121735633</vt:lpwstr>
      </vt:variant>
      <vt:variant>
        <vt:i4>1310773</vt:i4>
      </vt:variant>
      <vt:variant>
        <vt:i4>92</vt:i4>
      </vt:variant>
      <vt:variant>
        <vt:i4>0</vt:i4>
      </vt:variant>
      <vt:variant>
        <vt:i4>5</vt:i4>
      </vt:variant>
      <vt:variant>
        <vt:lpwstr/>
      </vt:variant>
      <vt:variant>
        <vt:lpwstr>_Toc121735632</vt:lpwstr>
      </vt:variant>
      <vt:variant>
        <vt:i4>1310773</vt:i4>
      </vt:variant>
      <vt:variant>
        <vt:i4>86</vt:i4>
      </vt:variant>
      <vt:variant>
        <vt:i4>0</vt:i4>
      </vt:variant>
      <vt:variant>
        <vt:i4>5</vt:i4>
      </vt:variant>
      <vt:variant>
        <vt:lpwstr/>
      </vt:variant>
      <vt:variant>
        <vt:lpwstr>_Toc121735631</vt:lpwstr>
      </vt:variant>
      <vt:variant>
        <vt:i4>1310773</vt:i4>
      </vt:variant>
      <vt:variant>
        <vt:i4>80</vt:i4>
      </vt:variant>
      <vt:variant>
        <vt:i4>0</vt:i4>
      </vt:variant>
      <vt:variant>
        <vt:i4>5</vt:i4>
      </vt:variant>
      <vt:variant>
        <vt:lpwstr/>
      </vt:variant>
      <vt:variant>
        <vt:lpwstr>_Toc121735630</vt:lpwstr>
      </vt:variant>
      <vt:variant>
        <vt:i4>1376309</vt:i4>
      </vt:variant>
      <vt:variant>
        <vt:i4>74</vt:i4>
      </vt:variant>
      <vt:variant>
        <vt:i4>0</vt:i4>
      </vt:variant>
      <vt:variant>
        <vt:i4>5</vt:i4>
      </vt:variant>
      <vt:variant>
        <vt:lpwstr/>
      </vt:variant>
      <vt:variant>
        <vt:lpwstr>_Toc121735629</vt:lpwstr>
      </vt:variant>
      <vt:variant>
        <vt:i4>1376309</vt:i4>
      </vt:variant>
      <vt:variant>
        <vt:i4>68</vt:i4>
      </vt:variant>
      <vt:variant>
        <vt:i4>0</vt:i4>
      </vt:variant>
      <vt:variant>
        <vt:i4>5</vt:i4>
      </vt:variant>
      <vt:variant>
        <vt:lpwstr/>
      </vt:variant>
      <vt:variant>
        <vt:lpwstr>_Toc121735628</vt:lpwstr>
      </vt:variant>
      <vt:variant>
        <vt:i4>1376309</vt:i4>
      </vt:variant>
      <vt:variant>
        <vt:i4>62</vt:i4>
      </vt:variant>
      <vt:variant>
        <vt:i4>0</vt:i4>
      </vt:variant>
      <vt:variant>
        <vt:i4>5</vt:i4>
      </vt:variant>
      <vt:variant>
        <vt:lpwstr/>
      </vt:variant>
      <vt:variant>
        <vt:lpwstr>_Toc121735627</vt:lpwstr>
      </vt:variant>
      <vt:variant>
        <vt:i4>1376309</vt:i4>
      </vt:variant>
      <vt:variant>
        <vt:i4>56</vt:i4>
      </vt:variant>
      <vt:variant>
        <vt:i4>0</vt:i4>
      </vt:variant>
      <vt:variant>
        <vt:i4>5</vt:i4>
      </vt:variant>
      <vt:variant>
        <vt:lpwstr/>
      </vt:variant>
      <vt:variant>
        <vt:lpwstr>_Toc121735626</vt:lpwstr>
      </vt:variant>
      <vt:variant>
        <vt:i4>1376309</vt:i4>
      </vt:variant>
      <vt:variant>
        <vt:i4>50</vt:i4>
      </vt:variant>
      <vt:variant>
        <vt:i4>0</vt:i4>
      </vt:variant>
      <vt:variant>
        <vt:i4>5</vt:i4>
      </vt:variant>
      <vt:variant>
        <vt:lpwstr/>
      </vt:variant>
      <vt:variant>
        <vt:lpwstr>_Toc121735625</vt:lpwstr>
      </vt:variant>
      <vt:variant>
        <vt:i4>1376309</vt:i4>
      </vt:variant>
      <vt:variant>
        <vt:i4>44</vt:i4>
      </vt:variant>
      <vt:variant>
        <vt:i4>0</vt:i4>
      </vt:variant>
      <vt:variant>
        <vt:i4>5</vt:i4>
      </vt:variant>
      <vt:variant>
        <vt:lpwstr/>
      </vt:variant>
      <vt:variant>
        <vt:lpwstr>_Toc121735624</vt:lpwstr>
      </vt:variant>
      <vt:variant>
        <vt:i4>1376309</vt:i4>
      </vt:variant>
      <vt:variant>
        <vt:i4>38</vt:i4>
      </vt:variant>
      <vt:variant>
        <vt:i4>0</vt:i4>
      </vt:variant>
      <vt:variant>
        <vt:i4>5</vt:i4>
      </vt:variant>
      <vt:variant>
        <vt:lpwstr/>
      </vt:variant>
      <vt:variant>
        <vt:lpwstr>_Toc121735623</vt:lpwstr>
      </vt:variant>
      <vt:variant>
        <vt:i4>1376309</vt:i4>
      </vt:variant>
      <vt:variant>
        <vt:i4>32</vt:i4>
      </vt:variant>
      <vt:variant>
        <vt:i4>0</vt:i4>
      </vt:variant>
      <vt:variant>
        <vt:i4>5</vt:i4>
      </vt:variant>
      <vt:variant>
        <vt:lpwstr/>
      </vt:variant>
      <vt:variant>
        <vt:lpwstr>_Toc121735622</vt:lpwstr>
      </vt:variant>
      <vt:variant>
        <vt:i4>1376309</vt:i4>
      </vt:variant>
      <vt:variant>
        <vt:i4>26</vt:i4>
      </vt:variant>
      <vt:variant>
        <vt:i4>0</vt:i4>
      </vt:variant>
      <vt:variant>
        <vt:i4>5</vt:i4>
      </vt:variant>
      <vt:variant>
        <vt:lpwstr/>
      </vt:variant>
      <vt:variant>
        <vt:lpwstr>_Toc121735621</vt:lpwstr>
      </vt:variant>
      <vt:variant>
        <vt:i4>1376309</vt:i4>
      </vt:variant>
      <vt:variant>
        <vt:i4>20</vt:i4>
      </vt:variant>
      <vt:variant>
        <vt:i4>0</vt:i4>
      </vt:variant>
      <vt:variant>
        <vt:i4>5</vt:i4>
      </vt:variant>
      <vt:variant>
        <vt:lpwstr/>
      </vt:variant>
      <vt:variant>
        <vt:lpwstr>_Toc121735620</vt:lpwstr>
      </vt:variant>
      <vt:variant>
        <vt:i4>1441845</vt:i4>
      </vt:variant>
      <vt:variant>
        <vt:i4>14</vt:i4>
      </vt:variant>
      <vt:variant>
        <vt:i4>0</vt:i4>
      </vt:variant>
      <vt:variant>
        <vt:i4>5</vt:i4>
      </vt:variant>
      <vt:variant>
        <vt:lpwstr/>
      </vt:variant>
      <vt:variant>
        <vt:lpwstr>_Toc121735619</vt:lpwstr>
      </vt:variant>
      <vt:variant>
        <vt:i4>1441845</vt:i4>
      </vt:variant>
      <vt:variant>
        <vt:i4>8</vt:i4>
      </vt:variant>
      <vt:variant>
        <vt:i4>0</vt:i4>
      </vt:variant>
      <vt:variant>
        <vt:i4>5</vt:i4>
      </vt:variant>
      <vt:variant>
        <vt:lpwstr/>
      </vt:variant>
      <vt:variant>
        <vt:lpwstr>_Toc121735618</vt:lpwstr>
      </vt:variant>
      <vt:variant>
        <vt:i4>1441845</vt:i4>
      </vt:variant>
      <vt:variant>
        <vt:i4>2</vt:i4>
      </vt:variant>
      <vt:variant>
        <vt:i4>0</vt:i4>
      </vt:variant>
      <vt:variant>
        <vt:i4>5</vt:i4>
      </vt:variant>
      <vt:variant>
        <vt:lpwstr/>
      </vt:variant>
      <vt:variant>
        <vt:lpwstr>_Toc121735617</vt:lpwstr>
      </vt:variant>
      <vt:variant>
        <vt:i4>6750269</vt:i4>
      </vt:variant>
      <vt:variant>
        <vt:i4>9</vt:i4>
      </vt:variant>
      <vt:variant>
        <vt:i4>0</vt:i4>
      </vt:variant>
      <vt:variant>
        <vt:i4>5</vt:i4>
      </vt:variant>
      <vt:variant>
        <vt:lpwstr>https://www.sawpa.org/wp-content/uploads/2018/04/2011_CBRP_San-Bernardino-County-MS4-Program.pdf</vt:lpwstr>
      </vt:variant>
      <vt:variant>
        <vt:lpwstr/>
      </vt:variant>
      <vt:variant>
        <vt:i4>5111878</vt:i4>
      </vt:variant>
      <vt:variant>
        <vt:i4>6</vt:i4>
      </vt:variant>
      <vt:variant>
        <vt:i4>0</vt:i4>
      </vt:variant>
      <vt:variant>
        <vt:i4>5</vt:i4>
      </vt:variant>
      <vt:variant>
        <vt:lpwstr>https://www.sawpa.org/wp-content/uploads/2018/04/2011_CBRP_Riverside-County-MS4-Program.pdf</vt:lpwstr>
      </vt:variant>
      <vt:variant>
        <vt:lpwstr/>
      </vt:variant>
      <vt:variant>
        <vt:i4>4849685</vt:i4>
      </vt:variant>
      <vt:variant>
        <vt:i4>3</vt:i4>
      </vt:variant>
      <vt:variant>
        <vt:i4>0</vt:i4>
      </vt:variant>
      <vt:variant>
        <vt:i4>5</vt:i4>
      </vt:variant>
      <vt:variant>
        <vt:lpwstr>https://sawpa.org/wp-content/uploads/2021/02/MSAR-Task-Force_Magnolia_SAWPAFinal-Read-Only.pdf</vt:lpwstr>
      </vt:variant>
      <vt:variant>
        <vt:lpwstr/>
      </vt:variant>
      <vt:variant>
        <vt:i4>7471205</vt:i4>
      </vt:variant>
      <vt:variant>
        <vt:i4>0</vt:i4>
      </vt:variant>
      <vt:variant>
        <vt:i4>0</vt:i4>
      </vt:variant>
      <vt:variant>
        <vt:i4>5</vt:i4>
      </vt:variant>
      <vt:variant>
        <vt:lpwstr>https://www.ocregister.com/2022/01/14/wild-hungry-pigs-still-rampaging-around-santa-ana-river/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GEI Report Template Feb2009 and MSWord 2007</dc:title>
  <dc:creator>Margie</dc:creator>
  <cp:lastModifiedBy>Wolosoff, Steven</cp:lastModifiedBy>
  <cp:revision>5</cp:revision>
  <cp:lastPrinted>2022-11-01T22:07:00Z</cp:lastPrinted>
  <dcterms:created xsi:type="dcterms:W3CDTF">2025-12-23T23:55:00Z</dcterms:created>
  <dcterms:modified xsi:type="dcterms:W3CDTF">2025-12-24T00:23:00Z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0x01010075AA0DAD67F3EB4D9530849632315A67</vt:lpwstr>
  </property>
  <property fmtid="{D5CDD505-2E9C-101B-9397-08002B2CF9AE}" pid="3" name="AuthorIds_UIVersion_2560">
    <vt:lpwstr>1845</vt:lpwstr>
  </property>
  <property fmtid="{D5CDD505-2E9C-101B-9397-08002B2CF9AE}" pid="4" name="MediaServiceImageTags">
    <vt:lpwstr/>
  </property>
</Properties>
</file>