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07DF4" w14:textId="77777777" w:rsidR="00A76C97" w:rsidRDefault="00BA68DB" w:rsidP="00EE5D49">
      <w:pPr>
        <w:pStyle w:val="CoverReportTitle"/>
      </w:pPr>
      <w:r>
        <w:rPr>
          <w:noProof/>
        </w:rPr>
        <mc:AlternateContent>
          <mc:Choice Requires="wps">
            <w:drawing>
              <wp:anchor distT="0" distB="0" distL="114300" distR="114300" simplePos="0" relativeHeight="251660288" behindDoc="0" locked="0" layoutInCell="1" allowOverlap="1" wp14:anchorId="67976821" wp14:editId="3682B9F7">
                <wp:simplePos x="0" y="0"/>
                <wp:positionH relativeFrom="page">
                  <wp:align>right</wp:align>
                </wp:positionH>
                <wp:positionV relativeFrom="paragraph">
                  <wp:posOffset>9084</wp:posOffset>
                </wp:positionV>
                <wp:extent cx="7828241" cy="50292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8241" cy="502920"/>
                        </a:xfrm>
                        <a:prstGeom prst="rect">
                          <a:avLst/>
                        </a:prstGeom>
                        <a:gradFill flip="none" rotWithShape="1">
                          <a:gsLst>
                            <a:gs pos="50000">
                              <a:srgbClr val="16706F"/>
                            </a:gs>
                            <a:gs pos="0">
                              <a:srgbClr val="41AD49"/>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84E4A" w14:textId="1A5C4FA6" w:rsidR="00471466" w:rsidRPr="0026612A" w:rsidRDefault="00471466" w:rsidP="00BA68DB">
                            <w:pPr>
                              <w:spacing w:after="120"/>
                              <w:ind w:right="1295"/>
                              <w:jc w:val="right"/>
                              <w:rPr>
                                <w:sz w:val="36"/>
                                <w:szCs w:val="36"/>
                              </w:rPr>
                            </w:pPr>
                            <w:r w:rsidRPr="0026612A">
                              <w:rPr>
                                <w:sz w:val="36"/>
                                <w:szCs w:val="36"/>
                              </w:rPr>
                              <w:t xml:space="preserve">DRAFT REPORT | </w:t>
                            </w:r>
                            <w:r w:rsidR="00366BED">
                              <w:rPr>
                                <w:sz w:val="36"/>
                                <w:szCs w:val="36"/>
                              </w:rPr>
                              <w:t>OCTOBER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6821" id="Rectangle 1" o:spid="_x0000_s1026" alt="&quot;&quot;" style="position:absolute;left:0;text-align:left;margin-left:565.2pt;margin-top:.7pt;width:616.4pt;height:39.6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MC0QIAAD0GAAAOAAAAZHJzL2Uyb0RvYy54bWysVEtvGyEQvlfqf0Dcm/WunJeVdWQlclUp&#10;SqIkVc6YBS8SCxTwq7++M7Beu6kPVVUfMOx88/rmcXO77TRZCx+UNTUtz0aUCMNto8yypt/f5l+u&#10;KAmRmYZpa0RNdyLQ2+nnTzcbNxGVba1uhCdgxITJxtW0jdFNiiLwVnQsnFknDAil9R2L8PTLovFs&#10;A9Y7XVSj0UWxsb5x3nIRAny9z0I6TfalFDw+SRlEJLqmEFtMp0/nAs9iesMmS89cq3gfBvuHKDqm&#10;DDgdTN2zyMjKqz9MdYp7G6yMZ9x2hZVScZFygGzK0YdsXlvmRMoFyAluoCn8P7P8cf3qnj3QsHFh&#10;EuCKWWyl7/Af4iPbRNZuIEtsI+Hw8fKquqrGJSUcZOej6rpKbBYHbedD/CpsR/BSUw/FSByx9UOI&#10;4BGge0hPXTNXWhOpFXSCgX6hxNv4rmKbmID+yhwH0E8agTgLZJyP4JdEwS8Xd9qTNYN6lxeXo4s5&#10;lhg8LcOxxgn0uJzdj69Poku036tgY4rBBeNcmFgeaSVXfXxaGcJwEKDzAmdaNJhCarmotHgBQvrg&#10;PEupY4ja4GksUpGl+KU4lCfd4k6LjH4RkqgGClJlBk4HiNjQskZkajJj2XyaNUwp8aQNGES0BP+D&#10;7Uz8gMxGfk++x6OqSIM3KP8Fc4NG8mxNHJQ7Zaw/lZkeaJcZvycpU4Msxe1iCznidWGb3bPHdsrV&#10;cHyuoCsfWIjPzMPIQ4lgjcUnOKS2m5ra/kZJa/3PU98RD5MIUko2sEJqGn6smIeu1d8MtOV1OR7j&#10;zkmP8fklDAjxx5LFscSsujuLXQu94ni6Ij7q/VV6273DtpuhVxAxw8F3TXn0+8ddzKsN9iUXs1mC&#10;wZ5xLD6YV8f3A4RT97Z9Z971oxlhqB/tft2wyYcJzVgsjbGzVbRSpb498NpTDzsq9VC/T3EJHr8T&#10;6rD1p78AAAD//wMAUEsDBBQABgAIAAAAIQAcJ45g3AAAAAYBAAAPAAAAZHJzL2Rvd25yZXYueG1s&#10;TI/NTsMwEITvSLyDtUjcqEOAqApxKlRRqRI/UgsP4MbbJCVeW7bThrdne6LH3Zmd/aZaTHYQRwyx&#10;d6TgfpaBQGqc6alV8P21upuDiEmT0YMjVPCLERb19VWlS+NOtMHjNrWCQyiWWkGXki+ljE2HVseZ&#10;80is7V2wOvEYWmmCPnG4HWSeZYW0uif+0GmPyw6bn+1oGWP9eti8f668fXr7sMUYxrVfolK3N9PL&#10;M4iEU/o3wxmfb6Bmpp0byUQxKOAiibePIM5i/pBzkZ2CeVaArCt5iV//AQAA//8DAFBLAQItABQA&#10;BgAIAAAAIQC2gziS/gAAAOEBAAATAAAAAAAAAAAAAAAAAAAAAABbQ29udGVudF9UeXBlc10ueG1s&#10;UEsBAi0AFAAGAAgAAAAhADj9If/WAAAAlAEAAAsAAAAAAAAAAAAAAAAALwEAAF9yZWxzLy5yZWxz&#10;UEsBAi0AFAAGAAgAAAAhAEfcAwLRAgAAPQYAAA4AAAAAAAAAAAAAAAAALgIAAGRycy9lMm9Eb2Mu&#10;eG1sUEsBAi0AFAAGAAgAAAAhABwnjmDcAAAABgEAAA8AAAAAAAAAAAAAAAAAKwUAAGRycy9kb3du&#10;cmV2LnhtbFBLBQYAAAAABAAEAPMAAAA0BgAAAAA=&#10;" fillcolor="#41ad49" stroked="f" strokeweight="2pt">
                <v:fill color2="#001489 [3204]" rotate="t" angle="90" colors="0 #41ad49;.5 #16706f;1 #001489" focus="100%" type="gradient"/>
                <v:textbox>
                  <w:txbxContent>
                    <w:p w14:paraId="4D984E4A" w14:textId="1A5C4FA6" w:rsidR="00471466" w:rsidRPr="0026612A" w:rsidRDefault="00471466" w:rsidP="00BA68DB">
                      <w:pPr>
                        <w:spacing w:after="120"/>
                        <w:ind w:right="1295"/>
                        <w:jc w:val="right"/>
                        <w:rPr>
                          <w:sz w:val="36"/>
                          <w:szCs w:val="36"/>
                        </w:rPr>
                      </w:pPr>
                      <w:r w:rsidRPr="0026612A">
                        <w:rPr>
                          <w:sz w:val="36"/>
                          <w:szCs w:val="36"/>
                        </w:rPr>
                        <w:t xml:space="preserve">DRAFT REPORT | </w:t>
                      </w:r>
                      <w:r w:rsidR="00366BED">
                        <w:rPr>
                          <w:sz w:val="36"/>
                          <w:szCs w:val="36"/>
                        </w:rPr>
                        <w:t>OCTOBER 2022</w:t>
                      </w:r>
                    </w:p>
                  </w:txbxContent>
                </v:textbox>
                <w10:wrap anchorx="page"/>
              </v:rect>
            </w:pict>
          </mc:Fallback>
        </mc:AlternateContent>
      </w:r>
    </w:p>
    <w:p w14:paraId="4C9CD055" w14:textId="77777777" w:rsidR="00BA68DB" w:rsidRDefault="00BA68DB" w:rsidP="00EE5D49">
      <w:pPr>
        <w:pStyle w:val="CoverReportTitle"/>
      </w:pPr>
    </w:p>
    <w:p w14:paraId="36F12CCA" w14:textId="77777777" w:rsidR="00BA68DB" w:rsidRDefault="00BA68DB" w:rsidP="00EE5D49">
      <w:pPr>
        <w:pStyle w:val="CoverReportTitle"/>
      </w:pPr>
    </w:p>
    <w:p w14:paraId="5D50080A" w14:textId="77777777" w:rsidR="00BA68DB" w:rsidRDefault="00BA68DB" w:rsidP="00EE5D49">
      <w:pPr>
        <w:pStyle w:val="CoverReportTitle"/>
      </w:pPr>
    </w:p>
    <w:p w14:paraId="62514C7C" w14:textId="77777777" w:rsidR="00BA68DB" w:rsidRDefault="00BA68DB" w:rsidP="00EE5D49">
      <w:pPr>
        <w:pStyle w:val="CoverReportTitle"/>
      </w:pPr>
    </w:p>
    <w:p w14:paraId="63F01D9E" w14:textId="59CF64A3" w:rsidR="000D199D" w:rsidRPr="00490DD4" w:rsidRDefault="00366BED" w:rsidP="00EE5D49">
      <w:pPr>
        <w:pStyle w:val="CoverReportTitle"/>
      </w:pPr>
      <w:r>
        <w:t>2022 Groundwater Monitoring Program</w:t>
      </w:r>
      <w:r w:rsidR="000D199D" w:rsidRPr="00490DD4">
        <w:t xml:space="preserve"> </w:t>
      </w:r>
      <w:r w:rsidR="000D199D" w:rsidRPr="00490DD4">
        <w:br/>
      </w:r>
      <w:r w:rsidRPr="00284C58">
        <w:rPr>
          <w:i/>
          <w:sz w:val="32"/>
          <w:szCs w:val="32"/>
        </w:rPr>
        <w:t>to Support Implementation of the Santa Ana Basin Plan</w:t>
      </w:r>
    </w:p>
    <w:p w14:paraId="0DAD17CF" w14:textId="77777777" w:rsidR="000D199D" w:rsidRDefault="000D199D" w:rsidP="00EE5D49">
      <w:pPr>
        <w:pStyle w:val="CoverReportTitle"/>
      </w:pPr>
    </w:p>
    <w:p w14:paraId="447718C5" w14:textId="77777777" w:rsidR="00A76C97" w:rsidRPr="00490DD4" w:rsidRDefault="00A76C97" w:rsidP="00EE5D49">
      <w:pPr>
        <w:pStyle w:val="CoverReportTitle"/>
      </w:pPr>
    </w:p>
    <w:p w14:paraId="27FE1CBA" w14:textId="77777777" w:rsidR="000D199D" w:rsidRPr="0032563B" w:rsidRDefault="000D199D" w:rsidP="0032563B">
      <w:pPr>
        <w:pStyle w:val="Preparedforby"/>
      </w:pPr>
      <w:r w:rsidRPr="0032563B">
        <w:t>PREPARED FOR</w:t>
      </w:r>
    </w:p>
    <w:p w14:paraId="5AA0D945" w14:textId="77777777" w:rsidR="000D199D" w:rsidRDefault="000D199D" w:rsidP="009A16A0">
      <w:pPr>
        <w:pStyle w:val="CoverClientName"/>
      </w:pPr>
    </w:p>
    <w:p w14:paraId="67BC13C4" w14:textId="58036FAA" w:rsidR="0032563B" w:rsidRPr="00641BBA" w:rsidRDefault="00366BED" w:rsidP="009A16A0">
      <w:pPr>
        <w:pStyle w:val="CoverClientName"/>
      </w:pPr>
      <w:r>
        <w:t>Basin Monitoring Program Task Force,</w:t>
      </w:r>
    </w:p>
    <w:p w14:paraId="354F2F07" w14:textId="32C79743" w:rsidR="000D199D" w:rsidRDefault="00366BED" w:rsidP="00661B4C">
      <w:pPr>
        <w:pStyle w:val="CoverClientName"/>
      </w:pPr>
      <w:r>
        <w:t>administered by the Santa Ana Watershed Project Authority</w:t>
      </w:r>
    </w:p>
    <w:p w14:paraId="39CBFDCE" w14:textId="77777777" w:rsidR="00661B4C" w:rsidRDefault="00661B4C" w:rsidP="00661B4C">
      <w:pPr>
        <w:pStyle w:val="CoverClientName"/>
      </w:pPr>
    </w:p>
    <w:p w14:paraId="32711C5F" w14:textId="5F45D606" w:rsidR="0071185C" w:rsidRDefault="001C22A8" w:rsidP="003E5421">
      <w:pPr>
        <w:spacing w:after="0"/>
        <w:jc w:val="right"/>
        <w:rPr>
          <w:rFonts w:cstheme="minorHAnsi"/>
          <w:noProof/>
          <w:sz w:val="40"/>
          <w:szCs w:val="40"/>
        </w:rPr>
      </w:pPr>
      <w:r>
        <w:rPr>
          <w:noProof/>
        </w:rPr>
        <w:drawing>
          <wp:inline distT="0" distB="0" distL="0" distR="0" wp14:anchorId="15309E64" wp14:editId="05391FA0">
            <wp:extent cx="752475" cy="762000"/>
            <wp:effectExtent l="0" t="0" r="9525" b="0"/>
            <wp:docPr id="9" name="Picture 9"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icon&#10;&#10;Description automatically generated with medium confidence"/>
                    <pic:cNvPicPr/>
                  </pic:nvPicPr>
                  <pic:blipFill>
                    <a:blip r:embed="rId10"/>
                    <a:stretch>
                      <a:fillRect/>
                    </a:stretch>
                  </pic:blipFill>
                  <pic:spPr>
                    <a:xfrm>
                      <a:off x="0" y="0"/>
                      <a:ext cx="752475" cy="762000"/>
                    </a:xfrm>
                    <a:prstGeom prst="rect">
                      <a:avLst/>
                    </a:prstGeom>
                  </pic:spPr>
                </pic:pic>
              </a:graphicData>
            </a:graphic>
          </wp:inline>
        </w:drawing>
      </w:r>
    </w:p>
    <w:p w14:paraId="385A267A" w14:textId="77777777" w:rsidR="00515E8D" w:rsidRDefault="00515E8D" w:rsidP="00515E8D"/>
    <w:p w14:paraId="4B7247AA" w14:textId="77777777" w:rsidR="0033281D" w:rsidRDefault="0033281D" w:rsidP="001B1CD2">
      <w:pPr>
        <w:pStyle w:val="TOCChapter"/>
      </w:pPr>
    </w:p>
    <w:p w14:paraId="3D21DE45" w14:textId="77777777" w:rsidR="001C22A8" w:rsidRPr="001C22A8" w:rsidRDefault="001C22A8" w:rsidP="001C22A8"/>
    <w:p w14:paraId="074D478B" w14:textId="106C93BC" w:rsidR="001C22A8" w:rsidRDefault="001C22A8" w:rsidP="001C22A8">
      <w:pPr>
        <w:tabs>
          <w:tab w:val="left" w:pos="8250"/>
        </w:tabs>
        <w:rPr>
          <w:bCs/>
          <w:color w:val="001489"/>
        </w:rPr>
      </w:pPr>
      <w:r>
        <w:rPr>
          <w:bCs/>
          <w:color w:val="001489"/>
        </w:rPr>
        <w:tab/>
      </w:r>
    </w:p>
    <w:p w14:paraId="7582F879" w14:textId="187660CF" w:rsidR="001C22A8" w:rsidRPr="001C22A8" w:rsidRDefault="001C22A8" w:rsidP="001C22A8">
      <w:pPr>
        <w:tabs>
          <w:tab w:val="left" w:pos="8250"/>
        </w:tabs>
        <w:sectPr w:rsidR="001C22A8" w:rsidRPr="001C22A8" w:rsidSect="00E34F8E">
          <w:headerReference w:type="even" r:id="rId11"/>
          <w:headerReference w:type="default" r:id="rId12"/>
          <w:headerReference w:type="first" r:id="rId13"/>
          <w:footerReference w:type="first" r:id="rId14"/>
          <w:pgSz w:w="12240" w:h="15840" w:code="1"/>
          <w:pgMar w:top="720" w:right="1440" w:bottom="720" w:left="245" w:header="288" w:footer="288" w:gutter="0"/>
          <w:pgNumType w:fmt="lowerRoman" w:start="1"/>
          <w:cols w:space="720"/>
          <w:titlePg/>
        </w:sectPr>
      </w:pPr>
      <w:r>
        <w:tab/>
      </w:r>
    </w:p>
    <w:p w14:paraId="3C833836" w14:textId="77777777" w:rsidR="00E34F8E" w:rsidRDefault="00E34F8E" w:rsidP="004F482B">
      <w:pPr>
        <w:pStyle w:val="SignaturePageReportandClient"/>
      </w:pPr>
      <w:bookmarkStart w:id="0" w:name="_Hlk42839811"/>
    </w:p>
    <w:p w14:paraId="11104C02" w14:textId="77777777" w:rsidR="00E34F8E" w:rsidRDefault="00E34F8E" w:rsidP="004F482B">
      <w:pPr>
        <w:pStyle w:val="SignaturePageReportandClient"/>
      </w:pPr>
    </w:p>
    <w:p w14:paraId="34673012" w14:textId="1877D94B" w:rsidR="00366BED" w:rsidRDefault="00366BED" w:rsidP="00366BED">
      <w:pPr>
        <w:pStyle w:val="SignaturePageReportandClient"/>
      </w:pPr>
      <w:r>
        <w:t>2022 Groundwater Monitoring Program</w:t>
      </w:r>
    </w:p>
    <w:p w14:paraId="39409AC8" w14:textId="0FDD48E0" w:rsidR="0033281D" w:rsidRDefault="0033281D" w:rsidP="004F482B">
      <w:pPr>
        <w:pStyle w:val="SignaturePageReportandClient"/>
      </w:pPr>
    </w:p>
    <w:p w14:paraId="7E7EAB04" w14:textId="77777777" w:rsidR="009A16A0" w:rsidRDefault="009A16A0" w:rsidP="004F482B">
      <w:pPr>
        <w:pStyle w:val="SignaturePageReportandClient"/>
      </w:pPr>
    </w:p>
    <w:p w14:paraId="5C73B9C7" w14:textId="77777777" w:rsidR="001B07DA" w:rsidRDefault="001B07DA" w:rsidP="004F482B">
      <w:pPr>
        <w:pStyle w:val="SignaturePageReportandClient"/>
      </w:pPr>
      <w:r w:rsidRPr="006C00D3">
        <w:rPr>
          <w:noProof/>
          <w:color w:val="509E2F" w:themeColor="accent3"/>
        </w:rPr>
        <mc:AlternateContent>
          <mc:Choice Requires="wps">
            <w:drawing>
              <wp:anchor distT="0" distB="0" distL="114300" distR="114300" simplePos="0" relativeHeight="251657216" behindDoc="0" locked="0" layoutInCell="1" allowOverlap="1" wp14:anchorId="50251BDC" wp14:editId="3AAAACAD">
                <wp:simplePos x="0" y="0"/>
                <wp:positionH relativeFrom="margin">
                  <wp:align>center</wp:align>
                </wp:positionH>
                <wp:positionV relativeFrom="paragraph">
                  <wp:posOffset>29443</wp:posOffset>
                </wp:positionV>
                <wp:extent cx="3420110" cy="0"/>
                <wp:effectExtent l="0" t="19050" r="27940" b="19050"/>
                <wp:wrapNone/>
                <wp:docPr id="136" name="Straight Connector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2011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F8B27B" id="Straight Connector 136" o:spid="_x0000_s1026" alt="&quot;&quot;" style="position:absolute;z-index:251657216;visibility:visible;mso-wrap-style:square;mso-wrap-distance-left:9pt;mso-wrap-distance-top:0;mso-wrap-distance-right:9pt;mso-wrap-distance-bottom:0;mso-position-horizontal:center;mso-position-horizontal-relative:margin;mso-position-vertical:absolute;mso-position-vertical-relative:text" from="0,2.3pt" to="269.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F6uQEAAOIDAAAOAAAAZHJzL2Uyb0RvYy54bWysU8Fu3CAQvVfKPyDuXdvbpo2s9eaQKL1U&#10;bdQmH0DwsEYCBgFZe/++A971Rk2rqlUvGIZ5b+Y9xpvryRq2hxA1uo43q5ozcBJ77XYdf3y4e3vF&#10;WUzC9cKgg44fIPLr7cWbzehbWOOApofAiMTFdvQdH1LybVVFOYAVcYUeHF0qDFYkOoZd1QcxErs1&#10;1bquP1Qjht4HlBAjRW/nS74t/EqBTF+VipCY6Tj1lsoayvqU12q7Ee0uCD9oeWxD/EMXVmhHRReq&#10;W5EEew76FZXVMmBElVYSbYVKaQlFA6lp6p/UfB+Eh6KFzIl+sSn+P1r5ZX/j7gPZMPrYRn8fsopJ&#10;BZu/1B+bilmHxSyYEpMUfPeeOm7IU3m6q85AH2L6BGhZ3nTcaJd1iFbsP8dExSj1lJLDxrGx4+ur&#10;y4+XJS2i0f2dNiZfllmAGxPYXtArCinBpSa/HLG8yKSTcRQ8Cym7dDAw1/gGiumeWm/mInnGfsdr&#10;HGVnmKIuFmD9Z+AxP0OhzN/fgBdEqYwuLWCrHYZfVU/TyQo1558cmHVnC56wP5QnLtbQIBXnjkOf&#10;J/XlucDPv+b2BwAAAP//AwBQSwMEFAAGAAgAAAAhAE1D9pHcAAAABAEAAA8AAABkcnMvZG93bnJl&#10;di54bWxMj0FLw0AQhe+C/2EZwUuxG2sNJWZSiihaqGJr9bzNjkkwOxuy2zb+e0cvenuPN7z3TT4f&#10;XKsO1IfGM8LlOAFFXHrbcIWwfb2/mIEK0bA1rWdC+KIA8+L0JDeZ9Ude02ETKyUlHDKDUMfYZVqH&#10;siZnwth3xJJ9+N6ZKLavtO3NUcpdqydJkmpnGpaF2nR0W1P5udk7BPe0fblrRovV6G39+LB8Xk7S&#10;1fQd8fxsWNyAijTEv2P4wRd0KIRp5/dsg2oR5JGIME1BSXh9NROx+/W6yPV/+OIbAAD//wMAUEsB&#10;Ai0AFAAGAAgAAAAhALaDOJL+AAAA4QEAABMAAAAAAAAAAAAAAAAAAAAAAFtDb250ZW50X1R5cGVz&#10;XS54bWxQSwECLQAUAAYACAAAACEAOP0h/9YAAACUAQAACwAAAAAAAAAAAAAAAAAvAQAAX3JlbHMv&#10;LnJlbHNQSwECLQAUAAYACAAAACEAGBAxerkBAADiAwAADgAAAAAAAAAAAAAAAAAuAgAAZHJzL2Uy&#10;b0RvYy54bWxQSwECLQAUAAYACAAAACEATUP2kdwAAAAEAQAADwAAAAAAAAAAAAAAAAATBAAAZHJz&#10;L2Rvd25yZXYueG1sUEsFBgAAAAAEAAQA8wAAABwFAAAAAA==&#10;" strokecolor="#001489 [3204]" strokeweight="2.25pt">
                <w10:wrap anchorx="margin"/>
              </v:line>
            </w:pict>
          </mc:Fallback>
        </mc:AlternateContent>
      </w:r>
    </w:p>
    <w:p w14:paraId="5EAAF4E9" w14:textId="77777777" w:rsidR="0033281D" w:rsidRPr="009A16A0" w:rsidRDefault="0033281D" w:rsidP="009A16A0">
      <w:pPr>
        <w:jc w:val="center"/>
        <w:rPr>
          <w:b/>
          <w:bCs/>
          <w:color w:val="001489" w:themeColor="accent1"/>
        </w:rPr>
      </w:pPr>
      <w:r w:rsidRPr="009A16A0">
        <w:rPr>
          <w:b/>
          <w:bCs/>
          <w:color w:val="001489" w:themeColor="accent1"/>
        </w:rPr>
        <w:t>Prepared for</w:t>
      </w:r>
    </w:p>
    <w:p w14:paraId="02A64EA5" w14:textId="523652ED" w:rsidR="00366BED" w:rsidRPr="00641BBA" w:rsidRDefault="00366BED" w:rsidP="00366BED">
      <w:pPr>
        <w:pStyle w:val="CoverClientName"/>
      </w:pPr>
      <w:r>
        <w:t>Basin Monitoring Program Task Force</w:t>
      </w:r>
    </w:p>
    <w:p w14:paraId="4123C3B8" w14:textId="77777777" w:rsidR="00366BED" w:rsidRPr="00F77EAA" w:rsidRDefault="00366BED" w:rsidP="00366BED">
      <w:pPr>
        <w:pStyle w:val="CoverClientName"/>
        <w:rPr>
          <w:i/>
          <w:iCs/>
          <w:sz w:val="32"/>
          <w:szCs w:val="40"/>
        </w:rPr>
      </w:pPr>
      <w:r w:rsidRPr="00F77EAA">
        <w:rPr>
          <w:i/>
          <w:iCs/>
          <w:sz w:val="32"/>
          <w:szCs w:val="40"/>
        </w:rPr>
        <w:t>administered by the Santa Ana Watershed Project Authority</w:t>
      </w:r>
    </w:p>
    <w:p w14:paraId="2D309DB5" w14:textId="77777777" w:rsidR="009A16A0" w:rsidRPr="00F67D12" w:rsidRDefault="009A16A0" w:rsidP="009A16A0">
      <w:pPr>
        <w:pStyle w:val="SignaturePageReportandClient"/>
        <w:rPr>
          <w:caps/>
        </w:rPr>
      </w:pPr>
    </w:p>
    <w:p w14:paraId="3D1EE6CC" w14:textId="39BC41B6" w:rsidR="0033281D" w:rsidRPr="00F67D12" w:rsidRDefault="0033281D" w:rsidP="0033281D">
      <w:pPr>
        <w:jc w:val="center"/>
        <w:rPr>
          <w:rFonts w:cstheme="minorHAnsi"/>
          <w:b/>
          <w:color w:val="001489" w:themeColor="accent1"/>
          <w:szCs w:val="24"/>
        </w:rPr>
      </w:pPr>
      <w:r w:rsidRPr="00F67D12">
        <w:rPr>
          <w:rFonts w:cstheme="minorHAnsi"/>
          <w:b/>
          <w:color w:val="001489" w:themeColor="accent1"/>
          <w:szCs w:val="24"/>
        </w:rPr>
        <w:t xml:space="preserve">Project No. </w:t>
      </w:r>
      <w:r w:rsidR="00366BED">
        <w:rPr>
          <w:rFonts w:cstheme="minorHAnsi"/>
          <w:b/>
          <w:color w:val="001489" w:themeColor="accent1"/>
          <w:szCs w:val="24"/>
        </w:rPr>
        <w:t>986-80-21-1-01</w:t>
      </w:r>
    </w:p>
    <w:p w14:paraId="6588E2DE" w14:textId="77777777" w:rsidR="0033281D" w:rsidRPr="0053701B" w:rsidRDefault="0033281D" w:rsidP="0033281D">
      <w:pPr>
        <w:jc w:val="center"/>
        <w:rPr>
          <w:rFonts w:cstheme="minorHAnsi"/>
        </w:rPr>
      </w:pPr>
    </w:p>
    <w:p w14:paraId="4F7458C8" w14:textId="77777777" w:rsidR="0033281D" w:rsidRDefault="0033281D" w:rsidP="0033281D">
      <w:pPr>
        <w:jc w:val="center"/>
        <w:rPr>
          <w:rFonts w:cstheme="minorHAnsi"/>
        </w:rPr>
      </w:pPr>
    </w:p>
    <w:p w14:paraId="3D7ECD58" w14:textId="77777777" w:rsidR="002F128E" w:rsidRDefault="002F128E" w:rsidP="0033281D">
      <w:pPr>
        <w:jc w:val="center"/>
        <w:rPr>
          <w:rFonts w:cstheme="minorHAnsi"/>
        </w:rPr>
      </w:pPr>
    </w:p>
    <w:p w14:paraId="449876E5" w14:textId="77777777" w:rsidR="0033281D" w:rsidRPr="0053701B" w:rsidRDefault="0033281D" w:rsidP="0033281D">
      <w:pPr>
        <w:jc w:val="center"/>
        <w:rPr>
          <w:rFonts w:cstheme="minorHAnsi"/>
        </w:rPr>
      </w:pPr>
    </w:p>
    <w:p w14:paraId="28160570" w14:textId="77777777" w:rsidR="0033281D" w:rsidRPr="0053701B" w:rsidRDefault="0033281D" w:rsidP="0033281D">
      <w:pPr>
        <w:jc w:val="center"/>
        <w:rPr>
          <w:rFonts w:cstheme="minorHAnsi"/>
        </w:rPr>
      </w:pPr>
    </w:p>
    <w:p w14:paraId="6FDB4FC8" w14:textId="77777777" w:rsidR="0033281D" w:rsidRPr="0053701B" w:rsidRDefault="0033281D" w:rsidP="0033281D">
      <w:pPr>
        <w:jc w:val="center"/>
        <w:rPr>
          <w:rFonts w:cstheme="minorHAnsi"/>
        </w:rPr>
      </w:pPr>
    </w:p>
    <w:p w14:paraId="4B90B167" w14:textId="77777777" w:rsidR="0033281D" w:rsidRPr="0053701B" w:rsidRDefault="0033281D" w:rsidP="0033281D">
      <w:pPr>
        <w:jc w:val="center"/>
        <w:rPr>
          <w:rFonts w:cstheme="minorHAnsi"/>
        </w:rPr>
      </w:pPr>
    </w:p>
    <w:tbl>
      <w:tblPr>
        <w:tblStyle w:val="TableGrid"/>
        <w:tblW w:w="7110" w:type="dxa"/>
        <w:tblInd w:w="2261" w:type="dxa"/>
        <w:tblLook w:val="04A0" w:firstRow="1" w:lastRow="0" w:firstColumn="1" w:lastColumn="0" w:noHBand="0" w:noVBand="1"/>
        <w:tblDescription w:val="For final report, project manager's stamp, signature, and Date"/>
      </w:tblPr>
      <w:tblGrid>
        <w:gridCol w:w="4680"/>
        <w:gridCol w:w="540"/>
        <w:gridCol w:w="1890"/>
      </w:tblGrid>
      <w:tr w:rsidR="0033281D" w:rsidRPr="00C0541B" w14:paraId="7DE0B2D0" w14:textId="77777777" w:rsidTr="003A0404">
        <w:tc>
          <w:tcPr>
            <w:tcW w:w="4680" w:type="dxa"/>
            <w:tcBorders>
              <w:top w:val="nil"/>
              <w:left w:val="nil"/>
              <w:bottom w:val="nil"/>
              <w:right w:val="nil"/>
            </w:tcBorders>
          </w:tcPr>
          <w:p w14:paraId="08F29F1A" w14:textId="77777777" w:rsidR="0033281D" w:rsidRPr="00C0541B" w:rsidRDefault="0033281D" w:rsidP="00C0541B">
            <w:pPr>
              <w:pStyle w:val="Table"/>
              <w:rPr>
                <w:sz w:val="24"/>
                <w:szCs w:val="24"/>
              </w:rPr>
            </w:pPr>
          </w:p>
        </w:tc>
        <w:tc>
          <w:tcPr>
            <w:tcW w:w="540" w:type="dxa"/>
            <w:tcBorders>
              <w:top w:val="nil"/>
              <w:left w:val="nil"/>
              <w:bottom w:val="nil"/>
              <w:right w:val="nil"/>
            </w:tcBorders>
          </w:tcPr>
          <w:p w14:paraId="5ECE6463" w14:textId="77777777" w:rsidR="0033281D" w:rsidRPr="00C0541B" w:rsidRDefault="0033281D" w:rsidP="00C0541B">
            <w:pPr>
              <w:pStyle w:val="Table"/>
              <w:rPr>
                <w:sz w:val="24"/>
                <w:szCs w:val="24"/>
              </w:rPr>
            </w:pPr>
          </w:p>
        </w:tc>
        <w:tc>
          <w:tcPr>
            <w:tcW w:w="1890" w:type="dxa"/>
            <w:tcBorders>
              <w:top w:val="nil"/>
              <w:left w:val="nil"/>
              <w:bottom w:val="nil"/>
              <w:right w:val="nil"/>
            </w:tcBorders>
          </w:tcPr>
          <w:p w14:paraId="2EEE0FCB" w14:textId="77777777" w:rsidR="0033281D" w:rsidRPr="00C0541B" w:rsidRDefault="0033281D" w:rsidP="00C0541B">
            <w:pPr>
              <w:pStyle w:val="Table"/>
              <w:rPr>
                <w:sz w:val="24"/>
                <w:szCs w:val="24"/>
              </w:rPr>
            </w:pPr>
          </w:p>
        </w:tc>
      </w:tr>
      <w:tr w:rsidR="0033281D" w:rsidRPr="00C0541B" w14:paraId="2CB4FDA3" w14:textId="77777777" w:rsidTr="003A0404">
        <w:tc>
          <w:tcPr>
            <w:tcW w:w="4680" w:type="dxa"/>
            <w:tcBorders>
              <w:left w:val="nil"/>
              <w:bottom w:val="nil"/>
              <w:right w:val="nil"/>
            </w:tcBorders>
          </w:tcPr>
          <w:p w14:paraId="3038CE20" w14:textId="5F1E0FC1" w:rsidR="0033281D" w:rsidRPr="00577F7B" w:rsidRDefault="0033281D" w:rsidP="00C0541B">
            <w:pPr>
              <w:pStyle w:val="Table"/>
              <w:rPr>
                <w:sz w:val="22"/>
                <w:szCs w:val="22"/>
              </w:rPr>
            </w:pPr>
            <w:r w:rsidRPr="00577F7B">
              <w:rPr>
                <w:sz w:val="22"/>
                <w:szCs w:val="22"/>
              </w:rPr>
              <w:t>Project Manager</w:t>
            </w:r>
            <w:r w:rsidR="002D70FA" w:rsidRPr="00577F7B">
              <w:rPr>
                <w:sz w:val="22"/>
                <w:szCs w:val="22"/>
              </w:rPr>
              <w:t>:</w:t>
            </w:r>
            <w:r w:rsidRPr="00577F7B">
              <w:rPr>
                <w:sz w:val="22"/>
                <w:szCs w:val="22"/>
              </w:rPr>
              <w:t xml:space="preserve"> </w:t>
            </w:r>
            <w:r w:rsidR="00366BED">
              <w:rPr>
                <w:sz w:val="22"/>
                <w:szCs w:val="22"/>
              </w:rPr>
              <w:t>Samantha Adams</w:t>
            </w:r>
          </w:p>
        </w:tc>
        <w:tc>
          <w:tcPr>
            <w:tcW w:w="540" w:type="dxa"/>
            <w:tcBorders>
              <w:top w:val="nil"/>
              <w:left w:val="nil"/>
              <w:bottom w:val="nil"/>
              <w:right w:val="nil"/>
            </w:tcBorders>
          </w:tcPr>
          <w:p w14:paraId="0E485F25" w14:textId="77777777" w:rsidR="0033281D" w:rsidRPr="00577F7B" w:rsidRDefault="0033281D" w:rsidP="00C0541B">
            <w:pPr>
              <w:pStyle w:val="Table"/>
              <w:rPr>
                <w:sz w:val="22"/>
                <w:szCs w:val="22"/>
              </w:rPr>
            </w:pPr>
          </w:p>
        </w:tc>
        <w:tc>
          <w:tcPr>
            <w:tcW w:w="1890" w:type="dxa"/>
            <w:tcBorders>
              <w:left w:val="nil"/>
              <w:bottom w:val="nil"/>
              <w:right w:val="nil"/>
            </w:tcBorders>
          </w:tcPr>
          <w:p w14:paraId="0976C6CB" w14:textId="77777777" w:rsidR="0033281D" w:rsidRPr="00577F7B" w:rsidRDefault="0033281D" w:rsidP="00C0541B">
            <w:pPr>
              <w:pStyle w:val="Table"/>
              <w:rPr>
                <w:sz w:val="22"/>
                <w:szCs w:val="22"/>
              </w:rPr>
            </w:pPr>
            <w:r w:rsidRPr="00577F7B">
              <w:rPr>
                <w:sz w:val="22"/>
                <w:szCs w:val="22"/>
              </w:rPr>
              <w:t>Date</w:t>
            </w:r>
          </w:p>
        </w:tc>
      </w:tr>
    </w:tbl>
    <w:p w14:paraId="36733048" w14:textId="77777777" w:rsidR="0033281D" w:rsidRPr="0053701B" w:rsidRDefault="0033281D" w:rsidP="0033281D">
      <w:pPr>
        <w:jc w:val="left"/>
        <w:rPr>
          <w:rFonts w:cstheme="minorHAnsi"/>
        </w:rPr>
      </w:pPr>
    </w:p>
    <w:tbl>
      <w:tblPr>
        <w:tblStyle w:val="TableGrid"/>
        <w:tblW w:w="7110" w:type="dxa"/>
        <w:tblInd w:w="2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r final report, QA/QC reviewer's signature and date"/>
      </w:tblPr>
      <w:tblGrid>
        <w:gridCol w:w="4680"/>
        <w:gridCol w:w="540"/>
        <w:gridCol w:w="1890"/>
      </w:tblGrid>
      <w:tr w:rsidR="0033281D" w:rsidRPr="00C0541B" w14:paraId="5956B23C" w14:textId="77777777" w:rsidTr="005A64FA">
        <w:tc>
          <w:tcPr>
            <w:tcW w:w="4680" w:type="dxa"/>
            <w:tcBorders>
              <w:bottom w:val="single" w:sz="4" w:space="0" w:color="auto"/>
            </w:tcBorders>
          </w:tcPr>
          <w:p w14:paraId="7C0FFA5E" w14:textId="77777777" w:rsidR="0033281D" w:rsidRPr="00C0541B" w:rsidRDefault="0033281D" w:rsidP="00C0541B">
            <w:pPr>
              <w:pStyle w:val="Table"/>
              <w:rPr>
                <w:sz w:val="24"/>
                <w:szCs w:val="24"/>
              </w:rPr>
            </w:pPr>
          </w:p>
        </w:tc>
        <w:tc>
          <w:tcPr>
            <w:tcW w:w="540" w:type="dxa"/>
          </w:tcPr>
          <w:p w14:paraId="0C04DB8B" w14:textId="77777777" w:rsidR="0033281D" w:rsidRPr="00C0541B" w:rsidRDefault="0033281D" w:rsidP="00C0541B">
            <w:pPr>
              <w:pStyle w:val="Table"/>
              <w:rPr>
                <w:sz w:val="24"/>
                <w:szCs w:val="24"/>
              </w:rPr>
            </w:pPr>
          </w:p>
        </w:tc>
        <w:tc>
          <w:tcPr>
            <w:tcW w:w="1890" w:type="dxa"/>
            <w:tcBorders>
              <w:bottom w:val="single" w:sz="4" w:space="0" w:color="auto"/>
            </w:tcBorders>
          </w:tcPr>
          <w:p w14:paraId="31670C7C" w14:textId="77777777" w:rsidR="0033281D" w:rsidRPr="00C0541B" w:rsidRDefault="0033281D" w:rsidP="00C0541B">
            <w:pPr>
              <w:pStyle w:val="Table"/>
              <w:rPr>
                <w:sz w:val="24"/>
                <w:szCs w:val="24"/>
              </w:rPr>
            </w:pPr>
          </w:p>
        </w:tc>
      </w:tr>
      <w:tr w:rsidR="0033281D" w:rsidRPr="00C0541B" w14:paraId="0CFC7EA0" w14:textId="77777777" w:rsidTr="005A64FA">
        <w:tc>
          <w:tcPr>
            <w:tcW w:w="4680" w:type="dxa"/>
            <w:tcBorders>
              <w:top w:val="single" w:sz="4" w:space="0" w:color="auto"/>
            </w:tcBorders>
          </w:tcPr>
          <w:p w14:paraId="6E0082AF" w14:textId="2B55F31F" w:rsidR="0033281D" w:rsidRPr="00577F7B" w:rsidRDefault="0033281D" w:rsidP="00C0541B">
            <w:pPr>
              <w:pStyle w:val="Table"/>
              <w:rPr>
                <w:sz w:val="22"/>
                <w:szCs w:val="22"/>
              </w:rPr>
            </w:pPr>
            <w:r w:rsidRPr="00577F7B">
              <w:rPr>
                <w:sz w:val="22"/>
                <w:szCs w:val="22"/>
              </w:rPr>
              <w:t>QA/QC Review</w:t>
            </w:r>
            <w:r w:rsidR="002D70FA" w:rsidRPr="00577F7B">
              <w:rPr>
                <w:sz w:val="22"/>
                <w:szCs w:val="22"/>
              </w:rPr>
              <w:t>:</w:t>
            </w:r>
            <w:r w:rsidRPr="00577F7B">
              <w:rPr>
                <w:sz w:val="22"/>
                <w:szCs w:val="22"/>
              </w:rPr>
              <w:t xml:space="preserve"> </w:t>
            </w:r>
            <w:r w:rsidR="00DE6BB6">
              <w:rPr>
                <w:sz w:val="22"/>
                <w:szCs w:val="22"/>
              </w:rPr>
              <w:t>Carolina Sanchez</w:t>
            </w:r>
            <w:r w:rsidR="00F77EAA">
              <w:rPr>
                <w:sz w:val="22"/>
                <w:szCs w:val="22"/>
              </w:rPr>
              <w:t>, P</w:t>
            </w:r>
            <w:r w:rsidR="00DE6BB6">
              <w:rPr>
                <w:sz w:val="22"/>
                <w:szCs w:val="22"/>
              </w:rPr>
              <w:t>E</w:t>
            </w:r>
          </w:p>
        </w:tc>
        <w:tc>
          <w:tcPr>
            <w:tcW w:w="540" w:type="dxa"/>
          </w:tcPr>
          <w:p w14:paraId="24A25A14" w14:textId="77777777" w:rsidR="0033281D" w:rsidRPr="00577F7B" w:rsidRDefault="0033281D" w:rsidP="00C0541B">
            <w:pPr>
              <w:pStyle w:val="Table"/>
              <w:rPr>
                <w:sz w:val="22"/>
                <w:szCs w:val="22"/>
              </w:rPr>
            </w:pPr>
          </w:p>
        </w:tc>
        <w:tc>
          <w:tcPr>
            <w:tcW w:w="1890" w:type="dxa"/>
            <w:tcBorders>
              <w:top w:val="single" w:sz="4" w:space="0" w:color="auto"/>
            </w:tcBorders>
          </w:tcPr>
          <w:p w14:paraId="03667754" w14:textId="77777777" w:rsidR="0033281D" w:rsidRPr="00577F7B" w:rsidRDefault="0033281D" w:rsidP="00C0541B">
            <w:pPr>
              <w:pStyle w:val="Table"/>
              <w:rPr>
                <w:sz w:val="22"/>
                <w:szCs w:val="22"/>
              </w:rPr>
            </w:pPr>
            <w:r w:rsidRPr="00577F7B">
              <w:rPr>
                <w:sz w:val="22"/>
                <w:szCs w:val="22"/>
              </w:rPr>
              <w:t>Date</w:t>
            </w:r>
          </w:p>
        </w:tc>
      </w:tr>
      <w:bookmarkEnd w:id="0"/>
    </w:tbl>
    <w:p w14:paraId="4D9280F0" w14:textId="77777777" w:rsidR="002C370D" w:rsidRDefault="002C370D" w:rsidP="002C370D"/>
    <w:tbl>
      <w:tblPr>
        <w:tblStyle w:val="TableGrid"/>
        <w:tblW w:w="7110" w:type="dxa"/>
        <w:tblInd w:w="2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r final report, QA/QC reviewer's signature and date"/>
      </w:tblPr>
      <w:tblGrid>
        <w:gridCol w:w="4680"/>
        <w:gridCol w:w="540"/>
        <w:gridCol w:w="1890"/>
      </w:tblGrid>
      <w:tr w:rsidR="00366BED" w:rsidRPr="00C0541B" w14:paraId="3D89B725" w14:textId="77777777">
        <w:tc>
          <w:tcPr>
            <w:tcW w:w="4680" w:type="dxa"/>
            <w:tcBorders>
              <w:bottom w:val="single" w:sz="4" w:space="0" w:color="auto"/>
            </w:tcBorders>
          </w:tcPr>
          <w:p w14:paraId="6E5C958F" w14:textId="77777777" w:rsidR="00366BED" w:rsidRPr="00C0541B" w:rsidRDefault="00366BED">
            <w:pPr>
              <w:pStyle w:val="Table"/>
              <w:rPr>
                <w:sz w:val="24"/>
                <w:szCs w:val="24"/>
              </w:rPr>
            </w:pPr>
          </w:p>
        </w:tc>
        <w:tc>
          <w:tcPr>
            <w:tcW w:w="540" w:type="dxa"/>
          </w:tcPr>
          <w:p w14:paraId="70E26FD4" w14:textId="77777777" w:rsidR="00366BED" w:rsidRPr="00C0541B" w:rsidRDefault="00366BED">
            <w:pPr>
              <w:pStyle w:val="Table"/>
              <w:rPr>
                <w:sz w:val="24"/>
                <w:szCs w:val="24"/>
              </w:rPr>
            </w:pPr>
          </w:p>
        </w:tc>
        <w:tc>
          <w:tcPr>
            <w:tcW w:w="1890" w:type="dxa"/>
            <w:tcBorders>
              <w:bottom w:val="single" w:sz="4" w:space="0" w:color="auto"/>
            </w:tcBorders>
          </w:tcPr>
          <w:p w14:paraId="39E912F9" w14:textId="77777777" w:rsidR="00366BED" w:rsidRPr="00C0541B" w:rsidRDefault="00366BED">
            <w:pPr>
              <w:pStyle w:val="Table"/>
              <w:rPr>
                <w:sz w:val="24"/>
                <w:szCs w:val="24"/>
              </w:rPr>
            </w:pPr>
          </w:p>
        </w:tc>
      </w:tr>
      <w:tr w:rsidR="00366BED" w:rsidRPr="00C0541B" w14:paraId="10AB0CC5" w14:textId="77777777">
        <w:tc>
          <w:tcPr>
            <w:tcW w:w="4680" w:type="dxa"/>
            <w:tcBorders>
              <w:top w:val="single" w:sz="4" w:space="0" w:color="auto"/>
            </w:tcBorders>
          </w:tcPr>
          <w:p w14:paraId="6743D45D" w14:textId="445654F1" w:rsidR="00366BED" w:rsidRPr="00577F7B" w:rsidRDefault="00366BED">
            <w:pPr>
              <w:pStyle w:val="Table"/>
              <w:rPr>
                <w:sz w:val="22"/>
                <w:szCs w:val="22"/>
              </w:rPr>
            </w:pPr>
            <w:r w:rsidRPr="00577F7B">
              <w:rPr>
                <w:sz w:val="22"/>
                <w:szCs w:val="22"/>
              </w:rPr>
              <w:t>QA/QC Review</w:t>
            </w:r>
            <w:r w:rsidR="00F77EAA">
              <w:rPr>
                <w:sz w:val="22"/>
                <w:szCs w:val="22"/>
              </w:rPr>
              <w:t>: Veva Weamer</w:t>
            </w:r>
          </w:p>
        </w:tc>
        <w:tc>
          <w:tcPr>
            <w:tcW w:w="540" w:type="dxa"/>
          </w:tcPr>
          <w:p w14:paraId="3036F064" w14:textId="77777777" w:rsidR="00366BED" w:rsidRPr="00577F7B" w:rsidRDefault="00366BED">
            <w:pPr>
              <w:pStyle w:val="Table"/>
              <w:rPr>
                <w:sz w:val="22"/>
                <w:szCs w:val="22"/>
              </w:rPr>
            </w:pPr>
          </w:p>
        </w:tc>
        <w:tc>
          <w:tcPr>
            <w:tcW w:w="1890" w:type="dxa"/>
            <w:tcBorders>
              <w:top w:val="single" w:sz="4" w:space="0" w:color="auto"/>
            </w:tcBorders>
          </w:tcPr>
          <w:p w14:paraId="46B108CA" w14:textId="77777777" w:rsidR="00366BED" w:rsidRPr="00577F7B" w:rsidRDefault="00366BED">
            <w:pPr>
              <w:pStyle w:val="Table"/>
              <w:rPr>
                <w:sz w:val="22"/>
                <w:szCs w:val="22"/>
              </w:rPr>
            </w:pPr>
            <w:r w:rsidRPr="00577F7B">
              <w:rPr>
                <w:sz w:val="22"/>
                <w:szCs w:val="22"/>
              </w:rPr>
              <w:t>Date</w:t>
            </w:r>
          </w:p>
        </w:tc>
      </w:tr>
    </w:tbl>
    <w:p w14:paraId="0869559A" w14:textId="77777777" w:rsidR="0033281D" w:rsidRDefault="0033281D" w:rsidP="002C370D"/>
    <w:p w14:paraId="4C05A353" w14:textId="77777777" w:rsidR="005A64FA" w:rsidRDefault="005A64FA" w:rsidP="002C370D"/>
    <w:p w14:paraId="0F5791B4" w14:textId="77777777" w:rsidR="00733758" w:rsidRDefault="00733758" w:rsidP="002C370D">
      <w:pPr>
        <w:sectPr w:rsidR="00733758" w:rsidSect="00E34F8E">
          <w:headerReference w:type="even" r:id="rId15"/>
          <w:headerReference w:type="default" r:id="rId16"/>
          <w:headerReference w:type="first" r:id="rId17"/>
          <w:footerReference w:type="first" r:id="rId18"/>
          <w:pgSz w:w="12240" w:h="15840" w:code="1"/>
          <w:pgMar w:top="720" w:right="1440" w:bottom="720" w:left="1440" w:header="288" w:footer="288" w:gutter="0"/>
          <w:pgNumType w:fmt="lowerRoman" w:start="1"/>
          <w:cols w:space="720"/>
          <w:titlePg/>
        </w:sectPr>
      </w:pPr>
    </w:p>
    <w:p w14:paraId="21C872D6" w14:textId="77777777" w:rsidR="00CF0B52" w:rsidRDefault="00CF0B52">
      <w:pPr>
        <w:pStyle w:val="TOC1"/>
        <w:rPr>
          <w:b w:val="0"/>
        </w:rPr>
      </w:pPr>
    </w:p>
    <w:p w14:paraId="61AEDF55" w14:textId="40D9C662" w:rsidR="00CF0B52" w:rsidRDefault="00F23A69">
      <w:pPr>
        <w:pStyle w:val="TOC1"/>
        <w:rPr>
          <w:rFonts w:eastAsiaTheme="minorEastAsia" w:cstheme="minorBidi"/>
          <w:b w:val="0"/>
          <w:noProof/>
          <w:color w:val="auto"/>
          <w:szCs w:val="22"/>
        </w:rPr>
      </w:pPr>
      <w:r>
        <w:rPr>
          <w:b w:val="0"/>
        </w:rPr>
        <w:fldChar w:fldCharType="begin"/>
      </w:r>
      <w:r>
        <w:rPr>
          <w:b w:val="0"/>
        </w:rPr>
        <w:instrText xml:space="preserve"> TOC \o "1-5" \h \z \u </w:instrText>
      </w:r>
      <w:r>
        <w:rPr>
          <w:b w:val="0"/>
        </w:rPr>
        <w:fldChar w:fldCharType="separate"/>
      </w:r>
      <w:hyperlink w:anchor="_Toc117719771" w:history="1">
        <w:r w:rsidR="00CF0B52" w:rsidRPr="002077C3">
          <w:rPr>
            <w:rStyle w:val="Hyperlink"/>
            <w:noProof/>
          </w:rPr>
          <w:t>1.0 Introduction</w:t>
        </w:r>
        <w:r w:rsidR="00CF0B52">
          <w:rPr>
            <w:noProof/>
            <w:webHidden/>
          </w:rPr>
          <w:tab/>
        </w:r>
        <w:r w:rsidR="00CF0B52">
          <w:rPr>
            <w:noProof/>
            <w:webHidden/>
          </w:rPr>
          <w:fldChar w:fldCharType="begin"/>
        </w:r>
        <w:r w:rsidR="00CF0B52">
          <w:rPr>
            <w:noProof/>
            <w:webHidden/>
          </w:rPr>
          <w:instrText xml:space="preserve"> PAGEREF _Toc117719771 \h </w:instrText>
        </w:r>
        <w:r w:rsidR="00CF0B52">
          <w:rPr>
            <w:noProof/>
            <w:webHidden/>
          </w:rPr>
        </w:r>
        <w:r w:rsidR="00CF0B52">
          <w:rPr>
            <w:noProof/>
            <w:webHidden/>
          </w:rPr>
          <w:fldChar w:fldCharType="separate"/>
        </w:r>
        <w:r w:rsidR="00B65193">
          <w:rPr>
            <w:noProof/>
            <w:webHidden/>
          </w:rPr>
          <w:t>1</w:t>
        </w:r>
        <w:r w:rsidR="00CF0B52">
          <w:rPr>
            <w:noProof/>
            <w:webHidden/>
          </w:rPr>
          <w:fldChar w:fldCharType="end"/>
        </w:r>
      </w:hyperlink>
    </w:p>
    <w:p w14:paraId="0CBAB55F" w14:textId="3000F0A6" w:rsidR="00CF0B52" w:rsidRDefault="00C06F2F">
      <w:pPr>
        <w:pStyle w:val="TOC2"/>
        <w:rPr>
          <w:rFonts w:eastAsiaTheme="minorEastAsia" w:cstheme="minorBidi"/>
          <w:noProof/>
          <w:szCs w:val="22"/>
        </w:rPr>
      </w:pPr>
      <w:hyperlink w:anchor="_Toc117719772" w:history="1">
        <w:r w:rsidR="00CF0B52" w:rsidRPr="002077C3">
          <w:rPr>
            <w:rStyle w:val="Hyperlink"/>
            <w:noProof/>
          </w:rPr>
          <w:t>1.1 Purpose and Report Organization</w:t>
        </w:r>
        <w:r w:rsidR="00CF0B52">
          <w:rPr>
            <w:noProof/>
            <w:webHidden/>
          </w:rPr>
          <w:tab/>
        </w:r>
        <w:r w:rsidR="00CF0B52">
          <w:rPr>
            <w:noProof/>
            <w:webHidden/>
          </w:rPr>
          <w:fldChar w:fldCharType="begin"/>
        </w:r>
        <w:r w:rsidR="00CF0B52">
          <w:rPr>
            <w:noProof/>
            <w:webHidden/>
          </w:rPr>
          <w:instrText xml:space="preserve"> PAGEREF _Toc117719772 \h </w:instrText>
        </w:r>
        <w:r w:rsidR="00CF0B52">
          <w:rPr>
            <w:noProof/>
            <w:webHidden/>
          </w:rPr>
        </w:r>
        <w:r w:rsidR="00CF0B52">
          <w:rPr>
            <w:noProof/>
            <w:webHidden/>
          </w:rPr>
          <w:fldChar w:fldCharType="separate"/>
        </w:r>
        <w:r w:rsidR="00B65193">
          <w:rPr>
            <w:noProof/>
            <w:webHidden/>
          </w:rPr>
          <w:t>1</w:t>
        </w:r>
        <w:r w:rsidR="00CF0B52">
          <w:rPr>
            <w:noProof/>
            <w:webHidden/>
          </w:rPr>
          <w:fldChar w:fldCharType="end"/>
        </w:r>
      </w:hyperlink>
    </w:p>
    <w:p w14:paraId="71CCA9CB" w14:textId="7F13AFDE" w:rsidR="00CF0B52" w:rsidRDefault="00C06F2F">
      <w:pPr>
        <w:pStyle w:val="TOC2"/>
        <w:rPr>
          <w:rFonts w:eastAsiaTheme="minorEastAsia" w:cstheme="minorBidi"/>
          <w:noProof/>
          <w:szCs w:val="22"/>
        </w:rPr>
      </w:pPr>
      <w:hyperlink w:anchor="_Toc117719773" w:history="1">
        <w:r w:rsidR="00CF0B52" w:rsidRPr="002077C3">
          <w:rPr>
            <w:rStyle w:val="Hyperlink"/>
            <w:noProof/>
          </w:rPr>
          <w:t>1.2 Santa Ana River Watershed Location</w:t>
        </w:r>
        <w:r w:rsidR="00CF0B52">
          <w:rPr>
            <w:noProof/>
            <w:webHidden/>
          </w:rPr>
          <w:tab/>
        </w:r>
        <w:r w:rsidR="00CF0B52">
          <w:rPr>
            <w:noProof/>
            <w:webHidden/>
          </w:rPr>
          <w:fldChar w:fldCharType="begin"/>
        </w:r>
        <w:r w:rsidR="00CF0B52">
          <w:rPr>
            <w:noProof/>
            <w:webHidden/>
          </w:rPr>
          <w:instrText xml:space="preserve"> PAGEREF _Toc117719773 \h </w:instrText>
        </w:r>
        <w:r w:rsidR="00CF0B52">
          <w:rPr>
            <w:noProof/>
            <w:webHidden/>
          </w:rPr>
        </w:r>
        <w:r w:rsidR="00CF0B52">
          <w:rPr>
            <w:noProof/>
            <w:webHidden/>
          </w:rPr>
          <w:fldChar w:fldCharType="separate"/>
        </w:r>
        <w:r w:rsidR="00B65193">
          <w:rPr>
            <w:noProof/>
            <w:webHidden/>
          </w:rPr>
          <w:t>2</w:t>
        </w:r>
        <w:r w:rsidR="00CF0B52">
          <w:rPr>
            <w:noProof/>
            <w:webHidden/>
          </w:rPr>
          <w:fldChar w:fldCharType="end"/>
        </w:r>
      </w:hyperlink>
    </w:p>
    <w:p w14:paraId="539AB7FF" w14:textId="35C799E1" w:rsidR="00CF0B52" w:rsidRDefault="00C06F2F">
      <w:pPr>
        <w:pStyle w:val="TOC2"/>
        <w:rPr>
          <w:rFonts w:eastAsiaTheme="minorEastAsia" w:cstheme="minorBidi"/>
          <w:noProof/>
          <w:szCs w:val="22"/>
        </w:rPr>
      </w:pPr>
      <w:hyperlink w:anchor="_Toc117719774" w:history="1">
        <w:r w:rsidR="00CF0B52" w:rsidRPr="002077C3">
          <w:rPr>
            <w:rStyle w:val="Hyperlink"/>
            <w:noProof/>
          </w:rPr>
          <w:t>1.3 Basin Monitoring Program Task Force</w:t>
        </w:r>
        <w:r w:rsidR="00CF0B52">
          <w:rPr>
            <w:noProof/>
            <w:webHidden/>
          </w:rPr>
          <w:tab/>
        </w:r>
        <w:r w:rsidR="00CF0B52">
          <w:rPr>
            <w:noProof/>
            <w:webHidden/>
          </w:rPr>
          <w:fldChar w:fldCharType="begin"/>
        </w:r>
        <w:r w:rsidR="00CF0B52">
          <w:rPr>
            <w:noProof/>
            <w:webHidden/>
          </w:rPr>
          <w:instrText xml:space="preserve"> PAGEREF _Toc117719774 \h </w:instrText>
        </w:r>
        <w:r w:rsidR="00CF0B52">
          <w:rPr>
            <w:noProof/>
            <w:webHidden/>
          </w:rPr>
        </w:r>
        <w:r w:rsidR="00CF0B52">
          <w:rPr>
            <w:noProof/>
            <w:webHidden/>
          </w:rPr>
          <w:fldChar w:fldCharType="separate"/>
        </w:r>
        <w:r w:rsidR="00B65193">
          <w:rPr>
            <w:noProof/>
            <w:webHidden/>
          </w:rPr>
          <w:t>4</w:t>
        </w:r>
        <w:r w:rsidR="00CF0B52">
          <w:rPr>
            <w:noProof/>
            <w:webHidden/>
          </w:rPr>
          <w:fldChar w:fldCharType="end"/>
        </w:r>
      </w:hyperlink>
    </w:p>
    <w:p w14:paraId="71919729" w14:textId="22A15D88" w:rsidR="00CF0B52" w:rsidRDefault="00C06F2F">
      <w:pPr>
        <w:pStyle w:val="TOC2"/>
        <w:rPr>
          <w:rFonts w:eastAsiaTheme="minorEastAsia" w:cstheme="minorBidi"/>
          <w:noProof/>
          <w:szCs w:val="22"/>
        </w:rPr>
      </w:pPr>
      <w:hyperlink w:anchor="_Toc117719775" w:history="1">
        <w:r w:rsidR="00CF0B52" w:rsidRPr="002077C3">
          <w:rPr>
            <w:rStyle w:val="Hyperlink"/>
            <w:noProof/>
          </w:rPr>
          <w:t>1.4 Regulatory Setting</w:t>
        </w:r>
        <w:r w:rsidR="00CF0B52">
          <w:rPr>
            <w:noProof/>
            <w:webHidden/>
          </w:rPr>
          <w:tab/>
        </w:r>
        <w:r w:rsidR="00CF0B52">
          <w:rPr>
            <w:noProof/>
            <w:webHidden/>
          </w:rPr>
          <w:fldChar w:fldCharType="begin"/>
        </w:r>
        <w:r w:rsidR="00CF0B52">
          <w:rPr>
            <w:noProof/>
            <w:webHidden/>
          </w:rPr>
          <w:instrText xml:space="preserve"> PAGEREF _Toc117719775 \h </w:instrText>
        </w:r>
        <w:r w:rsidR="00CF0B52">
          <w:rPr>
            <w:noProof/>
            <w:webHidden/>
          </w:rPr>
        </w:r>
        <w:r w:rsidR="00CF0B52">
          <w:rPr>
            <w:noProof/>
            <w:webHidden/>
          </w:rPr>
          <w:fldChar w:fldCharType="separate"/>
        </w:r>
        <w:r w:rsidR="00B65193">
          <w:rPr>
            <w:noProof/>
            <w:webHidden/>
          </w:rPr>
          <w:t>5</w:t>
        </w:r>
        <w:r w:rsidR="00CF0B52">
          <w:rPr>
            <w:noProof/>
            <w:webHidden/>
          </w:rPr>
          <w:fldChar w:fldCharType="end"/>
        </w:r>
      </w:hyperlink>
    </w:p>
    <w:p w14:paraId="796104D0" w14:textId="18FB256F" w:rsidR="00CF0B52" w:rsidRDefault="00C06F2F">
      <w:pPr>
        <w:pStyle w:val="TOC3"/>
        <w:rPr>
          <w:rFonts w:eastAsiaTheme="minorEastAsia" w:cstheme="minorBidi"/>
          <w:noProof/>
          <w:szCs w:val="22"/>
        </w:rPr>
      </w:pPr>
      <w:hyperlink w:anchor="_Toc117719776" w:history="1">
        <w:r w:rsidR="00CF0B52" w:rsidRPr="002077C3">
          <w:rPr>
            <w:rStyle w:val="Hyperlink"/>
            <w:noProof/>
          </w:rPr>
          <w:t>1.4.1 Basin Plan SNMP</w:t>
        </w:r>
        <w:r w:rsidR="00CF0B52">
          <w:rPr>
            <w:noProof/>
            <w:webHidden/>
          </w:rPr>
          <w:tab/>
        </w:r>
        <w:r w:rsidR="00CF0B52">
          <w:rPr>
            <w:noProof/>
            <w:webHidden/>
          </w:rPr>
          <w:fldChar w:fldCharType="begin"/>
        </w:r>
        <w:r w:rsidR="00CF0B52">
          <w:rPr>
            <w:noProof/>
            <w:webHidden/>
          </w:rPr>
          <w:instrText xml:space="preserve"> PAGEREF _Toc117719776 \h </w:instrText>
        </w:r>
        <w:r w:rsidR="00CF0B52">
          <w:rPr>
            <w:noProof/>
            <w:webHidden/>
          </w:rPr>
        </w:r>
        <w:r w:rsidR="00CF0B52">
          <w:rPr>
            <w:noProof/>
            <w:webHidden/>
          </w:rPr>
          <w:fldChar w:fldCharType="separate"/>
        </w:r>
        <w:r w:rsidR="00B65193">
          <w:rPr>
            <w:noProof/>
            <w:webHidden/>
          </w:rPr>
          <w:t>5</w:t>
        </w:r>
        <w:r w:rsidR="00CF0B52">
          <w:rPr>
            <w:noProof/>
            <w:webHidden/>
          </w:rPr>
          <w:fldChar w:fldCharType="end"/>
        </w:r>
      </w:hyperlink>
    </w:p>
    <w:p w14:paraId="1A02A8C2" w14:textId="73E98182" w:rsidR="00CF0B52" w:rsidRDefault="00C06F2F">
      <w:pPr>
        <w:pStyle w:val="TOC3"/>
        <w:rPr>
          <w:rFonts w:eastAsiaTheme="minorEastAsia" w:cstheme="minorBidi"/>
          <w:noProof/>
          <w:szCs w:val="22"/>
        </w:rPr>
      </w:pPr>
      <w:hyperlink w:anchor="_Toc117719777" w:history="1">
        <w:r w:rsidR="00CF0B52" w:rsidRPr="002077C3">
          <w:rPr>
            <w:rStyle w:val="Hyperlink"/>
            <w:noProof/>
          </w:rPr>
          <w:t>1.4.2 Recycled Water Policy and Declaration of Conformance</w:t>
        </w:r>
        <w:r w:rsidR="00CF0B52">
          <w:rPr>
            <w:noProof/>
            <w:webHidden/>
          </w:rPr>
          <w:tab/>
        </w:r>
        <w:r w:rsidR="00CF0B52">
          <w:rPr>
            <w:noProof/>
            <w:webHidden/>
          </w:rPr>
          <w:fldChar w:fldCharType="begin"/>
        </w:r>
        <w:r w:rsidR="00CF0B52">
          <w:rPr>
            <w:noProof/>
            <w:webHidden/>
          </w:rPr>
          <w:instrText xml:space="preserve"> PAGEREF _Toc117719777 \h </w:instrText>
        </w:r>
        <w:r w:rsidR="00CF0B52">
          <w:rPr>
            <w:noProof/>
            <w:webHidden/>
          </w:rPr>
        </w:r>
        <w:r w:rsidR="00CF0B52">
          <w:rPr>
            <w:noProof/>
            <w:webHidden/>
          </w:rPr>
          <w:fldChar w:fldCharType="separate"/>
        </w:r>
        <w:r w:rsidR="00B65193">
          <w:rPr>
            <w:noProof/>
            <w:webHidden/>
          </w:rPr>
          <w:t>6</w:t>
        </w:r>
        <w:r w:rsidR="00CF0B52">
          <w:rPr>
            <w:noProof/>
            <w:webHidden/>
          </w:rPr>
          <w:fldChar w:fldCharType="end"/>
        </w:r>
      </w:hyperlink>
    </w:p>
    <w:p w14:paraId="7310E46E" w14:textId="6ED8F908" w:rsidR="00CF0B52" w:rsidRDefault="00C06F2F">
      <w:pPr>
        <w:pStyle w:val="TOC4"/>
        <w:rPr>
          <w:rFonts w:eastAsiaTheme="minorEastAsia" w:cstheme="minorBidi"/>
          <w:noProof/>
          <w:szCs w:val="22"/>
        </w:rPr>
      </w:pPr>
      <w:hyperlink w:anchor="_Toc117719778" w:history="1">
        <w:r w:rsidR="00CF0B52" w:rsidRPr="002077C3">
          <w:rPr>
            <w:rStyle w:val="Hyperlink"/>
            <w:noProof/>
          </w:rPr>
          <w:t>1.4.2.1 2019 Recycled Water Policy</w:t>
        </w:r>
        <w:r w:rsidR="00CF0B52">
          <w:rPr>
            <w:noProof/>
            <w:webHidden/>
          </w:rPr>
          <w:tab/>
        </w:r>
        <w:r w:rsidR="00CF0B52">
          <w:rPr>
            <w:noProof/>
            <w:webHidden/>
          </w:rPr>
          <w:fldChar w:fldCharType="begin"/>
        </w:r>
        <w:r w:rsidR="00CF0B52">
          <w:rPr>
            <w:noProof/>
            <w:webHidden/>
          </w:rPr>
          <w:instrText xml:space="preserve"> PAGEREF _Toc117719778 \h </w:instrText>
        </w:r>
        <w:r w:rsidR="00CF0B52">
          <w:rPr>
            <w:noProof/>
            <w:webHidden/>
          </w:rPr>
        </w:r>
        <w:r w:rsidR="00CF0B52">
          <w:rPr>
            <w:noProof/>
            <w:webHidden/>
          </w:rPr>
          <w:fldChar w:fldCharType="separate"/>
        </w:r>
        <w:r w:rsidR="00B65193">
          <w:rPr>
            <w:noProof/>
            <w:webHidden/>
          </w:rPr>
          <w:t>7</w:t>
        </w:r>
        <w:r w:rsidR="00CF0B52">
          <w:rPr>
            <w:noProof/>
            <w:webHidden/>
          </w:rPr>
          <w:fldChar w:fldCharType="end"/>
        </w:r>
      </w:hyperlink>
    </w:p>
    <w:p w14:paraId="6A183483" w14:textId="07EE0384" w:rsidR="00CF0B52" w:rsidRDefault="00C06F2F">
      <w:pPr>
        <w:pStyle w:val="TOC4"/>
        <w:rPr>
          <w:rFonts w:eastAsiaTheme="minorEastAsia" w:cstheme="minorBidi"/>
          <w:noProof/>
          <w:szCs w:val="22"/>
        </w:rPr>
      </w:pPr>
      <w:hyperlink w:anchor="_Toc117719779" w:history="1">
        <w:r w:rsidR="00CF0B52" w:rsidRPr="002077C3">
          <w:rPr>
            <w:rStyle w:val="Hyperlink"/>
            <w:noProof/>
          </w:rPr>
          <w:t>1.4.2.2 2021 Basin Plan Amendment</w:t>
        </w:r>
        <w:r w:rsidR="00CF0B52">
          <w:rPr>
            <w:noProof/>
            <w:webHidden/>
          </w:rPr>
          <w:tab/>
        </w:r>
        <w:r w:rsidR="00CF0B52">
          <w:rPr>
            <w:noProof/>
            <w:webHidden/>
          </w:rPr>
          <w:fldChar w:fldCharType="begin"/>
        </w:r>
        <w:r w:rsidR="00CF0B52">
          <w:rPr>
            <w:noProof/>
            <w:webHidden/>
          </w:rPr>
          <w:instrText xml:space="preserve"> PAGEREF _Toc117719779 \h </w:instrText>
        </w:r>
        <w:r w:rsidR="00CF0B52">
          <w:rPr>
            <w:noProof/>
            <w:webHidden/>
          </w:rPr>
        </w:r>
        <w:r w:rsidR="00CF0B52">
          <w:rPr>
            <w:noProof/>
            <w:webHidden/>
          </w:rPr>
          <w:fldChar w:fldCharType="separate"/>
        </w:r>
        <w:r w:rsidR="00B65193">
          <w:rPr>
            <w:noProof/>
            <w:webHidden/>
          </w:rPr>
          <w:t>8</w:t>
        </w:r>
        <w:r w:rsidR="00CF0B52">
          <w:rPr>
            <w:noProof/>
            <w:webHidden/>
          </w:rPr>
          <w:fldChar w:fldCharType="end"/>
        </w:r>
      </w:hyperlink>
    </w:p>
    <w:p w14:paraId="3DA37CCD" w14:textId="753B0F0A" w:rsidR="00CF0B52" w:rsidRDefault="00C06F2F">
      <w:pPr>
        <w:pStyle w:val="TOC2"/>
        <w:rPr>
          <w:rFonts w:eastAsiaTheme="minorEastAsia" w:cstheme="minorBidi"/>
          <w:noProof/>
          <w:szCs w:val="22"/>
        </w:rPr>
      </w:pPr>
      <w:hyperlink w:anchor="_Toc117719780" w:history="1">
        <w:r w:rsidR="00CF0B52" w:rsidRPr="002077C3">
          <w:rPr>
            <w:rStyle w:val="Hyperlink"/>
            <w:noProof/>
          </w:rPr>
          <w:t>1.5 Groundwater Monitoring Program Update Requirements and Goals</w:t>
        </w:r>
        <w:r w:rsidR="00CF0B52">
          <w:rPr>
            <w:noProof/>
            <w:webHidden/>
          </w:rPr>
          <w:tab/>
        </w:r>
        <w:r w:rsidR="00CF0B52">
          <w:rPr>
            <w:noProof/>
            <w:webHidden/>
          </w:rPr>
          <w:fldChar w:fldCharType="begin"/>
        </w:r>
        <w:r w:rsidR="00CF0B52">
          <w:rPr>
            <w:noProof/>
            <w:webHidden/>
          </w:rPr>
          <w:instrText xml:space="preserve"> PAGEREF _Toc117719780 \h </w:instrText>
        </w:r>
        <w:r w:rsidR="00CF0B52">
          <w:rPr>
            <w:noProof/>
            <w:webHidden/>
          </w:rPr>
        </w:r>
        <w:r w:rsidR="00CF0B52">
          <w:rPr>
            <w:noProof/>
            <w:webHidden/>
          </w:rPr>
          <w:fldChar w:fldCharType="separate"/>
        </w:r>
        <w:r w:rsidR="00B65193">
          <w:rPr>
            <w:noProof/>
            <w:webHidden/>
          </w:rPr>
          <w:t>8</w:t>
        </w:r>
        <w:r w:rsidR="00CF0B52">
          <w:rPr>
            <w:noProof/>
            <w:webHidden/>
          </w:rPr>
          <w:fldChar w:fldCharType="end"/>
        </w:r>
      </w:hyperlink>
    </w:p>
    <w:p w14:paraId="43F79DF0" w14:textId="6978530C" w:rsidR="00CF0B52" w:rsidRDefault="00C06F2F">
      <w:pPr>
        <w:pStyle w:val="TOC3"/>
        <w:rPr>
          <w:rFonts w:eastAsiaTheme="minorEastAsia" w:cstheme="minorBidi"/>
          <w:noProof/>
          <w:szCs w:val="22"/>
        </w:rPr>
      </w:pPr>
      <w:hyperlink w:anchor="_Toc117719781" w:history="1">
        <w:r w:rsidR="00CF0B52" w:rsidRPr="002077C3">
          <w:rPr>
            <w:rStyle w:val="Hyperlink"/>
            <w:noProof/>
          </w:rPr>
          <w:t>1.5.1 2005 GMP</w:t>
        </w:r>
        <w:r w:rsidR="00CF0B52">
          <w:rPr>
            <w:noProof/>
            <w:webHidden/>
          </w:rPr>
          <w:tab/>
        </w:r>
        <w:r w:rsidR="00CF0B52">
          <w:rPr>
            <w:noProof/>
            <w:webHidden/>
          </w:rPr>
          <w:fldChar w:fldCharType="begin"/>
        </w:r>
        <w:r w:rsidR="00CF0B52">
          <w:rPr>
            <w:noProof/>
            <w:webHidden/>
          </w:rPr>
          <w:instrText xml:space="preserve"> PAGEREF _Toc117719781 \h </w:instrText>
        </w:r>
        <w:r w:rsidR="00CF0B52">
          <w:rPr>
            <w:noProof/>
            <w:webHidden/>
          </w:rPr>
        </w:r>
        <w:r w:rsidR="00CF0B52">
          <w:rPr>
            <w:noProof/>
            <w:webHidden/>
          </w:rPr>
          <w:fldChar w:fldCharType="separate"/>
        </w:r>
        <w:r w:rsidR="00B65193">
          <w:rPr>
            <w:noProof/>
            <w:webHidden/>
          </w:rPr>
          <w:t>9</w:t>
        </w:r>
        <w:r w:rsidR="00CF0B52">
          <w:rPr>
            <w:noProof/>
            <w:webHidden/>
          </w:rPr>
          <w:fldChar w:fldCharType="end"/>
        </w:r>
      </w:hyperlink>
    </w:p>
    <w:p w14:paraId="0D72D562" w14:textId="2F3ADEA6" w:rsidR="00CF0B52" w:rsidRDefault="00C06F2F">
      <w:pPr>
        <w:pStyle w:val="TOC3"/>
        <w:rPr>
          <w:rFonts w:eastAsiaTheme="minorEastAsia" w:cstheme="minorBidi"/>
          <w:noProof/>
          <w:szCs w:val="22"/>
        </w:rPr>
      </w:pPr>
      <w:hyperlink w:anchor="_Toc117719782" w:history="1">
        <w:r w:rsidR="00CF0B52" w:rsidRPr="002077C3">
          <w:rPr>
            <w:rStyle w:val="Hyperlink"/>
            <w:noProof/>
          </w:rPr>
          <w:t>1.5.2 2022 GMP Requirements</w:t>
        </w:r>
        <w:r w:rsidR="00CF0B52">
          <w:rPr>
            <w:noProof/>
            <w:webHidden/>
          </w:rPr>
          <w:tab/>
        </w:r>
        <w:r w:rsidR="00CF0B52">
          <w:rPr>
            <w:noProof/>
            <w:webHidden/>
          </w:rPr>
          <w:fldChar w:fldCharType="begin"/>
        </w:r>
        <w:r w:rsidR="00CF0B52">
          <w:rPr>
            <w:noProof/>
            <w:webHidden/>
          </w:rPr>
          <w:instrText xml:space="preserve"> PAGEREF _Toc117719782 \h </w:instrText>
        </w:r>
        <w:r w:rsidR="00CF0B52">
          <w:rPr>
            <w:noProof/>
            <w:webHidden/>
          </w:rPr>
        </w:r>
        <w:r w:rsidR="00CF0B52">
          <w:rPr>
            <w:noProof/>
            <w:webHidden/>
          </w:rPr>
          <w:fldChar w:fldCharType="separate"/>
        </w:r>
        <w:r w:rsidR="00B65193">
          <w:rPr>
            <w:noProof/>
            <w:webHidden/>
          </w:rPr>
          <w:t>9</w:t>
        </w:r>
        <w:r w:rsidR="00CF0B52">
          <w:rPr>
            <w:noProof/>
            <w:webHidden/>
          </w:rPr>
          <w:fldChar w:fldCharType="end"/>
        </w:r>
      </w:hyperlink>
    </w:p>
    <w:p w14:paraId="0970D83D" w14:textId="3A202F8D" w:rsidR="00CF0B52" w:rsidRDefault="00C06F2F">
      <w:pPr>
        <w:pStyle w:val="TOC3"/>
        <w:rPr>
          <w:rFonts w:eastAsiaTheme="minorEastAsia" w:cstheme="minorBidi"/>
          <w:noProof/>
          <w:szCs w:val="22"/>
        </w:rPr>
      </w:pPr>
      <w:hyperlink w:anchor="_Toc117719783" w:history="1">
        <w:r w:rsidR="00CF0B52" w:rsidRPr="002077C3">
          <w:rPr>
            <w:rStyle w:val="Hyperlink"/>
            <w:noProof/>
          </w:rPr>
          <w:t>1.5.3 2022 GMP Goals</w:t>
        </w:r>
        <w:r w:rsidR="00CF0B52">
          <w:rPr>
            <w:noProof/>
            <w:webHidden/>
          </w:rPr>
          <w:tab/>
        </w:r>
        <w:r w:rsidR="00CF0B52">
          <w:rPr>
            <w:noProof/>
            <w:webHidden/>
          </w:rPr>
          <w:fldChar w:fldCharType="begin"/>
        </w:r>
        <w:r w:rsidR="00CF0B52">
          <w:rPr>
            <w:noProof/>
            <w:webHidden/>
          </w:rPr>
          <w:instrText xml:space="preserve"> PAGEREF _Toc117719783 \h </w:instrText>
        </w:r>
        <w:r w:rsidR="00CF0B52">
          <w:rPr>
            <w:noProof/>
            <w:webHidden/>
          </w:rPr>
        </w:r>
        <w:r w:rsidR="00CF0B52">
          <w:rPr>
            <w:noProof/>
            <w:webHidden/>
          </w:rPr>
          <w:fldChar w:fldCharType="separate"/>
        </w:r>
        <w:r w:rsidR="00B65193">
          <w:rPr>
            <w:noProof/>
            <w:webHidden/>
          </w:rPr>
          <w:t>12</w:t>
        </w:r>
        <w:r w:rsidR="00CF0B52">
          <w:rPr>
            <w:noProof/>
            <w:webHidden/>
          </w:rPr>
          <w:fldChar w:fldCharType="end"/>
        </w:r>
      </w:hyperlink>
    </w:p>
    <w:p w14:paraId="49244226" w14:textId="77F4E0B4" w:rsidR="00CF0B52" w:rsidRDefault="00C06F2F">
      <w:pPr>
        <w:pStyle w:val="TOC1"/>
        <w:rPr>
          <w:rFonts w:eastAsiaTheme="minorEastAsia" w:cstheme="minorBidi"/>
          <w:b w:val="0"/>
          <w:noProof/>
          <w:color w:val="auto"/>
          <w:szCs w:val="22"/>
        </w:rPr>
      </w:pPr>
      <w:hyperlink w:anchor="_Toc117719784" w:history="1">
        <w:r w:rsidR="00CF0B52" w:rsidRPr="002077C3">
          <w:rPr>
            <w:rStyle w:val="Hyperlink"/>
            <w:noProof/>
          </w:rPr>
          <w:t>2.0 Groundwater Monitoring Program Review</w:t>
        </w:r>
        <w:r w:rsidR="00CF0B52">
          <w:rPr>
            <w:noProof/>
            <w:webHidden/>
          </w:rPr>
          <w:tab/>
        </w:r>
        <w:r w:rsidR="00CF0B52">
          <w:rPr>
            <w:noProof/>
            <w:webHidden/>
          </w:rPr>
          <w:fldChar w:fldCharType="begin"/>
        </w:r>
        <w:r w:rsidR="00CF0B52">
          <w:rPr>
            <w:noProof/>
            <w:webHidden/>
          </w:rPr>
          <w:instrText xml:space="preserve"> PAGEREF _Toc117719784 \h </w:instrText>
        </w:r>
        <w:r w:rsidR="00CF0B52">
          <w:rPr>
            <w:noProof/>
            <w:webHidden/>
          </w:rPr>
        </w:r>
        <w:r w:rsidR="00CF0B52">
          <w:rPr>
            <w:noProof/>
            <w:webHidden/>
          </w:rPr>
          <w:fldChar w:fldCharType="separate"/>
        </w:r>
        <w:r w:rsidR="00B65193">
          <w:rPr>
            <w:noProof/>
            <w:webHidden/>
          </w:rPr>
          <w:t>14</w:t>
        </w:r>
        <w:r w:rsidR="00CF0B52">
          <w:rPr>
            <w:noProof/>
            <w:webHidden/>
          </w:rPr>
          <w:fldChar w:fldCharType="end"/>
        </w:r>
      </w:hyperlink>
    </w:p>
    <w:p w14:paraId="0F0A892B" w14:textId="01905EF8" w:rsidR="00CF0B52" w:rsidRDefault="00C06F2F">
      <w:pPr>
        <w:pStyle w:val="TOC2"/>
        <w:rPr>
          <w:rFonts w:eastAsiaTheme="minorEastAsia" w:cstheme="minorBidi"/>
          <w:noProof/>
          <w:szCs w:val="22"/>
        </w:rPr>
      </w:pPr>
      <w:hyperlink w:anchor="_Toc117719785" w:history="1">
        <w:r w:rsidR="00CF0B52" w:rsidRPr="002077C3">
          <w:rPr>
            <w:rStyle w:val="Hyperlink"/>
            <w:noProof/>
          </w:rPr>
          <w:t>2.1 Approach to Obtain Task Force Input</w:t>
        </w:r>
        <w:r w:rsidR="00CF0B52">
          <w:rPr>
            <w:noProof/>
            <w:webHidden/>
          </w:rPr>
          <w:tab/>
        </w:r>
        <w:r w:rsidR="00CF0B52">
          <w:rPr>
            <w:noProof/>
            <w:webHidden/>
          </w:rPr>
          <w:fldChar w:fldCharType="begin"/>
        </w:r>
        <w:r w:rsidR="00CF0B52">
          <w:rPr>
            <w:noProof/>
            <w:webHidden/>
          </w:rPr>
          <w:instrText xml:space="preserve"> PAGEREF _Toc117719785 \h </w:instrText>
        </w:r>
        <w:r w:rsidR="00CF0B52">
          <w:rPr>
            <w:noProof/>
            <w:webHidden/>
          </w:rPr>
        </w:r>
        <w:r w:rsidR="00CF0B52">
          <w:rPr>
            <w:noProof/>
            <w:webHidden/>
          </w:rPr>
          <w:fldChar w:fldCharType="separate"/>
        </w:r>
        <w:r w:rsidR="00B65193">
          <w:rPr>
            <w:noProof/>
            <w:webHidden/>
          </w:rPr>
          <w:t>14</w:t>
        </w:r>
        <w:r w:rsidR="00CF0B52">
          <w:rPr>
            <w:noProof/>
            <w:webHidden/>
          </w:rPr>
          <w:fldChar w:fldCharType="end"/>
        </w:r>
      </w:hyperlink>
    </w:p>
    <w:p w14:paraId="223CF689" w14:textId="53217CFB" w:rsidR="00CF0B52" w:rsidRDefault="00C06F2F">
      <w:pPr>
        <w:pStyle w:val="TOC2"/>
        <w:rPr>
          <w:rFonts w:eastAsiaTheme="minorEastAsia" w:cstheme="minorBidi"/>
          <w:noProof/>
          <w:szCs w:val="22"/>
        </w:rPr>
      </w:pPr>
      <w:hyperlink w:anchor="_Toc117719786" w:history="1">
        <w:r w:rsidR="00CF0B52" w:rsidRPr="002077C3">
          <w:rPr>
            <w:rStyle w:val="Hyperlink"/>
            <w:noProof/>
          </w:rPr>
          <w:t>2.2 Data Collection, Review, and Analysis to Support 2022 GMP Update</w:t>
        </w:r>
        <w:r w:rsidR="00CF0B52">
          <w:rPr>
            <w:noProof/>
            <w:webHidden/>
          </w:rPr>
          <w:tab/>
        </w:r>
        <w:r w:rsidR="00CF0B52">
          <w:rPr>
            <w:noProof/>
            <w:webHidden/>
          </w:rPr>
          <w:fldChar w:fldCharType="begin"/>
        </w:r>
        <w:r w:rsidR="00CF0B52">
          <w:rPr>
            <w:noProof/>
            <w:webHidden/>
          </w:rPr>
          <w:instrText xml:space="preserve"> PAGEREF _Toc117719786 \h </w:instrText>
        </w:r>
        <w:r w:rsidR="00CF0B52">
          <w:rPr>
            <w:noProof/>
            <w:webHidden/>
          </w:rPr>
        </w:r>
        <w:r w:rsidR="00CF0B52">
          <w:rPr>
            <w:noProof/>
            <w:webHidden/>
          </w:rPr>
          <w:fldChar w:fldCharType="separate"/>
        </w:r>
        <w:r w:rsidR="00B65193">
          <w:rPr>
            <w:noProof/>
            <w:webHidden/>
          </w:rPr>
          <w:t>16</w:t>
        </w:r>
        <w:r w:rsidR="00CF0B52">
          <w:rPr>
            <w:noProof/>
            <w:webHidden/>
          </w:rPr>
          <w:fldChar w:fldCharType="end"/>
        </w:r>
      </w:hyperlink>
    </w:p>
    <w:p w14:paraId="17CABD4A" w14:textId="7D93EB59" w:rsidR="00CF0B52" w:rsidRDefault="00C06F2F">
      <w:pPr>
        <w:pStyle w:val="TOC2"/>
        <w:rPr>
          <w:rFonts w:eastAsiaTheme="minorEastAsia" w:cstheme="minorBidi"/>
          <w:noProof/>
          <w:szCs w:val="22"/>
        </w:rPr>
      </w:pPr>
      <w:hyperlink w:anchor="_Toc117719787" w:history="1">
        <w:r w:rsidR="00CF0B52" w:rsidRPr="002077C3">
          <w:rPr>
            <w:rStyle w:val="Hyperlink"/>
            <w:noProof/>
          </w:rPr>
          <w:t>2.3 Summary of Lessons Learned</w:t>
        </w:r>
        <w:r w:rsidR="00CF0B52">
          <w:rPr>
            <w:noProof/>
            <w:webHidden/>
          </w:rPr>
          <w:tab/>
        </w:r>
        <w:r w:rsidR="00CF0B52">
          <w:rPr>
            <w:noProof/>
            <w:webHidden/>
          </w:rPr>
          <w:fldChar w:fldCharType="begin"/>
        </w:r>
        <w:r w:rsidR="00CF0B52">
          <w:rPr>
            <w:noProof/>
            <w:webHidden/>
          </w:rPr>
          <w:instrText xml:space="preserve"> PAGEREF _Toc117719787 \h </w:instrText>
        </w:r>
        <w:r w:rsidR="00CF0B52">
          <w:rPr>
            <w:noProof/>
            <w:webHidden/>
          </w:rPr>
        </w:r>
        <w:r w:rsidR="00CF0B52">
          <w:rPr>
            <w:noProof/>
            <w:webHidden/>
          </w:rPr>
          <w:fldChar w:fldCharType="separate"/>
        </w:r>
        <w:r w:rsidR="00B65193">
          <w:rPr>
            <w:noProof/>
            <w:webHidden/>
          </w:rPr>
          <w:t>17</w:t>
        </w:r>
        <w:r w:rsidR="00CF0B52">
          <w:rPr>
            <w:noProof/>
            <w:webHidden/>
          </w:rPr>
          <w:fldChar w:fldCharType="end"/>
        </w:r>
      </w:hyperlink>
    </w:p>
    <w:p w14:paraId="57CC795A" w14:textId="0F260567" w:rsidR="00CF0B52" w:rsidRDefault="00C06F2F">
      <w:pPr>
        <w:pStyle w:val="TOC3"/>
        <w:rPr>
          <w:rFonts w:eastAsiaTheme="minorEastAsia" w:cstheme="minorBidi"/>
          <w:noProof/>
          <w:szCs w:val="22"/>
        </w:rPr>
      </w:pPr>
      <w:hyperlink w:anchor="_Toc117719788" w:history="1">
        <w:r w:rsidR="00CF0B52" w:rsidRPr="002077C3">
          <w:rPr>
            <w:rStyle w:val="Hyperlink"/>
            <w:noProof/>
          </w:rPr>
          <w:t>2.3.1 Regulatory Framework and AWQ Method</w:t>
        </w:r>
        <w:r w:rsidR="00CF0B52">
          <w:rPr>
            <w:noProof/>
            <w:webHidden/>
          </w:rPr>
          <w:tab/>
        </w:r>
        <w:r w:rsidR="00CF0B52">
          <w:rPr>
            <w:noProof/>
            <w:webHidden/>
          </w:rPr>
          <w:fldChar w:fldCharType="begin"/>
        </w:r>
        <w:r w:rsidR="00CF0B52">
          <w:rPr>
            <w:noProof/>
            <w:webHidden/>
          </w:rPr>
          <w:instrText xml:space="preserve"> PAGEREF _Toc117719788 \h </w:instrText>
        </w:r>
        <w:r w:rsidR="00CF0B52">
          <w:rPr>
            <w:noProof/>
            <w:webHidden/>
          </w:rPr>
          <w:fldChar w:fldCharType="separate"/>
        </w:r>
        <w:r w:rsidR="00B65193">
          <w:rPr>
            <w:b/>
            <w:bCs/>
            <w:noProof/>
            <w:webHidden/>
          </w:rPr>
          <w:t>Error! Bookmark not defined.</w:t>
        </w:r>
        <w:r w:rsidR="00CF0B52">
          <w:rPr>
            <w:noProof/>
            <w:webHidden/>
          </w:rPr>
          <w:fldChar w:fldCharType="end"/>
        </w:r>
      </w:hyperlink>
    </w:p>
    <w:p w14:paraId="5A5857BF" w14:textId="6F4B671D" w:rsidR="00CF0B52" w:rsidRDefault="00C06F2F">
      <w:pPr>
        <w:pStyle w:val="TOC3"/>
        <w:rPr>
          <w:rFonts w:eastAsiaTheme="minorEastAsia" w:cstheme="minorBidi"/>
          <w:noProof/>
          <w:szCs w:val="22"/>
        </w:rPr>
      </w:pPr>
      <w:hyperlink w:anchor="_Toc117719789" w:history="1">
        <w:r w:rsidR="00CF0B52" w:rsidRPr="002077C3">
          <w:rPr>
            <w:rStyle w:val="Hyperlink"/>
            <w:noProof/>
          </w:rPr>
          <w:t>2.3.2 Summary of Ambient Water Quality Findings to Date</w:t>
        </w:r>
        <w:r w:rsidR="00CF0B52">
          <w:rPr>
            <w:noProof/>
            <w:webHidden/>
          </w:rPr>
          <w:tab/>
        </w:r>
        <w:r w:rsidR="00CF0B52">
          <w:rPr>
            <w:noProof/>
            <w:webHidden/>
          </w:rPr>
          <w:fldChar w:fldCharType="begin"/>
        </w:r>
        <w:r w:rsidR="00CF0B52">
          <w:rPr>
            <w:noProof/>
            <w:webHidden/>
          </w:rPr>
          <w:instrText xml:space="preserve"> PAGEREF _Toc117719789 \h </w:instrText>
        </w:r>
        <w:r w:rsidR="00CF0B52">
          <w:rPr>
            <w:noProof/>
            <w:webHidden/>
          </w:rPr>
          <w:fldChar w:fldCharType="separate"/>
        </w:r>
        <w:r w:rsidR="00B65193">
          <w:rPr>
            <w:b/>
            <w:bCs/>
            <w:noProof/>
            <w:webHidden/>
          </w:rPr>
          <w:t>Error! Bookmark not defined.</w:t>
        </w:r>
        <w:r w:rsidR="00CF0B52">
          <w:rPr>
            <w:noProof/>
            <w:webHidden/>
          </w:rPr>
          <w:fldChar w:fldCharType="end"/>
        </w:r>
      </w:hyperlink>
    </w:p>
    <w:p w14:paraId="0A2B235D" w14:textId="05FD5469" w:rsidR="00CF0B52" w:rsidRDefault="00C06F2F">
      <w:pPr>
        <w:pStyle w:val="TOC3"/>
        <w:rPr>
          <w:rFonts w:eastAsiaTheme="minorEastAsia" w:cstheme="minorBidi"/>
          <w:noProof/>
          <w:szCs w:val="22"/>
        </w:rPr>
      </w:pPr>
      <w:hyperlink w:anchor="_Toc117719790" w:history="1">
        <w:r w:rsidR="00CF0B52" w:rsidRPr="002077C3">
          <w:rPr>
            <w:rStyle w:val="Hyperlink"/>
            <w:noProof/>
          </w:rPr>
          <w:t>2.3.3 Regulatory Framework/Objective</w:t>
        </w:r>
        <w:r w:rsidR="00CF0B52">
          <w:rPr>
            <w:noProof/>
            <w:webHidden/>
          </w:rPr>
          <w:tab/>
        </w:r>
        <w:r w:rsidR="00CF0B52">
          <w:rPr>
            <w:noProof/>
            <w:webHidden/>
          </w:rPr>
          <w:fldChar w:fldCharType="begin"/>
        </w:r>
        <w:r w:rsidR="00CF0B52">
          <w:rPr>
            <w:noProof/>
            <w:webHidden/>
          </w:rPr>
          <w:instrText xml:space="preserve"> PAGEREF _Toc117719790 \h </w:instrText>
        </w:r>
        <w:r w:rsidR="00CF0B52">
          <w:rPr>
            <w:noProof/>
            <w:webHidden/>
          </w:rPr>
          <w:fldChar w:fldCharType="separate"/>
        </w:r>
        <w:r w:rsidR="00B65193">
          <w:rPr>
            <w:b/>
            <w:bCs/>
            <w:noProof/>
            <w:webHidden/>
          </w:rPr>
          <w:t>Error! Bookmark not defined.</w:t>
        </w:r>
        <w:r w:rsidR="00CF0B52">
          <w:rPr>
            <w:noProof/>
            <w:webHidden/>
          </w:rPr>
          <w:fldChar w:fldCharType="end"/>
        </w:r>
      </w:hyperlink>
    </w:p>
    <w:p w14:paraId="33F86C9F" w14:textId="153C9CA9" w:rsidR="00CF0B52" w:rsidRDefault="00C06F2F">
      <w:pPr>
        <w:pStyle w:val="TOC2"/>
        <w:rPr>
          <w:rFonts w:eastAsiaTheme="minorEastAsia" w:cstheme="minorBidi"/>
          <w:noProof/>
          <w:szCs w:val="22"/>
        </w:rPr>
      </w:pPr>
      <w:hyperlink w:anchor="_Toc117719791" w:history="1">
        <w:r w:rsidR="00CF0B52" w:rsidRPr="002077C3">
          <w:rPr>
            <w:rStyle w:val="Hyperlink"/>
            <w:noProof/>
          </w:rPr>
          <w:t>2.4 Groundwater Monitoring Network Evaluation – Stakeholder Input and Feedback</w:t>
        </w:r>
        <w:r w:rsidR="00CF0B52">
          <w:rPr>
            <w:noProof/>
            <w:webHidden/>
          </w:rPr>
          <w:tab/>
        </w:r>
        <w:r w:rsidR="00CF0B52">
          <w:rPr>
            <w:noProof/>
            <w:webHidden/>
          </w:rPr>
          <w:fldChar w:fldCharType="begin"/>
        </w:r>
        <w:r w:rsidR="00CF0B52">
          <w:rPr>
            <w:noProof/>
            <w:webHidden/>
          </w:rPr>
          <w:instrText xml:space="preserve"> PAGEREF _Toc117719791 \h </w:instrText>
        </w:r>
        <w:r w:rsidR="00CF0B52">
          <w:rPr>
            <w:noProof/>
            <w:webHidden/>
          </w:rPr>
        </w:r>
        <w:r w:rsidR="00CF0B52">
          <w:rPr>
            <w:noProof/>
            <w:webHidden/>
          </w:rPr>
          <w:fldChar w:fldCharType="separate"/>
        </w:r>
        <w:r w:rsidR="00B65193">
          <w:rPr>
            <w:noProof/>
            <w:webHidden/>
          </w:rPr>
          <w:t>22</w:t>
        </w:r>
        <w:r w:rsidR="00CF0B52">
          <w:rPr>
            <w:noProof/>
            <w:webHidden/>
          </w:rPr>
          <w:fldChar w:fldCharType="end"/>
        </w:r>
      </w:hyperlink>
    </w:p>
    <w:p w14:paraId="5C6BCE53" w14:textId="6BF86E71" w:rsidR="00CF0B52" w:rsidRDefault="00C06F2F">
      <w:pPr>
        <w:pStyle w:val="TOC1"/>
        <w:rPr>
          <w:rFonts w:eastAsiaTheme="minorEastAsia" w:cstheme="minorBidi"/>
          <w:b w:val="0"/>
          <w:noProof/>
          <w:color w:val="auto"/>
          <w:szCs w:val="22"/>
        </w:rPr>
      </w:pPr>
      <w:hyperlink w:anchor="_Toc117719792" w:history="1">
        <w:r w:rsidR="00CF0B52" w:rsidRPr="002077C3">
          <w:rPr>
            <w:rStyle w:val="Hyperlink"/>
            <w:noProof/>
          </w:rPr>
          <w:t>3.0 Groundwater Management Zone Monitoring NetworkS and Potential Data Gaps</w:t>
        </w:r>
        <w:r w:rsidR="00CF0B52">
          <w:rPr>
            <w:noProof/>
            <w:webHidden/>
          </w:rPr>
          <w:tab/>
        </w:r>
        <w:r w:rsidR="00CF0B52">
          <w:rPr>
            <w:noProof/>
            <w:webHidden/>
          </w:rPr>
          <w:fldChar w:fldCharType="begin"/>
        </w:r>
        <w:r w:rsidR="00CF0B52">
          <w:rPr>
            <w:noProof/>
            <w:webHidden/>
          </w:rPr>
          <w:instrText xml:space="preserve"> PAGEREF _Toc117719792 \h </w:instrText>
        </w:r>
        <w:r w:rsidR="00CF0B52">
          <w:rPr>
            <w:noProof/>
            <w:webHidden/>
          </w:rPr>
        </w:r>
        <w:r w:rsidR="00CF0B52">
          <w:rPr>
            <w:noProof/>
            <w:webHidden/>
          </w:rPr>
          <w:fldChar w:fldCharType="separate"/>
        </w:r>
        <w:r w:rsidR="00B65193">
          <w:rPr>
            <w:noProof/>
            <w:webHidden/>
          </w:rPr>
          <w:t>27</w:t>
        </w:r>
        <w:r w:rsidR="00CF0B52">
          <w:rPr>
            <w:noProof/>
            <w:webHidden/>
          </w:rPr>
          <w:fldChar w:fldCharType="end"/>
        </w:r>
      </w:hyperlink>
    </w:p>
    <w:p w14:paraId="2ED739B1" w14:textId="247325DE" w:rsidR="00CF0B52" w:rsidRDefault="00C06F2F">
      <w:pPr>
        <w:pStyle w:val="TOC2"/>
        <w:rPr>
          <w:rFonts w:eastAsiaTheme="minorEastAsia" w:cstheme="minorBidi"/>
          <w:noProof/>
          <w:szCs w:val="22"/>
        </w:rPr>
      </w:pPr>
      <w:hyperlink w:anchor="_Toc117719793" w:history="1">
        <w:r w:rsidR="00CF0B52" w:rsidRPr="002077C3">
          <w:rPr>
            <w:rStyle w:val="Hyperlink"/>
            <w:noProof/>
          </w:rPr>
          <w:t>3.1 Groundwater Management Zone Monitoring Network</w:t>
        </w:r>
        <w:r w:rsidR="00CF0B52">
          <w:rPr>
            <w:noProof/>
            <w:webHidden/>
          </w:rPr>
          <w:tab/>
        </w:r>
        <w:r w:rsidR="00CF0B52">
          <w:rPr>
            <w:noProof/>
            <w:webHidden/>
          </w:rPr>
          <w:fldChar w:fldCharType="begin"/>
        </w:r>
        <w:r w:rsidR="00CF0B52">
          <w:rPr>
            <w:noProof/>
            <w:webHidden/>
          </w:rPr>
          <w:instrText xml:space="preserve"> PAGEREF _Toc117719793 \h </w:instrText>
        </w:r>
        <w:r w:rsidR="00CF0B52">
          <w:rPr>
            <w:noProof/>
            <w:webHidden/>
          </w:rPr>
        </w:r>
        <w:r w:rsidR="00CF0B52">
          <w:rPr>
            <w:noProof/>
            <w:webHidden/>
          </w:rPr>
          <w:fldChar w:fldCharType="separate"/>
        </w:r>
        <w:r w:rsidR="00B65193">
          <w:rPr>
            <w:noProof/>
            <w:webHidden/>
          </w:rPr>
          <w:t>27</w:t>
        </w:r>
        <w:r w:rsidR="00CF0B52">
          <w:rPr>
            <w:noProof/>
            <w:webHidden/>
          </w:rPr>
          <w:fldChar w:fldCharType="end"/>
        </w:r>
      </w:hyperlink>
    </w:p>
    <w:p w14:paraId="11CD1897" w14:textId="0B280CF6" w:rsidR="00CF0B52" w:rsidRDefault="00C06F2F">
      <w:pPr>
        <w:pStyle w:val="TOC2"/>
        <w:rPr>
          <w:rFonts w:eastAsiaTheme="minorEastAsia" w:cstheme="minorBidi"/>
          <w:noProof/>
          <w:szCs w:val="22"/>
        </w:rPr>
      </w:pPr>
      <w:hyperlink w:anchor="_Toc117719794" w:history="1">
        <w:r w:rsidR="00CF0B52" w:rsidRPr="002077C3">
          <w:rPr>
            <w:rStyle w:val="Hyperlink"/>
            <w:noProof/>
          </w:rPr>
          <w:t>3.2 Potential Data Gaps</w:t>
        </w:r>
        <w:r w:rsidR="00CF0B52">
          <w:rPr>
            <w:noProof/>
            <w:webHidden/>
          </w:rPr>
          <w:tab/>
        </w:r>
        <w:r w:rsidR="00CF0B52">
          <w:rPr>
            <w:noProof/>
            <w:webHidden/>
          </w:rPr>
          <w:fldChar w:fldCharType="begin"/>
        </w:r>
        <w:r w:rsidR="00CF0B52">
          <w:rPr>
            <w:noProof/>
            <w:webHidden/>
          </w:rPr>
          <w:instrText xml:space="preserve"> PAGEREF _Toc117719794 \h </w:instrText>
        </w:r>
        <w:r w:rsidR="00CF0B52">
          <w:rPr>
            <w:noProof/>
            <w:webHidden/>
          </w:rPr>
        </w:r>
        <w:r w:rsidR="00CF0B52">
          <w:rPr>
            <w:noProof/>
            <w:webHidden/>
          </w:rPr>
          <w:fldChar w:fldCharType="separate"/>
        </w:r>
        <w:r w:rsidR="00B65193">
          <w:rPr>
            <w:noProof/>
            <w:webHidden/>
          </w:rPr>
          <w:t>28</w:t>
        </w:r>
        <w:r w:rsidR="00CF0B52">
          <w:rPr>
            <w:noProof/>
            <w:webHidden/>
          </w:rPr>
          <w:fldChar w:fldCharType="end"/>
        </w:r>
      </w:hyperlink>
    </w:p>
    <w:p w14:paraId="043511CE" w14:textId="2062DA8E" w:rsidR="00CF0B52" w:rsidRDefault="00C06F2F">
      <w:pPr>
        <w:pStyle w:val="TOC3"/>
        <w:rPr>
          <w:rFonts w:eastAsiaTheme="minorEastAsia" w:cstheme="minorBidi"/>
          <w:noProof/>
          <w:szCs w:val="22"/>
        </w:rPr>
      </w:pPr>
      <w:hyperlink w:anchor="_Toc117719795" w:history="1">
        <w:r w:rsidR="00CF0B52" w:rsidRPr="002077C3">
          <w:rPr>
            <w:rStyle w:val="Hyperlink"/>
            <w:noProof/>
          </w:rPr>
          <w:t>3.2.1 Assessment to Identify Potential Data Gaps</w:t>
        </w:r>
        <w:r w:rsidR="00CF0B52">
          <w:rPr>
            <w:noProof/>
            <w:webHidden/>
          </w:rPr>
          <w:tab/>
        </w:r>
        <w:r w:rsidR="00CF0B52">
          <w:rPr>
            <w:noProof/>
            <w:webHidden/>
          </w:rPr>
          <w:fldChar w:fldCharType="begin"/>
        </w:r>
        <w:r w:rsidR="00CF0B52">
          <w:rPr>
            <w:noProof/>
            <w:webHidden/>
          </w:rPr>
          <w:instrText xml:space="preserve"> PAGEREF _Toc117719795 \h </w:instrText>
        </w:r>
        <w:r w:rsidR="00CF0B52">
          <w:rPr>
            <w:noProof/>
            <w:webHidden/>
          </w:rPr>
        </w:r>
        <w:r w:rsidR="00CF0B52">
          <w:rPr>
            <w:noProof/>
            <w:webHidden/>
          </w:rPr>
          <w:fldChar w:fldCharType="separate"/>
        </w:r>
        <w:r w:rsidR="00B65193">
          <w:rPr>
            <w:noProof/>
            <w:webHidden/>
          </w:rPr>
          <w:t>28</w:t>
        </w:r>
        <w:r w:rsidR="00CF0B52">
          <w:rPr>
            <w:noProof/>
            <w:webHidden/>
          </w:rPr>
          <w:fldChar w:fldCharType="end"/>
        </w:r>
      </w:hyperlink>
    </w:p>
    <w:p w14:paraId="02F8C11D" w14:textId="12663766" w:rsidR="00CF0B52" w:rsidRDefault="00C06F2F">
      <w:pPr>
        <w:pStyle w:val="TOC3"/>
        <w:rPr>
          <w:rFonts w:eastAsiaTheme="minorEastAsia" w:cstheme="minorBidi"/>
          <w:noProof/>
          <w:szCs w:val="22"/>
        </w:rPr>
      </w:pPr>
      <w:hyperlink w:anchor="_Toc117719796" w:history="1">
        <w:r w:rsidR="00CF0B52" w:rsidRPr="002077C3">
          <w:rPr>
            <w:rStyle w:val="Hyperlink"/>
            <w:noProof/>
          </w:rPr>
          <w:t>3.2.2 Process to Investigate Potential Data Gaps</w:t>
        </w:r>
        <w:r w:rsidR="00CF0B52">
          <w:rPr>
            <w:noProof/>
            <w:webHidden/>
          </w:rPr>
          <w:tab/>
        </w:r>
        <w:r w:rsidR="00CF0B52">
          <w:rPr>
            <w:noProof/>
            <w:webHidden/>
          </w:rPr>
          <w:fldChar w:fldCharType="begin"/>
        </w:r>
        <w:r w:rsidR="00CF0B52">
          <w:rPr>
            <w:noProof/>
            <w:webHidden/>
          </w:rPr>
          <w:instrText xml:space="preserve"> PAGEREF _Toc117719796 \h </w:instrText>
        </w:r>
        <w:r w:rsidR="00CF0B52">
          <w:rPr>
            <w:noProof/>
            <w:webHidden/>
          </w:rPr>
        </w:r>
        <w:r w:rsidR="00CF0B52">
          <w:rPr>
            <w:noProof/>
            <w:webHidden/>
          </w:rPr>
          <w:fldChar w:fldCharType="separate"/>
        </w:r>
        <w:r w:rsidR="00B65193">
          <w:rPr>
            <w:noProof/>
            <w:webHidden/>
          </w:rPr>
          <w:t>29</w:t>
        </w:r>
        <w:r w:rsidR="00CF0B52">
          <w:rPr>
            <w:noProof/>
            <w:webHidden/>
          </w:rPr>
          <w:fldChar w:fldCharType="end"/>
        </w:r>
      </w:hyperlink>
    </w:p>
    <w:p w14:paraId="1C152EA2" w14:textId="0E6A6441" w:rsidR="00CF0B52" w:rsidRDefault="00C06F2F">
      <w:pPr>
        <w:pStyle w:val="TOC3"/>
        <w:rPr>
          <w:rFonts w:eastAsiaTheme="minorEastAsia" w:cstheme="minorBidi"/>
          <w:noProof/>
          <w:szCs w:val="22"/>
        </w:rPr>
      </w:pPr>
      <w:hyperlink w:anchor="_Toc117719797" w:history="1">
        <w:r w:rsidR="00CF0B52" w:rsidRPr="002077C3">
          <w:rPr>
            <w:rStyle w:val="Hyperlink"/>
            <w:noProof/>
          </w:rPr>
          <w:t>3.2.3 Schedule to Investigate Potential Data Gaps</w:t>
        </w:r>
        <w:r w:rsidR="00CF0B52">
          <w:rPr>
            <w:noProof/>
            <w:webHidden/>
          </w:rPr>
          <w:tab/>
        </w:r>
        <w:r w:rsidR="00CF0B52">
          <w:rPr>
            <w:noProof/>
            <w:webHidden/>
          </w:rPr>
          <w:fldChar w:fldCharType="begin"/>
        </w:r>
        <w:r w:rsidR="00CF0B52">
          <w:rPr>
            <w:noProof/>
            <w:webHidden/>
          </w:rPr>
          <w:instrText xml:space="preserve"> PAGEREF _Toc117719797 \h </w:instrText>
        </w:r>
        <w:r w:rsidR="00CF0B52">
          <w:rPr>
            <w:noProof/>
            <w:webHidden/>
          </w:rPr>
        </w:r>
        <w:r w:rsidR="00CF0B52">
          <w:rPr>
            <w:noProof/>
            <w:webHidden/>
          </w:rPr>
          <w:fldChar w:fldCharType="separate"/>
        </w:r>
        <w:r w:rsidR="00B65193">
          <w:rPr>
            <w:noProof/>
            <w:webHidden/>
          </w:rPr>
          <w:t>33</w:t>
        </w:r>
        <w:r w:rsidR="00CF0B52">
          <w:rPr>
            <w:noProof/>
            <w:webHidden/>
          </w:rPr>
          <w:fldChar w:fldCharType="end"/>
        </w:r>
      </w:hyperlink>
    </w:p>
    <w:p w14:paraId="73AAC010" w14:textId="3F5CE069" w:rsidR="00CF0B52" w:rsidRDefault="00C06F2F">
      <w:pPr>
        <w:pStyle w:val="TOC1"/>
        <w:rPr>
          <w:rFonts w:eastAsiaTheme="minorEastAsia" w:cstheme="minorBidi"/>
          <w:b w:val="0"/>
          <w:noProof/>
          <w:color w:val="auto"/>
          <w:szCs w:val="22"/>
        </w:rPr>
      </w:pPr>
      <w:hyperlink w:anchor="_Toc117719798" w:history="1">
        <w:r w:rsidR="00CF0B52" w:rsidRPr="002077C3">
          <w:rPr>
            <w:rStyle w:val="Hyperlink"/>
            <w:noProof/>
          </w:rPr>
          <w:t>4.0 2021 Ambient Water Quality Pilot Study</w:t>
        </w:r>
        <w:r w:rsidR="00CF0B52">
          <w:rPr>
            <w:noProof/>
            <w:webHidden/>
          </w:rPr>
          <w:tab/>
        </w:r>
        <w:r w:rsidR="00CF0B52">
          <w:rPr>
            <w:noProof/>
            <w:webHidden/>
          </w:rPr>
          <w:fldChar w:fldCharType="begin"/>
        </w:r>
        <w:r w:rsidR="00CF0B52">
          <w:rPr>
            <w:noProof/>
            <w:webHidden/>
          </w:rPr>
          <w:instrText xml:space="preserve"> PAGEREF _Toc117719798 \h </w:instrText>
        </w:r>
        <w:r w:rsidR="00CF0B52">
          <w:rPr>
            <w:noProof/>
            <w:webHidden/>
          </w:rPr>
        </w:r>
        <w:r w:rsidR="00CF0B52">
          <w:rPr>
            <w:noProof/>
            <w:webHidden/>
          </w:rPr>
          <w:fldChar w:fldCharType="separate"/>
        </w:r>
        <w:r w:rsidR="00B65193">
          <w:rPr>
            <w:noProof/>
            <w:webHidden/>
          </w:rPr>
          <w:t>34</w:t>
        </w:r>
        <w:r w:rsidR="00CF0B52">
          <w:rPr>
            <w:noProof/>
            <w:webHidden/>
          </w:rPr>
          <w:fldChar w:fldCharType="end"/>
        </w:r>
      </w:hyperlink>
    </w:p>
    <w:p w14:paraId="78971407" w14:textId="20C87B35" w:rsidR="00CF0B52" w:rsidRDefault="00C06F2F">
      <w:pPr>
        <w:pStyle w:val="TOC2"/>
        <w:rPr>
          <w:rFonts w:eastAsiaTheme="minorEastAsia" w:cstheme="minorBidi"/>
          <w:noProof/>
          <w:szCs w:val="22"/>
        </w:rPr>
      </w:pPr>
      <w:hyperlink w:anchor="_Toc117719799" w:history="1">
        <w:r w:rsidR="00CF0B52" w:rsidRPr="002077C3">
          <w:rPr>
            <w:rStyle w:val="Hyperlink"/>
            <w:noProof/>
          </w:rPr>
          <w:t>4.1 Objectives and Intended Outcomes</w:t>
        </w:r>
        <w:r w:rsidR="00CF0B52">
          <w:rPr>
            <w:noProof/>
            <w:webHidden/>
          </w:rPr>
          <w:tab/>
        </w:r>
        <w:r w:rsidR="00CF0B52">
          <w:rPr>
            <w:noProof/>
            <w:webHidden/>
          </w:rPr>
          <w:fldChar w:fldCharType="begin"/>
        </w:r>
        <w:r w:rsidR="00CF0B52">
          <w:rPr>
            <w:noProof/>
            <w:webHidden/>
          </w:rPr>
          <w:instrText xml:space="preserve"> PAGEREF _Toc117719799 \h </w:instrText>
        </w:r>
        <w:r w:rsidR="00CF0B52">
          <w:rPr>
            <w:noProof/>
            <w:webHidden/>
          </w:rPr>
        </w:r>
        <w:r w:rsidR="00CF0B52">
          <w:rPr>
            <w:noProof/>
            <w:webHidden/>
          </w:rPr>
          <w:fldChar w:fldCharType="separate"/>
        </w:r>
        <w:r w:rsidR="00B65193">
          <w:rPr>
            <w:noProof/>
            <w:webHidden/>
          </w:rPr>
          <w:t>34</w:t>
        </w:r>
        <w:r w:rsidR="00CF0B52">
          <w:rPr>
            <w:noProof/>
            <w:webHidden/>
          </w:rPr>
          <w:fldChar w:fldCharType="end"/>
        </w:r>
      </w:hyperlink>
    </w:p>
    <w:p w14:paraId="56E8583D" w14:textId="0B4E4F89" w:rsidR="00CF0B52" w:rsidRDefault="00C06F2F">
      <w:pPr>
        <w:pStyle w:val="TOC2"/>
        <w:rPr>
          <w:rFonts w:eastAsiaTheme="minorEastAsia" w:cstheme="minorBidi"/>
          <w:noProof/>
          <w:szCs w:val="22"/>
        </w:rPr>
      </w:pPr>
      <w:hyperlink w:anchor="_Toc117719800" w:history="1">
        <w:r w:rsidR="00CF0B52" w:rsidRPr="002077C3">
          <w:rPr>
            <w:rStyle w:val="Hyperlink"/>
            <w:noProof/>
          </w:rPr>
          <w:t>4.2 Scope of Work</w:t>
        </w:r>
        <w:r w:rsidR="00CF0B52">
          <w:rPr>
            <w:noProof/>
            <w:webHidden/>
          </w:rPr>
          <w:tab/>
        </w:r>
        <w:r w:rsidR="00CF0B52">
          <w:rPr>
            <w:noProof/>
            <w:webHidden/>
          </w:rPr>
          <w:fldChar w:fldCharType="begin"/>
        </w:r>
        <w:r w:rsidR="00CF0B52">
          <w:rPr>
            <w:noProof/>
            <w:webHidden/>
          </w:rPr>
          <w:instrText xml:space="preserve"> PAGEREF _Toc117719800 \h </w:instrText>
        </w:r>
        <w:r w:rsidR="00CF0B52">
          <w:rPr>
            <w:noProof/>
            <w:webHidden/>
          </w:rPr>
        </w:r>
        <w:r w:rsidR="00CF0B52">
          <w:rPr>
            <w:noProof/>
            <w:webHidden/>
          </w:rPr>
          <w:fldChar w:fldCharType="separate"/>
        </w:r>
        <w:r w:rsidR="00B65193">
          <w:rPr>
            <w:noProof/>
            <w:webHidden/>
          </w:rPr>
          <w:t>35</w:t>
        </w:r>
        <w:r w:rsidR="00CF0B52">
          <w:rPr>
            <w:noProof/>
            <w:webHidden/>
          </w:rPr>
          <w:fldChar w:fldCharType="end"/>
        </w:r>
      </w:hyperlink>
    </w:p>
    <w:p w14:paraId="2A8DF434" w14:textId="06130010" w:rsidR="00CF0B52" w:rsidRDefault="00C06F2F">
      <w:pPr>
        <w:pStyle w:val="TOC3"/>
        <w:rPr>
          <w:rFonts w:eastAsiaTheme="minorEastAsia" w:cstheme="minorBidi"/>
          <w:noProof/>
          <w:szCs w:val="22"/>
        </w:rPr>
      </w:pPr>
      <w:hyperlink w:anchor="_Toc117719801" w:history="1">
        <w:r w:rsidR="00CF0B52" w:rsidRPr="002077C3">
          <w:rPr>
            <w:rStyle w:val="Hyperlink"/>
            <w:noProof/>
          </w:rPr>
          <w:t>4.2.1 Task 1 – Data Collection and Review</w:t>
        </w:r>
        <w:r w:rsidR="00CF0B52">
          <w:rPr>
            <w:noProof/>
            <w:webHidden/>
          </w:rPr>
          <w:tab/>
        </w:r>
        <w:r w:rsidR="00CF0B52">
          <w:rPr>
            <w:noProof/>
            <w:webHidden/>
          </w:rPr>
          <w:fldChar w:fldCharType="begin"/>
        </w:r>
        <w:r w:rsidR="00CF0B52">
          <w:rPr>
            <w:noProof/>
            <w:webHidden/>
          </w:rPr>
          <w:instrText xml:space="preserve"> PAGEREF _Toc117719801 \h </w:instrText>
        </w:r>
        <w:r w:rsidR="00CF0B52">
          <w:rPr>
            <w:noProof/>
            <w:webHidden/>
          </w:rPr>
        </w:r>
        <w:r w:rsidR="00CF0B52">
          <w:rPr>
            <w:noProof/>
            <w:webHidden/>
          </w:rPr>
          <w:fldChar w:fldCharType="separate"/>
        </w:r>
        <w:r w:rsidR="00B65193">
          <w:rPr>
            <w:noProof/>
            <w:webHidden/>
          </w:rPr>
          <w:t>36</w:t>
        </w:r>
        <w:r w:rsidR="00CF0B52">
          <w:rPr>
            <w:noProof/>
            <w:webHidden/>
          </w:rPr>
          <w:fldChar w:fldCharType="end"/>
        </w:r>
      </w:hyperlink>
    </w:p>
    <w:p w14:paraId="22DE32C7" w14:textId="7A76EF11" w:rsidR="00CF0B52" w:rsidRDefault="00C06F2F">
      <w:pPr>
        <w:pStyle w:val="TOC3"/>
        <w:rPr>
          <w:rFonts w:eastAsiaTheme="minorEastAsia" w:cstheme="minorBidi"/>
          <w:noProof/>
          <w:szCs w:val="22"/>
        </w:rPr>
      </w:pPr>
      <w:hyperlink w:anchor="_Toc117719802" w:history="1">
        <w:r w:rsidR="00CF0B52" w:rsidRPr="002077C3">
          <w:rPr>
            <w:rStyle w:val="Hyperlink"/>
            <w:noProof/>
          </w:rPr>
          <w:t>4.2.2 Task 2 – Pilot Assessment of Ambient Water Quality in Select GMZs</w:t>
        </w:r>
        <w:r w:rsidR="00CF0B52">
          <w:rPr>
            <w:noProof/>
            <w:webHidden/>
          </w:rPr>
          <w:tab/>
        </w:r>
        <w:r w:rsidR="00CF0B52">
          <w:rPr>
            <w:noProof/>
            <w:webHidden/>
          </w:rPr>
          <w:fldChar w:fldCharType="begin"/>
        </w:r>
        <w:r w:rsidR="00CF0B52">
          <w:rPr>
            <w:noProof/>
            <w:webHidden/>
          </w:rPr>
          <w:instrText xml:space="preserve"> PAGEREF _Toc117719802 \h </w:instrText>
        </w:r>
        <w:r w:rsidR="00CF0B52">
          <w:rPr>
            <w:noProof/>
            <w:webHidden/>
          </w:rPr>
        </w:r>
        <w:r w:rsidR="00CF0B52">
          <w:rPr>
            <w:noProof/>
            <w:webHidden/>
          </w:rPr>
          <w:fldChar w:fldCharType="separate"/>
        </w:r>
        <w:r w:rsidR="00B65193">
          <w:rPr>
            <w:noProof/>
            <w:webHidden/>
          </w:rPr>
          <w:t>36</w:t>
        </w:r>
        <w:r w:rsidR="00CF0B52">
          <w:rPr>
            <w:noProof/>
            <w:webHidden/>
          </w:rPr>
          <w:fldChar w:fldCharType="end"/>
        </w:r>
      </w:hyperlink>
    </w:p>
    <w:p w14:paraId="414EC580" w14:textId="051EA0D6" w:rsidR="00CF0B52" w:rsidRDefault="00C06F2F">
      <w:pPr>
        <w:pStyle w:val="TOC3"/>
        <w:rPr>
          <w:rFonts w:eastAsiaTheme="minorEastAsia" w:cstheme="minorBidi"/>
          <w:noProof/>
          <w:szCs w:val="22"/>
        </w:rPr>
      </w:pPr>
      <w:hyperlink w:anchor="_Toc117719803" w:history="1">
        <w:r w:rsidR="00CF0B52" w:rsidRPr="002077C3">
          <w:rPr>
            <w:rStyle w:val="Hyperlink"/>
            <w:noProof/>
          </w:rPr>
          <w:t>4.2.3 Task 3 – Develop Technical Approach and SNMP Implementation Plan</w:t>
        </w:r>
        <w:r w:rsidR="00CF0B52">
          <w:rPr>
            <w:noProof/>
            <w:webHidden/>
          </w:rPr>
          <w:tab/>
        </w:r>
        <w:r w:rsidR="00CF0B52">
          <w:rPr>
            <w:noProof/>
            <w:webHidden/>
          </w:rPr>
          <w:fldChar w:fldCharType="begin"/>
        </w:r>
        <w:r w:rsidR="00CF0B52">
          <w:rPr>
            <w:noProof/>
            <w:webHidden/>
          </w:rPr>
          <w:instrText xml:space="preserve"> PAGEREF _Toc117719803 \h </w:instrText>
        </w:r>
        <w:r w:rsidR="00CF0B52">
          <w:rPr>
            <w:noProof/>
            <w:webHidden/>
          </w:rPr>
        </w:r>
        <w:r w:rsidR="00CF0B52">
          <w:rPr>
            <w:noProof/>
            <w:webHidden/>
          </w:rPr>
          <w:fldChar w:fldCharType="separate"/>
        </w:r>
        <w:r w:rsidR="00B65193">
          <w:rPr>
            <w:noProof/>
            <w:webHidden/>
          </w:rPr>
          <w:t>37</w:t>
        </w:r>
        <w:r w:rsidR="00CF0B52">
          <w:rPr>
            <w:noProof/>
            <w:webHidden/>
          </w:rPr>
          <w:fldChar w:fldCharType="end"/>
        </w:r>
      </w:hyperlink>
    </w:p>
    <w:p w14:paraId="05FB84BD" w14:textId="1E1365ED" w:rsidR="00CF0B52" w:rsidRDefault="00C06F2F">
      <w:pPr>
        <w:pStyle w:val="TOC3"/>
        <w:rPr>
          <w:rFonts w:eastAsiaTheme="minorEastAsia" w:cstheme="minorBidi"/>
          <w:noProof/>
          <w:szCs w:val="22"/>
        </w:rPr>
      </w:pPr>
      <w:hyperlink w:anchor="_Toc117719804" w:history="1">
        <w:r w:rsidR="00CF0B52" w:rsidRPr="002077C3">
          <w:rPr>
            <w:rStyle w:val="Hyperlink"/>
            <w:noProof/>
          </w:rPr>
          <w:t>4.2.4 Task 4 – Prepare Final Report</w:t>
        </w:r>
        <w:r w:rsidR="00CF0B52">
          <w:rPr>
            <w:noProof/>
            <w:webHidden/>
          </w:rPr>
          <w:tab/>
        </w:r>
        <w:r w:rsidR="00CF0B52">
          <w:rPr>
            <w:noProof/>
            <w:webHidden/>
          </w:rPr>
          <w:fldChar w:fldCharType="begin"/>
        </w:r>
        <w:r w:rsidR="00CF0B52">
          <w:rPr>
            <w:noProof/>
            <w:webHidden/>
          </w:rPr>
          <w:instrText xml:space="preserve"> PAGEREF _Toc117719804 \h </w:instrText>
        </w:r>
        <w:r w:rsidR="00CF0B52">
          <w:rPr>
            <w:noProof/>
            <w:webHidden/>
          </w:rPr>
        </w:r>
        <w:r w:rsidR="00CF0B52">
          <w:rPr>
            <w:noProof/>
            <w:webHidden/>
          </w:rPr>
          <w:fldChar w:fldCharType="separate"/>
        </w:r>
        <w:r w:rsidR="00B65193">
          <w:rPr>
            <w:noProof/>
            <w:webHidden/>
          </w:rPr>
          <w:t>37</w:t>
        </w:r>
        <w:r w:rsidR="00CF0B52">
          <w:rPr>
            <w:noProof/>
            <w:webHidden/>
          </w:rPr>
          <w:fldChar w:fldCharType="end"/>
        </w:r>
      </w:hyperlink>
    </w:p>
    <w:p w14:paraId="1D1FF3D8" w14:textId="716AAC3C" w:rsidR="00CF0B52" w:rsidRDefault="00C06F2F">
      <w:pPr>
        <w:pStyle w:val="TOC3"/>
        <w:rPr>
          <w:rFonts w:eastAsiaTheme="minorEastAsia" w:cstheme="minorBidi"/>
          <w:noProof/>
          <w:szCs w:val="22"/>
        </w:rPr>
      </w:pPr>
      <w:hyperlink w:anchor="_Toc117719805" w:history="1">
        <w:r w:rsidR="00CF0B52" w:rsidRPr="002077C3">
          <w:rPr>
            <w:rStyle w:val="Hyperlink"/>
            <w:noProof/>
          </w:rPr>
          <w:t>4.2.5 Task 5 – Task Force Workshops and Project Management</w:t>
        </w:r>
        <w:r w:rsidR="00CF0B52">
          <w:rPr>
            <w:noProof/>
            <w:webHidden/>
          </w:rPr>
          <w:tab/>
        </w:r>
        <w:r w:rsidR="00CF0B52">
          <w:rPr>
            <w:noProof/>
            <w:webHidden/>
          </w:rPr>
          <w:fldChar w:fldCharType="begin"/>
        </w:r>
        <w:r w:rsidR="00CF0B52">
          <w:rPr>
            <w:noProof/>
            <w:webHidden/>
          </w:rPr>
          <w:instrText xml:space="preserve"> PAGEREF _Toc117719805 \h </w:instrText>
        </w:r>
        <w:r w:rsidR="00CF0B52">
          <w:rPr>
            <w:noProof/>
            <w:webHidden/>
          </w:rPr>
        </w:r>
        <w:r w:rsidR="00CF0B52">
          <w:rPr>
            <w:noProof/>
            <w:webHidden/>
          </w:rPr>
          <w:fldChar w:fldCharType="separate"/>
        </w:r>
        <w:r w:rsidR="00B65193">
          <w:rPr>
            <w:noProof/>
            <w:webHidden/>
          </w:rPr>
          <w:t>38</w:t>
        </w:r>
        <w:r w:rsidR="00CF0B52">
          <w:rPr>
            <w:noProof/>
            <w:webHidden/>
          </w:rPr>
          <w:fldChar w:fldCharType="end"/>
        </w:r>
      </w:hyperlink>
    </w:p>
    <w:p w14:paraId="6DDA6D3F" w14:textId="53A9CFB7" w:rsidR="00CF0B52" w:rsidRDefault="00C06F2F">
      <w:pPr>
        <w:pStyle w:val="TOC2"/>
        <w:rPr>
          <w:rFonts w:eastAsiaTheme="minorEastAsia" w:cstheme="minorBidi"/>
          <w:noProof/>
          <w:szCs w:val="22"/>
        </w:rPr>
      </w:pPr>
      <w:hyperlink w:anchor="_Toc117719806" w:history="1">
        <w:r w:rsidR="00CF0B52" w:rsidRPr="002077C3">
          <w:rPr>
            <w:rStyle w:val="Hyperlink"/>
            <w:noProof/>
          </w:rPr>
          <w:t>4.3 Schedule</w:t>
        </w:r>
        <w:r w:rsidR="00CF0B52">
          <w:rPr>
            <w:noProof/>
            <w:webHidden/>
          </w:rPr>
          <w:tab/>
        </w:r>
        <w:r w:rsidR="00CF0B52">
          <w:rPr>
            <w:noProof/>
            <w:webHidden/>
          </w:rPr>
          <w:fldChar w:fldCharType="begin"/>
        </w:r>
        <w:r w:rsidR="00CF0B52">
          <w:rPr>
            <w:noProof/>
            <w:webHidden/>
          </w:rPr>
          <w:instrText xml:space="preserve"> PAGEREF _Toc117719806 \h </w:instrText>
        </w:r>
        <w:r w:rsidR="00CF0B52">
          <w:rPr>
            <w:noProof/>
            <w:webHidden/>
          </w:rPr>
        </w:r>
        <w:r w:rsidR="00CF0B52">
          <w:rPr>
            <w:noProof/>
            <w:webHidden/>
          </w:rPr>
          <w:fldChar w:fldCharType="separate"/>
        </w:r>
        <w:r w:rsidR="00B65193">
          <w:rPr>
            <w:noProof/>
            <w:webHidden/>
          </w:rPr>
          <w:t>38</w:t>
        </w:r>
        <w:r w:rsidR="00CF0B52">
          <w:rPr>
            <w:noProof/>
            <w:webHidden/>
          </w:rPr>
          <w:fldChar w:fldCharType="end"/>
        </w:r>
      </w:hyperlink>
    </w:p>
    <w:p w14:paraId="6F9E0A89" w14:textId="7641828C" w:rsidR="00CF0B52" w:rsidRDefault="00C06F2F">
      <w:pPr>
        <w:pStyle w:val="TOC2"/>
        <w:rPr>
          <w:rFonts w:eastAsiaTheme="minorEastAsia" w:cstheme="minorBidi"/>
          <w:noProof/>
          <w:szCs w:val="22"/>
        </w:rPr>
      </w:pPr>
      <w:hyperlink w:anchor="_Toc117719807" w:history="1">
        <w:r w:rsidR="00CF0B52" w:rsidRPr="002077C3">
          <w:rPr>
            <w:rStyle w:val="Hyperlink"/>
            <w:noProof/>
          </w:rPr>
          <w:t>4.4 Budget Level Cost Estimate</w:t>
        </w:r>
        <w:r w:rsidR="00CF0B52">
          <w:rPr>
            <w:noProof/>
            <w:webHidden/>
          </w:rPr>
          <w:tab/>
        </w:r>
        <w:r w:rsidR="00CF0B52">
          <w:rPr>
            <w:noProof/>
            <w:webHidden/>
          </w:rPr>
          <w:fldChar w:fldCharType="begin"/>
        </w:r>
        <w:r w:rsidR="00CF0B52">
          <w:rPr>
            <w:noProof/>
            <w:webHidden/>
          </w:rPr>
          <w:instrText xml:space="preserve"> PAGEREF _Toc117719807 \h </w:instrText>
        </w:r>
        <w:r w:rsidR="00CF0B52">
          <w:rPr>
            <w:noProof/>
            <w:webHidden/>
          </w:rPr>
        </w:r>
        <w:r w:rsidR="00CF0B52">
          <w:rPr>
            <w:noProof/>
            <w:webHidden/>
          </w:rPr>
          <w:fldChar w:fldCharType="separate"/>
        </w:r>
        <w:r w:rsidR="00B65193">
          <w:rPr>
            <w:noProof/>
            <w:webHidden/>
          </w:rPr>
          <w:t>38</w:t>
        </w:r>
        <w:r w:rsidR="00CF0B52">
          <w:rPr>
            <w:noProof/>
            <w:webHidden/>
          </w:rPr>
          <w:fldChar w:fldCharType="end"/>
        </w:r>
      </w:hyperlink>
    </w:p>
    <w:p w14:paraId="1D072554" w14:textId="353AE22F" w:rsidR="00CF0B52" w:rsidRDefault="00C06F2F">
      <w:pPr>
        <w:pStyle w:val="TOC1"/>
        <w:rPr>
          <w:rFonts w:eastAsiaTheme="minorEastAsia" w:cstheme="minorBidi"/>
          <w:b w:val="0"/>
          <w:noProof/>
          <w:color w:val="auto"/>
          <w:szCs w:val="22"/>
        </w:rPr>
      </w:pPr>
      <w:hyperlink w:anchor="_Toc117719808" w:history="1">
        <w:r w:rsidR="00CF0B52" w:rsidRPr="002077C3">
          <w:rPr>
            <w:rStyle w:val="Hyperlink"/>
            <w:noProof/>
          </w:rPr>
          <w:t>5.0 Implementation Plan</w:t>
        </w:r>
        <w:r w:rsidR="00CF0B52">
          <w:rPr>
            <w:noProof/>
            <w:webHidden/>
          </w:rPr>
          <w:tab/>
        </w:r>
        <w:r w:rsidR="00CF0B52">
          <w:rPr>
            <w:noProof/>
            <w:webHidden/>
          </w:rPr>
          <w:fldChar w:fldCharType="begin"/>
        </w:r>
        <w:r w:rsidR="00CF0B52">
          <w:rPr>
            <w:noProof/>
            <w:webHidden/>
          </w:rPr>
          <w:instrText xml:space="preserve"> PAGEREF _Toc117719808 \h </w:instrText>
        </w:r>
        <w:r w:rsidR="00CF0B52">
          <w:rPr>
            <w:noProof/>
            <w:webHidden/>
          </w:rPr>
        </w:r>
        <w:r w:rsidR="00CF0B52">
          <w:rPr>
            <w:noProof/>
            <w:webHidden/>
          </w:rPr>
          <w:fldChar w:fldCharType="separate"/>
        </w:r>
        <w:r w:rsidR="00B65193">
          <w:rPr>
            <w:noProof/>
            <w:webHidden/>
          </w:rPr>
          <w:t>40</w:t>
        </w:r>
        <w:r w:rsidR="00CF0B52">
          <w:rPr>
            <w:noProof/>
            <w:webHidden/>
          </w:rPr>
          <w:fldChar w:fldCharType="end"/>
        </w:r>
      </w:hyperlink>
    </w:p>
    <w:p w14:paraId="362FCF39" w14:textId="479945B4" w:rsidR="00CF0B52" w:rsidRDefault="00C06F2F">
      <w:pPr>
        <w:pStyle w:val="TOC1"/>
        <w:rPr>
          <w:rFonts w:eastAsiaTheme="minorEastAsia" w:cstheme="minorBidi"/>
          <w:b w:val="0"/>
          <w:noProof/>
          <w:color w:val="auto"/>
          <w:szCs w:val="22"/>
        </w:rPr>
      </w:pPr>
      <w:hyperlink w:anchor="_Toc117719809" w:history="1">
        <w:r w:rsidR="00CF0B52" w:rsidRPr="002077C3">
          <w:rPr>
            <w:rStyle w:val="Hyperlink"/>
            <w:noProof/>
          </w:rPr>
          <w:t>6.0 References</w:t>
        </w:r>
        <w:r w:rsidR="00CF0B52">
          <w:rPr>
            <w:noProof/>
            <w:webHidden/>
          </w:rPr>
          <w:tab/>
        </w:r>
        <w:r w:rsidR="00CF0B52">
          <w:rPr>
            <w:noProof/>
            <w:webHidden/>
          </w:rPr>
          <w:fldChar w:fldCharType="begin"/>
        </w:r>
        <w:r w:rsidR="00CF0B52">
          <w:rPr>
            <w:noProof/>
            <w:webHidden/>
          </w:rPr>
          <w:instrText xml:space="preserve"> PAGEREF _Toc117719809 \h </w:instrText>
        </w:r>
        <w:r w:rsidR="00CF0B52">
          <w:rPr>
            <w:noProof/>
            <w:webHidden/>
          </w:rPr>
        </w:r>
        <w:r w:rsidR="00CF0B52">
          <w:rPr>
            <w:noProof/>
            <w:webHidden/>
          </w:rPr>
          <w:fldChar w:fldCharType="separate"/>
        </w:r>
        <w:r w:rsidR="00B65193">
          <w:rPr>
            <w:noProof/>
            <w:webHidden/>
          </w:rPr>
          <w:t>42</w:t>
        </w:r>
        <w:r w:rsidR="00CF0B52">
          <w:rPr>
            <w:noProof/>
            <w:webHidden/>
          </w:rPr>
          <w:fldChar w:fldCharType="end"/>
        </w:r>
      </w:hyperlink>
    </w:p>
    <w:p w14:paraId="6736637E" w14:textId="632D9107" w:rsidR="001A278E" w:rsidRPr="00E72CE6" w:rsidRDefault="00F23A69" w:rsidP="00437C86">
      <w:pPr>
        <w:rPr>
          <w:rFonts w:cstheme="minorHAnsi"/>
        </w:rPr>
      </w:pPr>
      <w:r>
        <w:rPr>
          <w:b/>
          <w:color w:val="001489" w:themeColor="accent1"/>
        </w:rPr>
        <w:fldChar w:fldCharType="end"/>
      </w:r>
      <w:bookmarkStart w:id="1" w:name="_Hlk95383543"/>
      <w:bookmarkStart w:id="2" w:name="_Hlk95383952"/>
    </w:p>
    <w:p w14:paraId="2C93C618" w14:textId="77777777" w:rsidR="00F04DEF" w:rsidRPr="009859C3" w:rsidRDefault="00F04DEF" w:rsidP="00F04DEF">
      <w:pPr>
        <w:pStyle w:val="TOCList"/>
      </w:pPr>
      <w:r w:rsidRPr="009859C3">
        <w:t>LIST OF TABLES</w:t>
      </w:r>
    </w:p>
    <w:p w14:paraId="5D47496B" w14:textId="7751D236" w:rsidR="00F27D40" w:rsidRDefault="00F04DEF" w:rsidP="00B263CA">
      <w:pPr>
        <w:pStyle w:val="TOCTableFigure"/>
        <w:rPr>
          <w:rStyle w:val="Hyperlink"/>
          <w:color w:val="auto"/>
          <w:u w:val="none"/>
        </w:rPr>
      </w:pPr>
      <w:r w:rsidRPr="00B263CA">
        <w:fldChar w:fldCharType="begin"/>
      </w:r>
      <w:r>
        <w:instrText xml:space="preserve"> TOC \h \z \t "TableTitle,1,WY Level 1,1" </w:instrText>
      </w:r>
      <w:r w:rsidRPr="00B263CA">
        <w:fldChar w:fldCharType="separate"/>
      </w:r>
      <w:r w:rsidR="00F27D40" w:rsidRPr="00F27D40">
        <w:t>Table 1-1. 2</w:t>
      </w:r>
      <w:r w:rsidR="007B0590" w:rsidRPr="007B0590">
        <w:t xml:space="preserve"> How the 2022 Groundwater Monitoring Plan Addresses the Required Elements of the 2019 Recycled Water Policy and the 2021 Basin Plan Amendment</w:t>
      </w:r>
      <w:r w:rsidR="00F27D40" w:rsidRPr="00F27D40">
        <w:rPr>
          <w:rStyle w:val="Hyperlink"/>
          <w:color w:val="auto"/>
          <w:u w:val="none"/>
        </w:rPr>
        <w:t xml:space="preserve"> </w:t>
      </w:r>
    </w:p>
    <w:p w14:paraId="6B5ACE9A" w14:textId="3802C4DE" w:rsidR="00663B36" w:rsidRDefault="00B263CA" w:rsidP="00BF03D4">
      <w:pPr>
        <w:pStyle w:val="TOCTableFigure"/>
        <w:rPr>
          <w:rStyle w:val="Hyperlink"/>
          <w:rFonts w:eastAsiaTheme="minorEastAsia"/>
          <w:color w:val="auto"/>
          <w:u w:val="none"/>
        </w:rPr>
      </w:pPr>
      <w:r w:rsidRPr="00B263CA">
        <w:rPr>
          <w:rStyle w:val="Hyperlink"/>
          <w:color w:val="auto"/>
          <w:u w:val="none"/>
        </w:rPr>
        <w:t>Table 2-1. Task Force Workshops to Support Development of the 2022 GMP</w:t>
      </w:r>
    </w:p>
    <w:p w14:paraId="1C353D2E" w14:textId="2902DC9C" w:rsidR="00DA49A7" w:rsidRDefault="00DA49A7" w:rsidP="00B263CA">
      <w:pPr>
        <w:pStyle w:val="TOCTableFigure"/>
        <w:rPr>
          <w:rStyle w:val="Hyperlink"/>
          <w:color w:val="auto"/>
          <w:u w:val="none"/>
        </w:rPr>
      </w:pPr>
      <w:r>
        <w:rPr>
          <w:rStyle w:val="Hyperlink"/>
          <w:color w:val="auto"/>
          <w:u w:val="none"/>
        </w:rPr>
        <w:t xml:space="preserve">Table 2-2. </w:t>
      </w:r>
      <w:r w:rsidR="00073D2D" w:rsidRPr="00073D2D">
        <w:rPr>
          <w:rStyle w:val="Hyperlink"/>
          <w:color w:val="auto"/>
          <w:u w:val="none"/>
        </w:rPr>
        <w:t>Summary of Considerations, Inputs from the Task Force, and Recommendations for the Update of the Groundwater Monitoring Network and Ambient Water Quality Method</w:t>
      </w:r>
      <w:r w:rsidR="00073D2D">
        <w:rPr>
          <w:rStyle w:val="Hyperlink"/>
          <w:color w:val="auto"/>
          <w:u w:val="none"/>
        </w:rPr>
        <w:t>s</w:t>
      </w:r>
    </w:p>
    <w:p w14:paraId="3E49AF11" w14:textId="4B872F7A" w:rsidR="00FA06E9" w:rsidRDefault="00FA06E9" w:rsidP="00B263CA">
      <w:pPr>
        <w:pStyle w:val="TOCTableFigure"/>
        <w:rPr>
          <w:rStyle w:val="Hyperlink"/>
          <w:color w:val="auto"/>
          <w:u w:val="none"/>
        </w:rPr>
      </w:pPr>
      <w:r w:rsidRPr="00FA06E9">
        <w:rPr>
          <w:rStyle w:val="Hyperlink"/>
          <w:color w:val="auto"/>
          <w:u w:val="none"/>
        </w:rPr>
        <w:t xml:space="preserve">Table </w:t>
      </w:r>
      <w:r w:rsidR="00526712">
        <w:rPr>
          <w:rStyle w:val="Hyperlink"/>
          <w:color w:val="auto"/>
          <w:u w:val="none"/>
        </w:rPr>
        <w:t>3-1.</w:t>
      </w:r>
      <w:r w:rsidRPr="00FA06E9">
        <w:rPr>
          <w:rStyle w:val="Hyperlink"/>
          <w:color w:val="auto"/>
          <w:u w:val="none"/>
        </w:rPr>
        <w:t xml:space="preserve"> </w:t>
      </w:r>
      <w:r w:rsidR="00AA49FC">
        <w:rPr>
          <w:rStyle w:val="Hyperlink"/>
          <w:color w:val="auto"/>
          <w:u w:val="none"/>
        </w:rPr>
        <w:t>Number of Potential Data Gaps In Each GMZ and the Parties Responsible to Address Them</w:t>
      </w:r>
    </w:p>
    <w:p w14:paraId="0F066B36" w14:textId="02550D9D" w:rsidR="00BF5550" w:rsidRPr="00FA0633" w:rsidRDefault="00BF5550" w:rsidP="00BF5550">
      <w:pPr>
        <w:pStyle w:val="TOCTableFigure"/>
        <w:rPr>
          <w:rStyle w:val="Hyperlink"/>
          <w:color w:val="auto"/>
          <w:u w:val="none"/>
        </w:rPr>
      </w:pPr>
      <w:r w:rsidRPr="00BF5550">
        <w:rPr>
          <w:rStyle w:val="Hyperlink"/>
          <w:color w:val="auto"/>
          <w:u w:val="none"/>
        </w:rPr>
        <w:t>Table 4</w:t>
      </w:r>
      <w:r w:rsidR="007B0590">
        <w:rPr>
          <w:rStyle w:val="Hyperlink"/>
          <w:color w:val="auto"/>
          <w:u w:val="none"/>
        </w:rPr>
        <w:t>-</w:t>
      </w:r>
      <w:r w:rsidRPr="00BF5550">
        <w:rPr>
          <w:rStyle w:val="Hyperlink"/>
          <w:color w:val="auto"/>
          <w:u w:val="none"/>
        </w:rPr>
        <w:t>1. Schedule to Perform the 2021 Ambient Water Quality Pilot Study</w:t>
      </w:r>
    </w:p>
    <w:p w14:paraId="044BA779" w14:textId="28461149" w:rsidR="00BF5550" w:rsidRPr="00FA0633" w:rsidRDefault="00BF5550" w:rsidP="00FA0633">
      <w:pPr>
        <w:pStyle w:val="TOCTableFigure"/>
        <w:rPr>
          <w:rStyle w:val="Hyperlink"/>
          <w:color w:val="auto"/>
          <w:u w:val="none"/>
        </w:rPr>
      </w:pPr>
      <w:r w:rsidRPr="00FA0633">
        <w:rPr>
          <w:rStyle w:val="Hyperlink"/>
          <w:color w:val="auto"/>
          <w:u w:val="none"/>
        </w:rPr>
        <w:t>Table 4</w:t>
      </w:r>
      <w:r w:rsidR="007B0590">
        <w:rPr>
          <w:rStyle w:val="Hyperlink"/>
          <w:color w:val="auto"/>
          <w:u w:val="none"/>
        </w:rPr>
        <w:t>-</w:t>
      </w:r>
      <w:r w:rsidRPr="00FA0633">
        <w:rPr>
          <w:rStyle w:val="Hyperlink"/>
          <w:color w:val="auto"/>
          <w:u w:val="none"/>
        </w:rPr>
        <w:t>2. Budget Level Cost Estimate to Perform the 2021 Ambient Water Quality Pilot Study</w:t>
      </w:r>
    </w:p>
    <w:p w14:paraId="205E7E39" w14:textId="24B3A1F7" w:rsidR="00BF5550" w:rsidRPr="00FA0633" w:rsidRDefault="00BF5550" w:rsidP="00FA0633">
      <w:pPr>
        <w:pStyle w:val="TOCTableFigure"/>
        <w:rPr>
          <w:rStyle w:val="Hyperlink"/>
          <w:color w:val="auto"/>
          <w:u w:val="none"/>
        </w:rPr>
      </w:pPr>
      <w:r w:rsidRPr="00FA0633">
        <w:rPr>
          <w:rStyle w:val="Hyperlink"/>
          <w:color w:val="auto"/>
          <w:u w:val="none"/>
        </w:rPr>
        <w:t>Table 5</w:t>
      </w:r>
      <w:r w:rsidR="007B0590">
        <w:rPr>
          <w:rStyle w:val="Hyperlink"/>
          <w:color w:val="auto"/>
          <w:u w:val="none"/>
        </w:rPr>
        <w:t>-</w:t>
      </w:r>
      <w:r w:rsidRPr="00FA0633">
        <w:rPr>
          <w:rStyle w:val="Hyperlink"/>
          <w:color w:val="auto"/>
          <w:u w:val="none"/>
        </w:rPr>
        <w:t xml:space="preserve">1. </w:t>
      </w:r>
      <w:r w:rsidR="003E2572">
        <w:rPr>
          <w:rStyle w:val="Hyperlink"/>
          <w:color w:val="auto"/>
          <w:u w:val="none"/>
        </w:rPr>
        <w:t>Task Force</w:t>
      </w:r>
      <w:r w:rsidRPr="00FA0633">
        <w:rPr>
          <w:rStyle w:val="Hyperlink"/>
          <w:color w:val="auto"/>
          <w:u w:val="none"/>
        </w:rPr>
        <w:t xml:space="preserve"> Schedule of Work to Comply with the Basin Plan SNMP</w:t>
      </w:r>
    </w:p>
    <w:p w14:paraId="34503EB8" w14:textId="77777777" w:rsidR="00F04DEF" w:rsidRPr="00537AA6" w:rsidRDefault="00F04DEF" w:rsidP="0036220D">
      <w:pPr>
        <w:pStyle w:val="TOCTableFigure"/>
      </w:pPr>
      <w:r w:rsidRPr="00B263CA">
        <w:fldChar w:fldCharType="end"/>
      </w:r>
    </w:p>
    <w:p w14:paraId="0582D564" w14:textId="77777777" w:rsidR="00F04DEF" w:rsidRDefault="00F04DEF" w:rsidP="00F04DEF">
      <w:pPr>
        <w:pStyle w:val="TOCList"/>
      </w:pPr>
      <w:r>
        <w:t>LIST OF FIGURES</w:t>
      </w:r>
    </w:p>
    <w:p w14:paraId="6A01DF8F" w14:textId="77777777" w:rsidR="00B263CA" w:rsidRDefault="00B263CA" w:rsidP="00B263CA">
      <w:pPr>
        <w:pStyle w:val="TOCTableFigure"/>
      </w:pPr>
      <w:r>
        <w:t xml:space="preserve">Figure 1-1. </w:t>
      </w:r>
      <w:r w:rsidRPr="00B263CA">
        <w:t xml:space="preserve">Study Area – Santa Ana River Watershed and Groundwater Management Zones </w:t>
      </w:r>
    </w:p>
    <w:p w14:paraId="39309152" w14:textId="14F02C3E" w:rsidR="00593729" w:rsidRPr="00593729" w:rsidRDefault="00593729" w:rsidP="00593729">
      <w:pPr>
        <w:pStyle w:val="TOCTableFigure"/>
      </w:pPr>
      <w:r w:rsidRPr="00593729">
        <w:t xml:space="preserve">Figure </w:t>
      </w:r>
      <w:r w:rsidR="00902080">
        <w:t>2-1.</w:t>
      </w:r>
      <w:r w:rsidRPr="00593729">
        <w:t xml:space="preserve"> Groundwater </w:t>
      </w:r>
      <w:r w:rsidR="00902080">
        <w:t>Management Zones with Assimilative Capacity for TDS</w:t>
      </w:r>
    </w:p>
    <w:p w14:paraId="42DB9CC0" w14:textId="77777777" w:rsidR="00902080" w:rsidRDefault="00902080" w:rsidP="00B263CA">
      <w:pPr>
        <w:pStyle w:val="TOCTableFigure"/>
      </w:pPr>
      <w:r>
        <w:t>Figure 2-2. Groundwater Management Zones with Assimilative Capacity for Nitrate (as N)</w:t>
      </w:r>
    </w:p>
    <w:p w14:paraId="716AD4CE" w14:textId="0CFD77DF" w:rsidR="001704A1" w:rsidRDefault="001704A1" w:rsidP="00B263CA">
      <w:pPr>
        <w:pStyle w:val="TOCTableFigure"/>
      </w:pPr>
      <w:r w:rsidRPr="001704A1">
        <w:t>Figure 2 3. Ambient TDS Con</w:t>
      </w:r>
      <w:r>
        <w:t>cen</w:t>
      </w:r>
      <w:r w:rsidRPr="001704A1">
        <w:t>trations in the Perris South GMZ</w:t>
      </w:r>
    </w:p>
    <w:p w14:paraId="64D59006" w14:textId="792606B1" w:rsidR="00F04DEF" w:rsidRPr="00537AA6" w:rsidRDefault="00902080" w:rsidP="00B263CA">
      <w:pPr>
        <w:pStyle w:val="TOCTableFigure"/>
      </w:pPr>
      <w:r>
        <w:t xml:space="preserve"> </w:t>
      </w:r>
      <w:r w:rsidR="00C06F2F">
        <w:fldChar w:fldCharType="begin"/>
      </w:r>
      <w:r w:rsidR="00C06F2F">
        <w:instrText xml:space="preserve"> TOC \h \z \t "figure,1,WY Level 1,1" </w:instrText>
      </w:r>
      <w:r w:rsidR="00C06F2F">
        <w:fldChar w:fldCharType="separate"/>
      </w:r>
      <w:r w:rsidR="00C06F2F">
        <w:fldChar w:fldCharType="end"/>
      </w:r>
    </w:p>
    <w:p w14:paraId="700331BC" w14:textId="77777777" w:rsidR="00F04DEF" w:rsidRDefault="00F04DEF" w:rsidP="00F04DEF">
      <w:pPr>
        <w:pStyle w:val="TOCList"/>
      </w:pPr>
      <w:r>
        <w:t>LIST OF APPENDICES</w:t>
      </w:r>
    </w:p>
    <w:p w14:paraId="4597E74B" w14:textId="402DFE06" w:rsidR="00C328E5" w:rsidRPr="005C49EE" w:rsidRDefault="00C328E5" w:rsidP="005C49EE">
      <w:pPr>
        <w:pStyle w:val="TOCAppendices"/>
      </w:pPr>
      <w:r w:rsidRPr="005C49EE">
        <w:t xml:space="preserve">Appendix A. </w:t>
      </w:r>
      <w:r w:rsidR="009B624F" w:rsidRPr="009B624F">
        <w:t>GMZ Groundwater Monitoring Networks</w:t>
      </w:r>
    </w:p>
    <w:p w14:paraId="6F90F498" w14:textId="6F5CDDB5" w:rsidR="00C328E5" w:rsidRDefault="00C328E5" w:rsidP="005C49EE">
      <w:pPr>
        <w:pStyle w:val="TOCAppendices"/>
      </w:pPr>
      <w:r w:rsidRPr="005C49EE">
        <w:t xml:space="preserve">Appendix B. </w:t>
      </w:r>
      <w:r w:rsidR="009E1EF1">
        <w:t>Characterization of Historical and Ongoing Groundwater Monitoring Networks Relative to the Spatial Distribution of Ambient TDS Concentrations and Groundwater Storage</w:t>
      </w:r>
    </w:p>
    <w:p w14:paraId="7DC5093E" w14:textId="6F380598" w:rsidR="007817C1" w:rsidRDefault="007817C1" w:rsidP="007817C1">
      <w:pPr>
        <w:pStyle w:val="TOCAppendices"/>
      </w:pPr>
      <w:r w:rsidRPr="005C49EE">
        <w:t xml:space="preserve">Appendix </w:t>
      </w:r>
      <w:r>
        <w:t>C</w:t>
      </w:r>
      <w:r w:rsidRPr="005C49EE">
        <w:t xml:space="preserve">. </w:t>
      </w:r>
      <w:r w:rsidR="005242D2">
        <w:t>GMZ Potential Data Gaps</w:t>
      </w:r>
    </w:p>
    <w:p w14:paraId="16DE11F9" w14:textId="7E2E63FE" w:rsidR="007817C1" w:rsidRPr="005C49EE" w:rsidRDefault="007817C1" w:rsidP="007817C1">
      <w:pPr>
        <w:pStyle w:val="TOCAppendices"/>
      </w:pPr>
      <w:r w:rsidRPr="005C49EE">
        <w:t xml:space="preserve">Appendix </w:t>
      </w:r>
      <w:r>
        <w:t>D</w:t>
      </w:r>
      <w:r w:rsidRPr="005C49EE">
        <w:t xml:space="preserve">. </w:t>
      </w:r>
      <w:r w:rsidR="005242D2">
        <w:t>Task Force Workshop Presentations</w:t>
      </w:r>
    </w:p>
    <w:p w14:paraId="33F69C7C" w14:textId="1DF81EBE" w:rsidR="007817C1" w:rsidRPr="005C49EE" w:rsidRDefault="00477A64">
      <w:pPr>
        <w:spacing w:after="0"/>
        <w:jc w:val="left"/>
      </w:pPr>
      <w:r>
        <w:br w:type="page"/>
      </w:r>
    </w:p>
    <w:p w14:paraId="52C014BF" w14:textId="77777777" w:rsidR="007817C1" w:rsidRPr="005C49EE" w:rsidRDefault="007817C1" w:rsidP="007817C1">
      <w:pPr>
        <w:pStyle w:val="TOCAppendices"/>
      </w:pPr>
    </w:p>
    <w:p w14:paraId="7020F9FA" w14:textId="77777777" w:rsidR="00F04DEF" w:rsidRDefault="00F04DEF" w:rsidP="00F04DEF">
      <w:pPr>
        <w:pStyle w:val="TOCList"/>
      </w:pPr>
      <w:r>
        <w:t>LIST OF ACRONYMS AND ABBREVIATIONS</w:t>
      </w:r>
    </w:p>
    <w:tbl>
      <w:tblPr>
        <w:tblW w:w="10085" w:type="dxa"/>
        <w:tblInd w:w="270" w:type="dxa"/>
        <w:tblLook w:val="04A0" w:firstRow="1" w:lastRow="0" w:firstColumn="1" w:lastColumn="0" w:noHBand="0" w:noVBand="1"/>
        <w:tblDescription w:val="List of acronyms and abbrevidations used in this report in alphabetical order"/>
      </w:tblPr>
      <w:tblGrid>
        <w:gridCol w:w="1800"/>
        <w:gridCol w:w="7475"/>
        <w:gridCol w:w="810"/>
      </w:tblGrid>
      <w:tr w:rsidR="00F04DEF" w14:paraId="5F53831C" w14:textId="77777777">
        <w:tc>
          <w:tcPr>
            <w:tcW w:w="1800" w:type="dxa"/>
          </w:tcPr>
          <w:p w14:paraId="3C22D146" w14:textId="77777777" w:rsidR="00F04DEF" w:rsidRDefault="00F04DEF">
            <w:pPr>
              <w:pStyle w:val="Table"/>
              <w:ind w:left="-15"/>
            </w:pPr>
          </w:p>
        </w:tc>
        <w:tc>
          <w:tcPr>
            <w:tcW w:w="7475" w:type="dxa"/>
          </w:tcPr>
          <w:p w14:paraId="1EC3422C" w14:textId="77777777" w:rsidR="00F04DEF" w:rsidRDefault="00F04DEF">
            <w:pPr>
              <w:pStyle w:val="Table"/>
            </w:pPr>
          </w:p>
        </w:tc>
        <w:tc>
          <w:tcPr>
            <w:tcW w:w="810" w:type="dxa"/>
          </w:tcPr>
          <w:p w14:paraId="43CE605C" w14:textId="77777777" w:rsidR="00F04DEF" w:rsidRDefault="00F04DEF">
            <w:pPr>
              <w:pStyle w:val="Table"/>
            </w:pPr>
          </w:p>
        </w:tc>
      </w:tr>
      <w:tr w:rsidR="00F04DEF" w14:paraId="51F0BEA9" w14:textId="77777777">
        <w:tc>
          <w:tcPr>
            <w:tcW w:w="1800" w:type="dxa"/>
          </w:tcPr>
          <w:p w14:paraId="21D9B346" w14:textId="77777777" w:rsidR="00F04DEF" w:rsidRDefault="00F04DEF">
            <w:pPr>
              <w:pStyle w:val="Table"/>
            </w:pPr>
          </w:p>
        </w:tc>
        <w:tc>
          <w:tcPr>
            <w:tcW w:w="7475" w:type="dxa"/>
          </w:tcPr>
          <w:p w14:paraId="37BF3FB3" w14:textId="77777777" w:rsidR="00F04DEF" w:rsidRDefault="00F04DEF">
            <w:pPr>
              <w:pStyle w:val="Table"/>
            </w:pPr>
          </w:p>
        </w:tc>
        <w:tc>
          <w:tcPr>
            <w:tcW w:w="810" w:type="dxa"/>
          </w:tcPr>
          <w:p w14:paraId="3EFB8381" w14:textId="77777777" w:rsidR="00F04DEF" w:rsidRDefault="00F04DEF">
            <w:pPr>
              <w:pStyle w:val="Table"/>
            </w:pPr>
          </w:p>
        </w:tc>
      </w:tr>
      <w:tr w:rsidR="00F04DEF" w14:paraId="66E20E1D" w14:textId="77777777">
        <w:tc>
          <w:tcPr>
            <w:tcW w:w="1800" w:type="dxa"/>
          </w:tcPr>
          <w:p w14:paraId="1BCF2839" w14:textId="77777777" w:rsidR="00F04DEF" w:rsidRDefault="00F04DEF">
            <w:pPr>
              <w:pStyle w:val="Table"/>
            </w:pPr>
          </w:p>
        </w:tc>
        <w:tc>
          <w:tcPr>
            <w:tcW w:w="7475" w:type="dxa"/>
          </w:tcPr>
          <w:p w14:paraId="7546C97A" w14:textId="77777777" w:rsidR="00F04DEF" w:rsidRDefault="00F04DEF">
            <w:pPr>
              <w:pStyle w:val="Table"/>
            </w:pPr>
          </w:p>
        </w:tc>
        <w:tc>
          <w:tcPr>
            <w:tcW w:w="810" w:type="dxa"/>
          </w:tcPr>
          <w:p w14:paraId="37AC450E" w14:textId="77777777" w:rsidR="00F04DEF" w:rsidRDefault="00F04DEF">
            <w:pPr>
              <w:pStyle w:val="Table"/>
            </w:pPr>
          </w:p>
        </w:tc>
      </w:tr>
      <w:tr w:rsidR="00F04DEF" w14:paraId="4000485F" w14:textId="77777777">
        <w:tc>
          <w:tcPr>
            <w:tcW w:w="1800" w:type="dxa"/>
          </w:tcPr>
          <w:p w14:paraId="09445B2F" w14:textId="77777777" w:rsidR="00F04DEF" w:rsidRDefault="00F04DEF">
            <w:pPr>
              <w:pStyle w:val="Table"/>
            </w:pPr>
          </w:p>
        </w:tc>
        <w:tc>
          <w:tcPr>
            <w:tcW w:w="7475" w:type="dxa"/>
          </w:tcPr>
          <w:p w14:paraId="1E6ADC17" w14:textId="77777777" w:rsidR="00F04DEF" w:rsidRDefault="00F04DEF">
            <w:pPr>
              <w:pStyle w:val="Table"/>
            </w:pPr>
          </w:p>
        </w:tc>
        <w:tc>
          <w:tcPr>
            <w:tcW w:w="810" w:type="dxa"/>
          </w:tcPr>
          <w:p w14:paraId="048A12CF" w14:textId="77777777" w:rsidR="00F04DEF" w:rsidRDefault="00F04DEF">
            <w:pPr>
              <w:pStyle w:val="Table"/>
            </w:pPr>
          </w:p>
        </w:tc>
      </w:tr>
      <w:tr w:rsidR="00F04DEF" w14:paraId="573E48FB" w14:textId="77777777">
        <w:tc>
          <w:tcPr>
            <w:tcW w:w="1800" w:type="dxa"/>
          </w:tcPr>
          <w:p w14:paraId="65E52EB0" w14:textId="77777777" w:rsidR="00F04DEF" w:rsidRDefault="00F04DEF">
            <w:pPr>
              <w:pStyle w:val="Table"/>
            </w:pPr>
          </w:p>
        </w:tc>
        <w:tc>
          <w:tcPr>
            <w:tcW w:w="7475" w:type="dxa"/>
          </w:tcPr>
          <w:p w14:paraId="243D0F66" w14:textId="77777777" w:rsidR="00F04DEF" w:rsidRDefault="00F04DEF">
            <w:pPr>
              <w:pStyle w:val="Table"/>
            </w:pPr>
          </w:p>
        </w:tc>
        <w:tc>
          <w:tcPr>
            <w:tcW w:w="810" w:type="dxa"/>
          </w:tcPr>
          <w:p w14:paraId="55848063" w14:textId="77777777" w:rsidR="00F04DEF" w:rsidRDefault="00F04DEF">
            <w:pPr>
              <w:pStyle w:val="Table"/>
            </w:pPr>
          </w:p>
        </w:tc>
      </w:tr>
      <w:tr w:rsidR="00F04DEF" w14:paraId="432FE3DC" w14:textId="77777777">
        <w:tc>
          <w:tcPr>
            <w:tcW w:w="1800" w:type="dxa"/>
          </w:tcPr>
          <w:p w14:paraId="0B82980F" w14:textId="77777777" w:rsidR="00F04DEF" w:rsidRDefault="00F04DEF">
            <w:pPr>
              <w:pStyle w:val="Table"/>
            </w:pPr>
          </w:p>
        </w:tc>
        <w:tc>
          <w:tcPr>
            <w:tcW w:w="7475" w:type="dxa"/>
          </w:tcPr>
          <w:p w14:paraId="2C1026E1" w14:textId="77777777" w:rsidR="00F04DEF" w:rsidRDefault="00F04DEF">
            <w:pPr>
              <w:pStyle w:val="Table"/>
            </w:pPr>
          </w:p>
        </w:tc>
        <w:tc>
          <w:tcPr>
            <w:tcW w:w="810" w:type="dxa"/>
          </w:tcPr>
          <w:p w14:paraId="02B05EC2" w14:textId="77777777" w:rsidR="00F04DEF" w:rsidRDefault="00F04DEF">
            <w:pPr>
              <w:pStyle w:val="Table"/>
            </w:pPr>
          </w:p>
        </w:tc>
      </w:tr>
    </w:tbl>
    <w:p w14:paraId="1F454F49" w14:textId="77777777" w:rsidR="00F04DEF" w:rsidRDefault="00F04DEF" w:rsidP="00F04DEF">
      <w:pPr>
        <w:rPr>
          <w:rFonts w:cstheme="minorHAnsi"/>
        </w:rPr>
      </w:pPr>
    </w:p>
    <w:bookmarkEnd w:id="1"/>
    <w:p w14:paraId="40FF5E43" w14:textId="77777777" w:rsidR="00616F7D" w:rsidRPr="00616F7D" w:rsidRDefault="00616F7D" w:rsidP="00616F7D">
      <w:pPr>
        <w:rPr>
          <w:rFonts w:cstheme="minorHAnsi"/>
        </w:rPr>
      </w:pPr>
    </w:p>
    <w:bookmarkEnd w:id="2"/>
    <w:p w14:paraId="1FD019C4" w14:textId="77777777" w:rsidR="00616F7D" w:rsidRPr="00616F7D" w:rsidRDefault="00616F7D" w:rsidP="00616F7D">
      <w:pPr>
        <w:rPr>
          <w:rFonts w:cstheme="minorHAnsi"/>
        </w:rPr>
      </w:pPr>
    </w:p>
    <w:p w14:paraId="0D793D7D" w14:textId="77777777" w:rsidR="00616F7D" w:rsidRPr="00616F7D" w:rsidRDefault="00616F7D" w:rsidP="00616F7D">
      <w:pPr>
        <w:rPr>
          <w:rFonts w:cstheme="minorHAnsi"/>
        </w:rPr>
      </w:pPr>
    </w:p>
    <w:p w14:paraId="7F388A3F" w14:textId="77777777" w:rsidR="00616F7D" w:rsidRPr="00616F7D" w:rsidRDefault="00616F7D" w:rsidP="00616F7D">
      <w:pPr>
        <w:rPr>
          <w:rFonts w:cstheme="minorHAnsi"/>
        </w:rPr>
      </w:pPr>
    </w:p>
    <w:p w14:paraId="371C88AD" w14:textId="77777777" w:rsidR="00616F7D" w:rsidRPr="00616F7D" w:rsidRDefault="00616F7D" w:rsidP="00616F7D">
      <w:pPr>
        <w:rPr>
          <w:rFonts w:cstheme="minorHAnsi"/>
        </w:rPr>
      </w:pPr>
    </w:p>
    <w:p w14:paraId="5CB41D01" w14:textId="77777777" w:rsidR="00616F7D" w:rsidRPr="00616F7D" w:rsidRDefault="00616F7D" w:rsidP="00616F7D">
      <w:pPr>
        <w:rPr>
          <w:rFonts w:cstheme="minorHAnsi"/>
        </w:rPr>
      </w:pPr>
    </w:p>
    <w:p w14:paraId="04C98622" w14:textId="77777777" w:rsidR="00616F7D" w:rsidRPr="00616F7D" w:rsidRDefault="00616F7D" w:rsidP="00616F7D">
      <w:pPr>
        <w:rPr>
          <w:rFonts w:cstheme="minorHAnsi"/>
        </w:rPr>
      </w:pPr>
    </w:p>
    <w:p w14:paraId="422B86DD" w14:textId="77777777" w:rsidR="00616F7D" w:rsidRPr="00616F7D" w:rsidRDefault="00616F7D" w:rsidP="009F4950">
      <w:pPr>
        <w:tabs>
          <w:tab w:val="left" w:pos="8426"/>
        </w:tabs>
        <w:rPr>
          <w:rFonts w:cstheme="minorHAnsi"/>
        </w:rPr>
      </w:pPr>
    </w:p>
    <w:p w14:paraId="1AE1B530" w14:textId="77777777" w:rsidR="00616F7D" w:rsidRPr="00616F7D" w:rsidRDefault="00616F7D" w:rsidP="00616F7D">
      <w:pPr>
        <w:rPr>
          <w:rFonts w:cstheme="minorHAnsi"/>
        </w:rPr>
      </w:pPr>
    </w:p>
    <w:p w14:paraId="5FF0B14D" w14:textId="77777777" w:rsidR="00616F7D" w:rsidRPr="00616F7D" w:rsidRDefault="00616F7D" w:rsidP="00616F7D">
      <w:pPr>
        <w:rPr>
          <w:rFonts w:cstheme="minorHAnsi"/>
        </w:rPr>
      </w:pPr>
    </w:p>
    <w:p w14:paraId="2FCEC006" w14:textId="77777777" w:rsidR="00616F7D" w:rsidRPr="00616F7D" w:rsidRDefault="00616F7D" w:rsidP="00616F7D">
      <w:pPr>
        <w:rPr>
          <w:rFonts w:cstheme="minorHAnsi"/>
        </w:rPr>
      </w:pPr>
    </w:p>
    <w:p w14:paraId="29A972FC" w14:textId="77777777" w:rsidR="005C07AA" w:rsidRPr="005C07AA" w:rsidRDefault="005C07AA" w:rsidP="005C07AA">
      <w:pPr>
        <w:rPr>
          <w:rFonts w:cstheme="minorHAnsi"/>
        </w:rPr>
      </w:pPr>
    </w:p>
    <w:p w14:paraId="64ACE7FD" w14:textId="77777777" w:rsidR="005C07AA" w:rsidRPr="005C07AA" w:rsidRDefault="005C07AA" w:rsidP="005C07AA">
      <w:pPr>
        <w:rPr>
          <w:rFonts w:cstheme="minorHAnsi"/>
        </w:rPr>
      </w:pPr>
    </w:p>
    <w:p w14:paraId="584CC8D3" w14:textId="77777777" w:rsidR="005C07AA" w:rsidRPr="005C07AA" w:rsidRDefault="005C07AA" w:rsidP="005C07AA">
      <w:pPr>
        <w:rPr>
          <w:rFonts w:cstheme="minorHAnsi"/>
        </w:rPr>
      </w:pPr>
    </w:p>
    <w:p w14:paraId="14C1206B" w14:textId="77777777" w:rsidR="005C07AA" w:rsidRPr="005C07AA" w:rsidRDefault="005C07AA" w:rsidP="005C07AA">
      <w:pPr>
        <w:rPr>
          <w:rFonts w:cstheme="minorHAnsi"/>
        </w:rPr>
      </w:pPr>
    </w:p>
    <w:p w14:paraId="50057393" w14:textId="77777777" w:rsidR="00E07FBD" w:rsidRPr="00E07FBD" w:rsidRDefault="00E07FBD" w:rsidP="00E07FBD">
      <w:pPr>
        <w:rPr>
          <w:rFonts w:cstheme="minorHAnsi"/>
        </w:rPr>
      </w:pPr>
    </w:p>
    <w:p w14:paraId="7C2FABE9" w14:textId="77777777" w:rsidR="00E07FBD" w:rsidRPr="00E07FBD" w:rsidRDefault="00E07FBD" w:rsidP="00E07FBD">
      <w:pPr>
        <w:rPr>
          <w:rFonts w:cstheme="minorHAnsi"/>
        </w:rPr>
      </w:pPr>
    </w:p>
    <w:p w14:paraId="4BE2FDDC" w14:textId="77777777" w:rsidR="00E07FBD" w:rsidRPr="00E07FBD" w:rsidRDefault="00E07FBD" w:rsidP="00E07FBD">
      <w:pPr>
        <w:tabs>
          <w:tab w:val="left" w:pos="987"/>
        </w:tabs>
        <w:rPr>
          <w:rFonts w:cstheme="minorHAnsi"/>
        </w:rPr>
      </w:pPr>
    </w:p>
    <w:p w14:paraId="5E31B045" w14:textId="77777777" w:rsidR="009A35DC" w:rsidRPr="009A35DC" w:rsidRDefault="009A35DC" w:rsidP="009A35DC">
      <w:pPr>
        <w:rPr>
          <w:rFonts w:cstheme="minorHAnsi"/>
        </w:rPr>
      </w:pPr>
    </w:p>
    <w:p w14:paraId="33442E9E" w14:textId="77777777" w:rsidR="009A35DC" w:rsidRDefault="009A35DC" w:rsidP="009A35DC">
      <w:pPr>
        <w:tabs>
          <w:tab w:val="left" w:pos="2175"/>
        </w:tabs>
        <w:rPr>
          <w:rFonts w:cstheme="minorHAnsi"/>
        </w:rPr>
      </w:pPr>
    </w:p>
    <w:p w14:paraId="59BD3E49" w14:textId="77777777" w:rsidR="009A35DC" w:rsidRDefault="009A35DC" w:rsidP="009A35DC">
      <w:pPr>
        <w:tabs>
          <w:tab w:val="left" w:pos="2175"/>
        </w:tabs>
        <w:rPr>
          <w:rFonts w:cstheme="minorHAnsi"/>
        </w:rPr>
      </w:pPr>
    </w:p>
    <w:p w14:paraId="4C0B5D05" w14:textId="77777777" w:rsidR="009A35DC" w:rsidRPr="009A35DC" w:rsidRDefault="009A35DC" w:rsidP="009A35DC">
      <w:pPr>
        <w:tabs>
          <w:tab w:val="left" w:pos="2175"/>
        </w:tabs>
        <w:rPr>
          <w:rFonts w:cstheme="minorHAnsi"/>
        </w:rPr>
      </w:pPr>
    </w:p>
    <w:p w14:paraId="6AFC753C" w14:textId="77777777" w:rsidR="009A35DC" w:rsidRDefault="009A35DC" w:rsidP="009A35DC">
      <w:pPr>
        <w:rPr>
          <w:rFonts w:cstheme="minorHAnsi"/>
        </w:rPr>
      </w:pPr>
    </w:p>
    <w:p w14:paraId="722A78A1" w14:textId="77777777" w:rsidR="009A35DC" w:rsidRPr="009A35DC" w:rsidRDefault="009A35DC" w:rsidP="009A35DC">
      <w:pPr>
        <w:rPr>
          <w:rFonts w:cstheme="minorHAnsi"/>
        </w:rPr>
        <w:sectPr w:rsidR="009A35DC" w:rsidRPr="009A35DC" w:rsidSect="00A610D1">
          <w:headerReference w:type="even" r:id="rId19"/>
          <w:headerReference w:type="default" r:id="rId20"/>
          <w:footerReference w:type="default" r:id="rId21"/>
          <w:headerReference w:type="first" r:id="rId22"/>
          <w:footerReference w:type="first" r:id="rId23"/>
          <w:pgSz w:w="12240" w:h="15840" w:code="1"/>
          <w:pgMar w:top="1728" w:right="1440" w:bottom="720" w:left="1440" w:header="288" w:footer="288" w:gutter="0"/>
          <w:pgNumType w:fmt="lowerRoman" w:start="1"/>
          <w:cols w:space="720"/>
          <w:titlePg/>
        </w:sectPr>
      </w:pPr>
    </w:p>
    <w:p w14:paraId="62629FD0" w14:textId="04C746BD" w:rsidR="00A91E7D" w:rsidRPr="00BE16BD" w:rsidRDefault="00F77EAA" w:rsidP="00BE16BD">
      <w:pPr>
        <w:spacing w:before="360" w:after="0"/>
        <w:jc w:val="center"/>
        <w:rPr>
          <w:b/>
          <w:caps/>
          <w:color w:val="FFFFFF" w:themeColor="background1"/>
          <w:sz w:val="36"/>
          <w:szCs w:val="36"/>
        </w:rPr>
      </w:pPr>
      <w:bookmarkStart w:id="3" w:name="_Toc412556599"/>
      <w:bookmarkStart w:id="4" w:name="_Toc412556993"/>
      <w:bookmarkStart w:id="5" w:name="_Toc412557047"/>
      <w:bookmarkStart w:id="6" w:name="_Toc412557097"/>
      <w:bookmarkStart w:id="7" w:name="_Toc412556600"/>
      <w:bookmarkStart w:id="8" w:name="_Toc412556994"/>
      <w:bookmarkStart w:id="9" w:name="_Toc412557048"/>
      <w:bookmarkStart w:id="10" w:name="_Toc412557098"/>
      <w:bookmarkEnd w:id="3"/>
      <w:bookmarkEnd w:id="4"/>
      <w:bookmarkEnd w:id="5"/>
      <w:bookmarkEnd w:id="6"/>
      <w:r>
        <w:rPr>
          <w:color w:val="FFFFFF" w:themeColor="background1"/>
          <w:sz w:val="36"/>
          <w:szCs w:val="36"/>
        </w:rPr>
        <w:lastRenderedPageBreak/>
        <w:t>2022 Groundwater Monitoring Program</w:t>
      </w:r>
    </w:p>
    <w:p w14:paraId="7C99DAFB" w14:textId="77777777" w:rsidR="00BE16BD" w:rsidRPr="00BE16BD" w:rsidRDefault="00BE16BD" w:rsidP="00BE16BD"/>
    <w:p w14:paraId="3572C905" w14:textId="48644013" w:rsidR="00035C62" w:rsidRDefault="00BA328A" w:rsidP="00A54806">
      <w:pPr>
        <w:pStyle w:val="Heading1"/>
      </w:pPr>
      <w:bookmarkStart w:id="11" w:name="_Toc117719771"/>
      <w:bookmarkEnd w:id="7"/>
      <w:bookmarkEnd w:id="8"/>
      <w:bookmarkEnd w:id="9"/>
      <w:bookmarkEnd w:id="10"/>
      <w:r>
        <w:t>Introduction</w:t>
      </w:r>
      <w:bookmarkEnd w:id="11"/>
    </w:p>
    <w:p w14:paraId="5C5D314B" w14:textId="5340920E" w:rsidR="0002789C" w:rsidRDefault="006E3616" w:rsidP="00035C62">
      <w:r>
        <w:t xml:space="preserve">This report documents the 2022 Groundwater Monitoring Program (2022 GMP) for the Santa Ana River </w:t>
      </w:r>
      <w:r w:rsidR="00694DC2">
        <w:t xml:space="preserve">(SAR) </w:t>
      </w:r>
      <w:r>
        <w:t>Watershed and was prepared by the Basin Monitoring Program Task Force (Task Force)</w:t>
      </w:r>
      <w:r w:rsidRPr="006E3616">
        <w:t xml:space="preserve"> </w:t>
      </w:r>
      <w:r>
        <w:t>that is administered by the Santa Ana River Watershed Project Authority (SAWPA). The 2022 GMP was prepared pursuant to the requirements in the Water Quality Control Plan for the Santa Ana River Basin (Basin Plan), as amended by the Santa Ana Regional Water Quality Control Board (Santa Ana Water Board) in December 2021</w:t>
      </w:r>
      <w:r w:rsidR="00BD1D1B">
        <w:t>.</w:t>
      </w:r>
      <w:r>
        <w:rPr>
          <w:rStyle w:val="FootnoteReference"/>
        </w:rPr>
        <w:footnoteReference w:id="2"/>
      </w:r>
    </w:p>
    <w:p w14:paraId="2474433A" w14:textId="0BD49941" w:rsidR="00876E42" w:rsidRDefault="00876E42" w:rsidP="00876E42">
      <w:pPr>
        <w:pStyle w:val="Heading2"/>
      </w:pPr>
      <w:bookmarkStart w:id="12" w:name="_Toc117719772"/>
      <w:r>
        <w:t>Purpose and Report Organization</w:t>
      </w:r>
      <w:bookmarkEnd w:id="12"/>
    </w:p>
    <w:p w14:paraId="467F32DE" w14:textId="752EE8A4" w:rsidR="0002789C" w:rsidRDefault="006E3616" w:rsidP="008B03EB">
      <w:r>
        <w:t>The purpose of the 2022 GMP is to</w:t>
      </w:r>
      <w:r w:rsidR="00BD1D1B">
        <w:t xml:space="preserve"> (</w:t>
      </w:r>
      <w:proofErr w:type="spellStart"/>
      <w:r w:rsidR="00BD1D1B">
        <w:t>i</w:t>
      </w:r>
      <w:proofErr w:type="spellEnd"/>
      <w:r w:rsidR="00BD1D1B">
        <w:t>)</w:t>
      </w:r>
      <w:r w:rsidR="0002789C">
        <w:t xml:space="preserve"> document the current groundwater monitoring program that is implemented by the Task Force to comply with the Basin Plan</w:t>
      </w:r>
      <w:r w:rsidR="00BD1D1B">
        <w:t>,</w:t>
      </w:r>
      <w:r w:rsidR="0002789C">
        <w:t xml:space="preserve"> </w:t>
      </w:r>
      <w:r w:rsidR="00CF0B52">
        <w:t xml:space="preserve">(ii) define the scope of work to perform the assessment of ambient water quality (AWQ) and assimilative capacity due in 2023, </w:t>
      </w:r>
      <w:r w:rsidR="0002789C">
        <w:t>and</w:t>
      </w:r>
      <w:r w:rsidR="00BD1D1B">
        <w:t xml:space="preserve"> (ii)</w:t>
      </w:r>
      <w:r w:rsidR="0002789C">
        <w:t xml:space="preserve"> </w:t>
      </w:r>
      <w:r w:rsidR="008B03EB">
        <w:t xml:space="preserve">provide </w:t>
      </w:r>
      <w:r w:rsidR="0002789C">
        <w:t xml:space="preserve">the framework for the </w:t>
      </w:r>
      <w:r w:rsidR="00BD1D1B">
        <w:t xml:space="preserve">Task Force’s </w:t>
      </w:r>
      <w:r w:rsidR="0002789C">
        <w:t>ongoing work to implement the Basin Plan T</w:t>
      </w:r>
      <w:r w:rsidR="002E0BDC">
        <w:t xml:space="preserve">otal </w:t>
      </w:r>
      <w:r w:rsidR="0002789C">
        <w:t>D</w:t>
      </w:r>
      <w:r w:rsidR="002E0BDC">
        <w:t xml:space="preserve">issolved </w:t>
      </w:r>
      <w:r w:rsidR="0002789C">
        <w:t>S</w:t>
      </w:r>
      <w:r w:rsidR="002E0BDC">
        <w:t>olids</w:t>
      </w:r>
      <w:r w:rsidR="0002789C">
        <w:t xml:space="preserve"> and Nitrogen Management Plan </w:t>
      </w:r>
      <w:r w:rsidR="002E0BDC">
        <w:t>(</w:t>
      </w:r>
      <w:r w:rsidR="002678A7">
        <w:t xml:space="preserve">hereafter referred to as the </w:t>
      </w:r>
      <w:r w:rsidR="002E0BDC">
        <w:t xml:space="preserve">Basin Plan </w:t>
      </w:r>
      <w:r w:rsidR="002678A7">
        <w:t>SNMP</w:t>
      </w:r>
      <w:r w:rsidR="002E0BDC">
        <w:t xml:space="preserve">) </w:t>
      </w:r>
      <w:r w:rsidR="0002789C">
        <w:t xml:space="preserve">from fiscal year 2022/23 through 2020/29. </w:t>
      </w:r>
      <w:r w:rsidR="008B03EB">
        <w:t>The 2022 GMP report documents:</w:t>
      </w:r>
    </w:p>
    <w:p w14:paraId="0CE7F276" w14:textId="06F26F39" w:rsidR="008B03EB" w:rsidRDefault="008B03EB" w:rsidP="00133081">
      <w:pPr>
        <w:pStyle w:val="ListParagraph"/>
        <w:numPr>
          <w:ilvl w:val="0"/>
          <w:numId w:val="20"/>
        </w:numPr>
        <w:spacing w:after="80"/>
        <w:contextualSpacing w:val="0"/>
        <w:jc w:val="left"/>
      </w:pPr>
      <w:r>
        <w:t>T</w:t>
      </w:r>
      <w:r w:rsidR="006E3616">
        <w:t>he groundwater monitoring</w:t>
      </w:r>
      <w:r w:rsidR="00F77EAA">
        <w:t xml:space="preserve"> </w:t>
      </w:r>
      <w:r>
        <w:t xml:space="preserve">networks </w:t>
      </w:r>
      <w:r w:rsidR="00AD38DE">
        <w:t>of</w:t>
      </w:r>
      <w:r>
        <w:t xml:space="preserve"> the 35 groundwater management zones (GMZs) in the SAR Watershed</w:t>
      </w:r>
    </w:p>
    <w:p w14:paraId="3BDC3628" w14:textId="228041AF" w:rsidR="006E3616" w:rsidRDefault="008B03EB" w:rsidP="00133081">
      <w:pPr>
        <w:pStyle w:val="ListParagraph"/>
        <w:numPr>
          <w:ilvl w:val="0"/>
          <w:numId w:val="20"/>
        </w:numPr>
        <w:spacing w:after="80"/>
        <w:contextualSpacing w:val="0"/>
        <w:jc w:val="left"/>
      </w:pPr>
      <w:r>
        <w:t xml:space="preserve">The GMZs with potential data gaps for which additional information needs to be compiled and reviewed to </w:t>
      </w:r>
      <w:r w:rsidR="00BD1D1B">
        <w:t>confirm</w:t>
      </w:r>
      <w:r>
        <w:t xml:space="preserve"> data gaps in the monitoring networks</w:t>
      </w:r>
    </w:p>
    <w:p w14:paraId="4C9441B3" w14:textId="4A4320B5" w:rsidR="00F77EAA" w:rsidRDefault="008B03EB" w:rsidP="00133081">
      <w:pPr>
        <w:pStyle w:val="ListParagraph"/>
        <w:numPr>
          <w:ilvl w:val="0"/>
          <w:numId w:val="20"/>
        </w:numPr>
        <w:spacing w:after="80"/>
        <w:contextualSpacing w:val="0"/>
        <w:jc w:val="left"/>
      </w:pPr>
      <w:r>
        <w:t>T</w:t>
      </w:r>
      <w:r w:rsidR="00F77EAA">
        <w:t xml:space="preserve">he additional information needed to fill potential data gaps in the monitoring network and </w:t>
      </w:r>
      <w:r>
        <w:t>the</w:t>
      </w:r>
      <w:r w:rsidR="00F77EAA">
        <w:t xml:space="preserve"> process </w:t>
      </w:r>
      <w:r>
        <w:t xml:space="preserve">and schedule </w:t>
      </w:r>
      <w:r w:rsidR="00F77EAA">
        <w:t>to obtain the information and fill any data gaps</w:t>
      </w:r>
    </w:p>
    <w:p w14:paraId="174E7822" w14:textId="44D6F11B" w:rsidR="00F77EAA" w:rsidRDefault="008B03EB" w:rsidP="00133081">
      <w:pPr>
        <w:pStyle w:val="ListParagraph"/>
        <w:numPr>
          <w:ilvl w:val="0"/>
          <w:numId w:val="20"/>
        </w:numPr>
        <w:spacing w:after="80"/>
        <w:contextualSpacing w:val="0"/>
        <w:jc w:val="left"/>
      </w:pPr>
      <w:r>
        <w:t>The scope of work to perform the 2021 Ambient Water Quality Pilot Study</w:t>
      </w:r>
      <w:r w:rsidR="00BD1D1B">
        <w:t xml:space="preserve"> (AWQ Pilot Study)</w:t>
      </w:r>
      <w:r>
        <w:t xml:space="preserve">, the objective of which is to explore improved and/or alternative methods to periodically recompute </w:t>
      </w:r>
      <w:r w:rsidR="00CF0B52">
        <w:t>AWQ</w:t>
      </w:r>
      <w:r>
        <w:t xml:space="preserve"> and determine the assimilative capacity of the 35 GMZs </w:t>
      </w:r>
    </w:p>
    <w:p w14:paraId="34ECB417" w14:textId="61F93A53" w:rsidR="00F77EAA" w:rsidRDefault="00C677D1" w:rsidP="00133081">
      <w:pPr>
        <w:pStyle w:val="ListParagraph"/>
        <w:numPr>
          <w:ilvl w:val="0"/>
          <w:numId w:val="20"/>
        </w:numPr>
        <w:jc w:val="left"/>
      </w:pPr>
      <w:r>
        <w:t>The schedule of work to be performed by the Task Force and its members</w:t>
      </w:r>
      <w:r w:rsidR="00876E42">
        <w:t xml:space="preserve"> from now </w:t>
      </w:r>
      <w:r>
        <w:t xml:space="preserve">through April 2029, which is the </w:t>
      </w:r>
      <w:r w:rsidR="0001516D">
        <w:t>Santa Ana Water Board</w:t>
      </w:r>
      <w:r>
        <w:t xml:space="preserve">’s deadline for completing its second five-year review of the Basin Plan </w:t>
      </w:r>
      <w:r w:rsidR="00BD1D1B">
        <w:t>SNMP</w:t>
      </w:r>
    </w:p>
    <w:p w14:paraId="1EB0BE9B" w14:textId="36D3686B" w:rsidR="00876E42" w:rsidRDefault="00C677D1" w:rsidP="00876E42">
      <w:r>
        <w:t>This 2022 GMP</w:t>
      </w:r>
      <w:r w:rsidR="00876E42">
        <w:t xml:space="preserve"> is organized into the following sections:</w:t>
      </w:r>
    </w:p>
    <w:p w14:paraId="745C1037" w14:textId="601E7776" w:rsidR="00C677D1" w:rsidRDefault="00C677D1" w:rsidP="00C677D1">
      <w:r w:rsidRPr="007817C1">
        <w:rPr>
          <w:b/>
          <w:bCs/>
        </w:rPr>
        <w:t>Section 1 – Introduction.</w:t>
      </w:r>
      <w:r>
        <w:t xml:space="preserve"> This introductory section describes the purpose and organization of the report, the study area location, the Task Force, the regulatory setting that establishes the requirement for this 2022 GMP</w:t>
      </w:r>
      <w:r w:rsidR="001B2628">
        <w:t>, and the 2022 GMP goals</w:t>
      </w:r>
      <w:r>
        <w:t xml:space="preserve">. </w:t>
      </w:r>
    </w:p>
    <w:p w14:paraId="4D53D5C1" w14:textId="3BFC1046" w:rsidR="00876E42" w:rsidRDefault="00876E42" w:rsidP="00876E42">
      <w:r w:rsidRPr="007817C1">
        <w:rPr>
          <w:b/>
          <w:bCs/>
        </w:rPr>
        <w:t>Section 2 – Groundwater Monitoring Program Approach</w:t>
      </w:r>
      <w:r w:rsidR="00C677D1" w:rsidRPr="007817C1">
        <w:rPr>
          <w:b/>
          <w:bCs/>
        </w:rPr>
        <w:t>.</w:t>
      </w:r>
      <w:r w:rsidR="00C677D1">
        <w:t xml:space="preserve"> Th</w:t>
      </w:r>
      <w:r w:rsidR="00510C18">
        <w:t xml:space="preserve">is section describes the collaborative approach that was implemented to educate the Task Force members as to the history </w:t>
      </w:r>
      <w:r w:rsidR="00A56C07">
        <w:t xml:space="preserve">and outcomes of the </w:t>
      </w:r>
      <w:r w:rsidR="00510C18">
        <w:t xml:space="preserve">existing </w:t>
      </w:r>
      <w:r w:rsidR="00A56C07">
        <w:t xml:space="preserve">groundwater monitoring program </w:t>
      </w:r>
      <w:r w:rsidR="00510C18">
        <w:t>and obtain input and feedback to determine the appropriate changes or additions</w:t>
      </w:r>
      <w:r w:rsidR="001B2628">
        <w:t xml:space="preserve"> to the current program</w:t>
      </w:r>
      <w:r w:rsidR="00510C18">
        <w:t xml:space="preserve"> </w:t>
      </w:r>
      <w:r w:rsidR="00A56C07">
        <w:t xml:space="preserve">that should be considered for </w:t>
      </w:r>
      <w:r w:rsidR="001B2628">
        <w:t xml:space="preserve">inclusion in </w:t>
      </w:r>
      <w:r w:rsidR="00A56C07">
        <w:t>the 2022 GMP</w:t>
      </w:r>
      <w:r w:rsidR="00510C18">
        <w:t xml:space="preserve">. </w:t>
      </w:r>
    </w:p>
    <w:p w14:paraId="243C33D8" w14:textId="3F069ACA" w:rsidR="00876E42" w:rsidRDefault="00876E42" w:rsidP="00876E42">
      <w:r w:rsidRPr="007817C1">
        <w:rPr>
          <w:b/>
          <w:bCs/>
        </w:rPr>
        <w:lastRenderedPageBreak/>
        <w:t>Section 3 – Groundwater M</w:t>
      </w:r>
      <w:r w:rsidR="00C677D1" w:rsidRPr="007817C1">
        <w:rPr>
          <w:b/>
          <w:bCs/>
        </w:rPr>
        <w:t>anagement Zone Monitoring Networks</w:t>
      </w:r>
      <w:r w:rsidR="001B2628" w:rsidRPr="007817C1">
        <w:rPr>
          <w:b/>
          <w:bCs/>
        </w:rPr>
        <w:t xml:space="preserve"> and Potential Data Gaps</w:t>
      </w:r>
      <w:r w:rsidR="00C677D1" w:rsidRPr="007817C1">
        <w:rPr>
          <w:b/>
          <w:bCs/>
        </w:rPr>
        <w:t>.</w:t>
      </w:r>
      <w:r w:rsidR="00C677D1">
        <w:t xml:space="preserve"> This section documents the current monitoring network in each GMZ</w:t>
      </w:r>
      <w:r w:rsidR="0003550B">
        <w:t>, identifies the potential data gaps</w:t>
      </w:r>
      <w:r w:rsidR="00C677D1">
        <w:t xml:space="preserve"> </w:t>
      </w:r>
      <w:r w:rsidR="0003550B">
        <w:t xml:space="preserve">for which additional information needs to be compiled and reviewed to </w:t>
      </w:r>
      <w:r w:rsidR="00BD1D1B">
        <w:t>confirm</w:t>
      </w:r>
      <w:r w:rsidR="0003550B">
        <w:t xml:space="preserve"> data gaps in the monitoring networks, and identifies the process to obtain the information and fill any data gaps that do exist.</w:t>
      </w:r>
    </w:p>
    <w:p w14:paraId="349D9A12" w14:textId="669C323D" w:rsidR="00876E42" w:rsidRDefault="00876E42" w:rsidP="00876E42">
      <w:r w:rsidRPr="007817C1">
        <w:rPr>
          <w:b/>
          <w:bCs/>
        </w:rPr>
        <w:t>Section 4 – 2021 Ambient Water Quality Pilot Study</w:t>
      </w:r>
      <w:r w:rsidR="00C677D1" w:rsidRPr="007817C1">
        <w:rPr>
          <w:b/>
          <w:bCs/>
        </w:rPr>
        <w:t>.</w:t>
      </w:r>
      <w:r w:rsidR="00C677D1">
        <w:t xml:space="preserve"> This section describes the scope of work to perform the AWQ Pilot Study, including the purpose and objectives of the study and the intended outcomes and deliverables of the work to be submitted to the </w:t>
      </w:r>
      <w:r w:rsidR="0001516D">
        <w:t>Santa Ana Water Board</w:t>
      </w:r>
      <w:r w:rsidR="00C677D1">
        <w:t xml:space="preserve"> by October 2023. </w:t>
      </w:r>
    </w:p>
    <w:p w14:paraId="78897B80" w14:textId="33B853A5" w:rsidR="00876E42" w:rsidRDefault="00876E42" w:rsidP="00876E42">
      <w:r w:rsidRPr="00A32B47">
        <w:rPr>
          <w:b/>
          <w:bCs/>
        </w:rPr>
        <w:t>Section 5 – Implementation Plan.</w:t>
      </w:r>
      <w:r>
        <w:t xml:space="preserve"> </w:t>
      </w:r>
      <w:r w:rsidR="002231D5">
        <w:t>This section describes the work that will need to be performed by the Task Force and its members through fiscal year 2028/29</w:t>
      </w:r>
      <w:r w:rsidR="002E0BDC">
        <w:t xml:space="preserve"> to comply with the </w:t>
      </w:r>
      <w:r w:rsidR="002678A7">
        <w:t>Basin Plan SNMP</w:t>
      </w:r>
      <w:r w:rsidR="002231D5">
        <w:t xml:space="preserve">. </w:t>
      </w:r>
    </w:p>
    <w:p w14:paraId="45282A2C" w14:textId="41AB1F64" w:rsidR="00916CD9" w:rsidRDefault="00916CD9" w:rsidP="00916CD9">
      <w:r w:rsidRPr="00A32B47">
        <w:rPr>
          <w:b/>
          <w:bCs/>
        </w:rPr>
        <w:t xml:space="preserve">Section </w:t>
      </w:r>
      <w:r>
        <w:rPr>
          <w:b/>
          <w:bCs/>
        </w:rPr>
        <w:t>6</w:t>
      </w:r>
      <w:r w:rsidRPr="00A32B47">
        <w:rPr>
          <w:b/>
          <w:bCs/>
        </w:rPr>
        <w:t xml:space="preserve"> – </w:t>
      </w:r>
      <w:r>
        <w:rPr>
          <w:b/>
          <w:bCs/>
        </w:rPr>
        <w:t>References</w:t>
      </w:r>
      <w:r w:rsidRPr="00A32B47">
        <w:rPr>
          <w:b/>
          <w:bCs/>
        </w:rPr>
        <w:t>.</w:t>
      </w:r>
      <w:r>
        <w:t xml:space="preserve"> This section lists the references cited in this 2022 GMP. </w:t>
      </w:r>
    </w:p>
    <w:p w14:paraId="644FDD3C" w14:textId="0930B092" w:rsidR="00694DC2" w:rsidRDefault="00694DC2" w:rsidP="00BE16BD">
      <w:pPr>
        <w:pStyle w:val="Heading2"/>
      </w:pPr>
      <w:bookmarkStart w:id="13" w:name="_Toc117719773"/>
      <w:r>
        <w:t xml:space="preserve">Santa Ana River Watershed </w:t>
      </w:r>
      <w:r w:rsidR="003C72E6">
        <w:t>Location</w:t>
      </w:r>
      <w:bookmarkEnd w:id="13"/>
    </w:p>
    <w:p w14:paraId="1D4BE575" w14:textId="706E93BA" w:rsidR="00694DC2" w:rsidRDefault="00694DC2" w:rsidP="00694DC2">
      <w:r>
        <w:t>The SAR watershed is located in southern California and covers approximately 2,840 square miles wi</w:t>
      </w:r>
      <w:r w:rsidR="00D807A9">
        <w:t>thin</w:t>
      </w:r>
      <w:r>
        <w:t xml:space="preserve"> portions of San Bernardino County, Riverside County, Orange County, and a small are</w:t>
      </w:r>
      <w:r w:rsidR="00D807A9">
        <w:t>a</w:t>
      </w:r>
      <w:r>
        <w:t xml:space="preserve"> of Los Angeles County. The </w:t>
      </w:r>
      <w:r w:rsidR="00D807A9">
        <w:t>SAR is the major drainage of the Watershed, extending over 100 mi</w:t>
      </w:r>
      <w:r w:rsidR="009506C1">
        <w:t>l</w:t>
      </w:r>
      <w:r w:rsidR="00D807A9">
        <w:t xml:space="preserve">es in length from its headwaters in the San Bernardino Mountains to the point of discharge to the Pacific Ocean, in Huntington Beach, CA. The </w:t>
      </w:r>
      <w:r>
        <w:t xml:space="preserve">tributaries of the SAR originate in the San Bernardino, San Gabriel, San Jacinto, and Santa Ana Mountains. </w:t>
      </w:r>
      <w:r w:rsidR="00D807A9">
        <w:t>Figure 1-1 shows the SAR Watershed boundary, the SA</w:t>
      </w:r>
      <w:r w:rsidR="009506C1">
        <w:t>R, and</w:t>
      </w:r>
      <w:r w:rsidR="00D807A9">
        <w:t xml:space="preserve"> the boundaries of the 35 GMZs within the SAR watershed</w:t>
      </w:r>
      <w:r w:rsidR="001B2628">
        <w:t xml:space="preserve"> that are identified in the Basin Plan</w:t>
      </w:r>
      <w:r w:rsidR="00D807A9">
        <w:t xml:space="preserve">. </w:t>
      </w:r>
    </w:p>
    <w:p w14:paraId="227C0209" w14:textId="0FA83D87" w:rsidR="00983F60" w:rsidRDefault="00983F60">
      <w:pPr>
        <w:spacing w:after="0"/>
        <w:jc w:val="left"/>
      </w:pPr>
      <w:r>
        <w:br w:type="page"/>
      </w:r>
    </w:p>
    <w:p w14:paraId="628AADFF" w14:textId="371CA795" w:rsidR="00B263CA" w:rsidRDefault="00983F60" w:rsidP="00B263CA">
      <w:pPr>
        <w:pStyle w:val="Caption"/>
        <w:jc w:val="both"/>
      </w:pPr>
      <w:r>
        <w:lastRenderedPageBreak/>
        <w:t xml:space="preserve">Figure </w:t>
      </w:r>
      <w:fldSimple w:instr=" STYLEREF 1 \s ">
        <w:r w:rsidR="00B65193">
          <w:rPr>
            <w:noProof/>
          </w:rPr>
          <w:t>1</w:t>
        </w:r>
      </w:fldSimple>
      <w:r w:rsidR="001704A1">
        <w:noBreakHyphen/>
      </w:r>
      <w:fldSimple w:instr=" SEQ Figure \* ARABIC \s 1 ">
        <w:r w:rsidR="00B65193">
          <w:rPr>
            <w:noProof/>
          </w:rPr>
          <w:t>1</w:t>
        </w:r>
      </w:fldSimple>
      <w:r w:rsidR="003E76A2">
        <w:t>.</w:t>
      </w:r>
      <w:r w:rsidR="00B263CA">
        <w:t xml:space="preserve"> Study Area – Santa Ana River Watershed and Groundwater Management Zones</w:t>
      </w:r>
    </w:p>
    <w:p w14:paraId="308A1CD5" w14:textId="77808973" w:rsidR="003E76A2" w:rsidRDefault="003E76A2">
      <w:pPr>
        <w:spacing w:after="0"/>
        <w:jc w:val="left"/>
      </w:pPr>
      <w:r>
        <w:br w:type="page"/>
      </w:r>
    </w:p>
    <w:p w14:paraId="71E5AB97" w14:textId="77777777" w:rsidR="00897F65" w:rsidRDefault="00897F65" w:rsidP="00897F65">
      <w:pPr>
        <w:pStyle w:val="Heading2"/>
      </w:pPr>
      <w:bookmarkStart w:id="14" w:name="_Toc117719774"/>
      <w:r>
        <w:lastRenderedPageBreak/>
        <w:t>Basin Monitoring Program Task Force</w:t>
      </w:r>
      <w:bookmarkEnd w:id="14"/>
    </w:p>
    <w:p w14:paraId="12F4AB02" w14:textId="3DEB497D" w:rsidR="00897F65" w:rsidRDefault="00897F65" w:rsidP="00897F65">
      <w:r>
        <w:t xml:space="preserve">In 1995, the </w:t>
      </w:r>
      <w:r w:rsidR="00DE64F3">
        <w:t xml:space="preserve">TIN/TDS </w:t>
      </w:r>
      <w:r>
        <w:t>Task Force</w:t>
      </w:r>
      <w:r w:rsidR="00DE64F3">
        <w:t xml:space="preserve"> </w:t>
      </w:r>
      <w:r>
        <w:t xml:space="preserve">was formed to provide oversight, supervision, and approval of a study to evaluate the impacts of </w:t>
      </w:r>
      <w:r w:rsidR="00597F37">
        <w:t>total dissolved solids (TDS) and nitrogen (nitrate as nitrogen [nitrate] and total inorganic nitrogen [TIN])</w:t>
      </w:r>
      <w:r>
        <w:t xml:space="preserve"> on water resources in the SAR Watershed. </w:t>
      </w:r>
      <w:r w:rsidR="009506C1">
        <w:t xml:space="preserve">The work culminated in a 2004 Basin Plan amendment to include an updated, comprehensive </w:t>
      </w:r>
      <w:r w:rsidR="002678A7">
        <w:t>salt and nutrient management p</w:t>
      </w:r>
      <w:r w:rsidR="009506C1">
        <w:t>lan for the SAR Watershed (refer to Section 1.4 of this report</w:t>
      </w:r>
      <w:r w:rsidR="001B2628">
        <w:t xml:space="preserve"> for a discussion on the Basin Plan SNMP</w:t>
      </w:r>
      <w:r w:rsidR="009506C1">
        <w:t xml:space="preserve">). The Task Force agencies were named in the Basin Plan amendment as the responsible parties for implementing the various groundwater and surface water monitoring and reporting programs to support the implementation of the </w:t>
      </w:r>
      <w:r w:rsidR="002678A7">
        <w:t>Basin Plan SNMP</w:t>
      </w:r>
      <w:r w:rsidR="009506C1">
        <w:t xml:space="preserve">.  </w:t>
      </w:r>
      <w:r w:rsidR="00DE64F3">
        <w:t>A</w:t>
      </w:r>
      <w:r w:rsidR="00BD1D1B">
        <w:t>n</w:t>
      </w:r>
      <w:r w:rsidR="00DE64F3">
        <w:t xml:space="preserve"> agreement was executed by the agencies to formalize the ongoing task force as the Basin Monitoring Program Task Force.</w:t>
      </w:r>
    </w:p>
    <w:p w14:paraId="4F51159C" w14:textId="5E236FCC" w:rsidR="00897F65" w:rsidRDefault="00897F65" w:rsidP="00897F65">
      <w:r>
        <w:t xml:space="preserve">The Task Force is administered </w:t>
      </w:r>
      <w:r w:rsidR="002E0BDC">
        <w:t xml:space="preserve">and led </w:t>
      </w:r>
      <w:r>
        <w:t>by SAWPA</w:t>
      </w:r>
      <w:r w:rsidR="005A77EC">
        <w:t xml:space="preserve"> staff. SAWPA</w:t>
      </w:r>
      <w:r>
        <w:t xml:space="preserve"> contracts with policy and technical experts </w:t>
      </w:r>
      <w:r w:rsidR="002E0BDC">
        <w:t xml:space="preserve">on behalf of the Task Force </w:t>
      </w:r>
      <w:r>
        <w:t xml:space="preserve">to </w:t>
      </w:r>
      <w:r w:rsidR="002E0BDC">
        <w:t>develop</w:t>
      </w:r>
      <w:r w:rsidR="009506C1">
        <w:t xml:space="preserve"> planning priorities for compliance with the Basin Plan and </w:t>
      </w:r>
      <w:r>
        <w:t>support the implementation of its work. The current Task Force members</w:t>
      </w:r>
      <w:r>
        <w:rPr>
          <w:rStyle w:val="FootnoteReference"/>
        </w:rPr>
        <w:footnoteReference w:id="3"/>
      </w:r>
      <w:r>
        <w:t xml:space="preserve"> include:</w:t>
      </w:r>
    </w:p>
    <w:p w14:paraId="74B6F01D" w14:textId="77777777" w:rsidR="00897F65" w:rsidRDefault="00897F65" w:rsidP="00750EAB">
      <w:pPr>
        <w:pStyle w:val="Bullet"/>
      </w:pPr>
      <w:r>
        <w:t>Beaumont Cherry Valley Water District</w:t>
      </w:r>
    </w:p>
    <w:p w14:paraId="29267EB3" w14:textId="77777777" w:rsidR="00897F65" w:rsidRDefault="00897F65" w:rsidP="00750EAB">
      <w:pPr>
        <w:pStyle w:val="Bullet"/>
      </w:pPr>
      <w:r>
        <w:t>Chino Basin Watermaster</w:t>
      </w:r>
    </w:p>
    <w:p w14:paraId="44D75DBD" w14:textId="77777777" w:rsidR="00897F65" w:rsidRDefault="00897F65" w:rsidP="00750EAB">
      <w:pPr>
        <w:pStyle w:val="Bullet"/>
      </w:pPr>
      <w:r>
        <w:t>City of Banning</w:t>
      </w:r>
    </w:p>
    <w:p w14:paraId="1533E4CB" w14:textId="77777777" w:rsidR="00897F65" w:rsidRDefault="00897F65" w:rsidP="00750EAB">
      <w:pPr>
        <w:pStyle w:val="Bullet"/>
      </w:pPr>
      <w:r>
        <w:t>City of Beaumont</w:t>
      </w:r>
    </w:p>
    <w:p w14:paraId="02DCFE04" w14:textId="77777777" w:rsidR="00897F65" w:rsidRDefault="00897F65" w:rsidP="00750EAB">
      <w:pPr>
        <w:pStyle w:val="Bullet"/>
      </w:pPr>
      <w:r>
        <w:t>City of Corona</w:t>
      </w:r>
    </w:p>
    <w:p w14:paraId="730990C1" w14:textId="77777777" w:rsidR="00897F65" w:rsidRDefault="00897F65" w:rsidP="00750EAB">
      <w:pPr>
        <w:pStyle w:val="Bullet"/>
      </w:pPr>
      <w:r>
        <w:t>City of Redlands</w:t>
      </w:r>
    </w:p>
    <w:p w14:paraId="510329E3" w14:textId="77777777" w:rsidR="00897F65" w:rsidRDefault="00897F65" w:rsidP="00750EAB">
      <w:pPr>
        <w:pStyle w:val="Bullet"/>
      </w:pPr>
      <w:r>
        <w:t>City of Rialto</w:t>
      </w:r>
    </w:p>
    <w:p w14:paraId="016AB7EB" w14:textId="77777777" w:rsidR="00897F65" w:rsidRDefault="00897F65" w:rsidP="00750EAB">
      <w:pPr>
        <w:pStyle w:val="Bullet"/>
      </w:pPr>
      <w:r>
        <w:t>City of Riverside</w:t>
      </w:r>
    </w:p>
    <w:p w14:paraId="761E6CAA" w14:textId="77777777" w:rsidR="00897F65" w:rsidRDefault="00897F65" w:rsidP="00750EAB">
      <w:pPr>
        <w:pStyle w:val="Bullet"/>
      </w:pPr>
      <w:r>
        <w:t>Colton/San Bernardino Regional Tertiary Treatment and Water Reclamation Authority</w:t>
      </w:r>
    </w:p>
    <w:p w14:paraId="083B9BBD" w14:textId="77777777" w:rsidR="00897F65" w:rsidRDefault="00897F65" w:rsidP="00750EAB">
      <w:pPr>
        <w:pStyle w:val="Bullet"/>
      </w:pPr>
      <w:r>
        <w:t>Eastern Municipal Water District</w:t>
      </w:r>
    </w:p>
    <w:p w14:paraId="71D268EA" w14:textId="77777777" w:rsidR="00897F65" w:rsidRDefault="00897F65" w:rsidP="00750EAB">
      <w:pPr>
        <w:pStyle w:val="Bullet"/>
      </w:pPr>
      <w:r>
        <w:t>Elsinore Valley Municipal Water District</w:t>
      </w:r>
    </w:p>
    <w:p w14:paraId="300FCF3F" w14:textId="77777777" w:rsidR="00897F65" w:rsidRDefault="00897F65" w:rsidP="00750EAB">
      <w:pPr>
        <w:pStyle w:val="Bullet"/>
      </w:pPr>
      <w:r>
        <w:t>Inland Empire Utilities Agency</w:t>
      </w:r>
    </w:p>
    <w:p w14:paraId="698E6FA3" w14:textId="77777777" w:rsidR="00897F65" w:rsidRDefault="00897F65" w:rsidP="00750EAB">
      <w:pPr>
        <w:pStyle w:val="Bullet"/>
      </w:pPr>
      <w:r>
        <w:t>Irvine Ranch Water District</w:t>
      </w:r>
    </w:p>
    <w:p w14:paraId="185DB28F" w14:textId="77777777" w:rsidR="00897F65" w:rsidRDefault="00897F65" w:rsidP="00750EAB">
      <w:pPr>
        <w:pStyle w:val="Bullet"/>
      </w:pPr>
      <w:r>
        <w:t>Jurupa Community Services District</w:t>
      </w:r>
    </w:p>
    <w:p w14:paraId="5D97D277" w14:textId="77777777" w:rsidR="00897F65" w:rsidRDefault="00897F65" w:rsidP="00750EAB">
      <w:pPr>
        <w:pStyle w:val="Bullet"/>
      </w:pPr>
      <w:r>
        <w:t>Orange County Water District</w:t>
      </w:r>
    </w:p>
    <w:p w14:paraId="24721A1D" w14:textId="77777777" w:rsidR="00897F65" w:rsidRDefault="00897F65" w:rsidP="00750EAB">
      <w:pPr>
        <w:pStyle w:val="Bullet"/>
      </w:pPr>
      <w:r>
        <w:t>San Bernardino Valley Municipal Water District</w:t>
      </w:r>
    </w:p>
    <w:p w14:paraId="4860A02E" w14:textId="77777777" w:rsidR="00897F65" w:rsidRDefault="00897F65" w:rsidP="00750EAB">
      <w:pPr>
        <w:pStyle w:val="Bullet"/>
      </w:pPr>
      <w:r>
        <w:t>San Gorgonio Pass Water Agency</w:t>
      </w:r>
    </w:p>
    <w:p w14:paraId="3DEDCFCA" w14:textId="77777777" w:rsidR="00897F65" w:rsidRDefault="00897F65" w:rsidP="00750EAB">
      <w:pPr>
        <w:pStyle w:val="Bullet"/>
      </w:pPr>
      <w:r>
        <w:t>Temescal Valley Water District</w:t>
      </w:r>
    </w:p>
    <w:p w14:paraId="6749525F" w14:textId="77777777" w:rsidR="00897F65" w:rsidRDefault="00897F65" w:rsidP="00750EAB">
      <w:pPr>
        <w:pStyle w:val="Bullet"/>
      </w:pPr>
      <w:proofErr w:type="spellStart"/>
      <w:r>
        <w:t>Wester</w:t>
      </w:r>
      <w:proofErr w:type="spellEnd"/>
      <w:r>
        <w:t xml:space="preserve"> Riverside County Regional Wastewater Authority</w:t>
      </w:r>
    </w:p>
    <w:p w14:paraId="02E9E620" w14:textId="77777777" w:rsidR="00897F65" w:rsidRPr="00876E42" w:rsidRDefault="00897F65" w:rsidP="00750EAB">
      <w:pPr>
        <w:pStyle w:val="Bullet"/>
      </w:pPr>
      <w:r>
        <w:t>Yucaipa Valley Water District</w:t>
      </w:r>
    </w:p>
    <w:p w14:paraId="622E0468" w14:textId="7E8BB267" w:rsidR="00897F65" w:rsidRPr="00BA328A" w:rsidRDefault="00897F65" w:rsidP="00897F65">
      <w:r>
        <w:lastRenderedPageBreak/>
        <w:t xml:space="preserve">Staff of the Santa Ana Water Board also participate in the Task Force as advisory members. </w:t>
      </w:r>
      <w:r w:rsidR="002E0BDC">
        <w:t xml:space="preserve">Information about the Task Force activities, including agendas and minutes of its meetings are available on SAWPA’s website at: </w:t>
      </w:r>
      <w:hyperlink r:id="rId24" w:history="1">
        <w:r w:rsidR="002E0BDC" w:rsidRPr="00E775EE">
          <w:rPr>
            <w:rStyle w:val="Hyperlink"/>
          </w:rPr>
          <w:t>https://sawpa.org/task-forces/basin-monitoring-program-taskforce</w:t>
        </w:r>
      </w:hyperlink>
      <w:r w:rsidR="002E0BDC">
        <w:t xml:space="preserve">. </w:t>
      </w:r>
    </w:p>
    <w:p w14:paraId="65F85D59" w14:textId="5E21ED36" w:rsidR="00BA328A" w:rsidRDefault="00BA328A" w:rsidP="00694DC2">
      <w:pPr>
        <w:pStyle w:val="Heading2"/>
      </w:pPr>
      <w:bookmarkStart w:id="15" w:name="_Toc117719775"/>
      <w:r>
        <w:t>Regulatory Setting</w:t>
      </w:r>
      <w:bookmarkEnd w:id="15"/>
    </w:p>
    <w:p w14:paraId="6D7B03FA" w14:textId="682B6829" w:rsidR="00EC050C" w:rsidRDefault="003C72E6" w:rsidP="00EC050C">
      <w:r>
        <w:t xml:space="preserve">The quality of the SAR Watershed’s water resources </w:t>
      </w:r>
      <w:r w:rsidR="002E0BDC">
        <w:t>is</w:t>
      </w:r>
      <w:r>
        <w:t xml:space="preserve"> regulated by the Santa Ana Water Board pursuant to the Basin Plan. </w:t>
      </w:r>
      <w:r w:rsidR="00EC050C">
        <w:t xml:space="preserve">The </w:t>
      </w:r>
      <w:r w:rsidR="00BD1D1B">
        <w:t>Santa Ana Water Board</w:t>
      </w:r>
      <w:r w:rsidR="00EC050C">
        <w:t xml:space="preserve">’s principal means of achieving the water quality objectives and protecting the beneficial uses specified in the Basin Plan is the development, adoption, issuance, and enforcement of waste discharge requirements. By regulating the quality of wastewaters discharged, and in other ways controlling the discharge of wastes </w:t>
      </w:r>
      <w:r w:rsidR="005A77EC">
        <w:t>that</w:t>
      </w:r>
      <w:r w:rsidR="00EC050C">
        <w:t xml:space="preserve"> may impact surface and ground</w:t>
      </w:r>
      <w:r w:rsidR="005A77EC">
        <w:t xml:space="preserve"> </w:t>
      </w:r>
      <w:r w:rsidR="00EC050C">
        <w:t xml:space="preserve">water quality, the </w:t>
      </w:r>
      <w:r w:rsidR="00BD1D1B">
        <w:t>Santa Ana Water Board</w:t>
      </w:r>
      <w:r w:rsidR="00BD1D1B" w:rsidDel="00BD1D1B">
        <w:t xml:space="preserve"> </w:t>
      </w:r>
      <w:r w:rsidR="00EC050C">
        <w:t xml:space="preserve">works to protect the Region’s water resources. The regulatory tools utilized by the </w:t>
      </w:r>
      <w:r w:rsidR="00BD1D1B">
        <w:t>Santa Ana Water Board</w:t>
      </w:r>
      <w:r w:rsidR="00BD1D1B" w:rsidDel="00BD1D1B">
        <w:t xml:space="preserve"> </w:t>
      </w:r>
      <w:r w:rsidR="00EC050C">
        <w:t>include:</w:t>
      </w:r>
    </w:p>
    <w:p w14:paraId="2354906C" w14:textId="77777777" w:rsidR="00EC050C" w:rsidRDefault="00EC050C" w:rsidP="00750EAB">
      <w:pPr>
        <w:pStyle w:val="Bullet"/>
      </w:pPr>
      <w:r>
        <w:t>National Pollutant Discharge Elimination System (NPDES) permits</w:t>
      </w:r>
    </w:p>
    <w:p w14:paraId="7E3549C9" w14:textId="77777777" w:rsidR="00EC050C" w:rsidRDefault="00EC050C" w:rsidP="00750EAB">
      <w:pPr>
        <w:pStyle w:val="Bullet"/>
      </w:pPr>
      <w:r>
        <w:t>Waste Discharge Requirements (WDRs)</w:t>
      </w:r>
    </w:p>
    <w:p w14:paraId="5D5C99F5" w14:textId="77777777" w:rsidR="00EC050C" w:rsidRDefault="00EC050C" w:rsidP="00750EAB">
      <w:pPr>
        <w:pStyle w:val="Bullet"/>
      </w:pPr>
      <w:r>
        <w:t>Water Reclamation Requirements</w:t>
      </w:r>
    </w:p>
    <w:p w14:paraId="448B223F" w14:textId="77777777" w:rsidR="00EC050C" w:rsidRDefault="00EC050C" w:rsidP="00750EAB">
      <w:pPr>
        <w:pStyle w:val="Bullet"/>
        <w:spacing w:after="240"/>
      </w:pPr>
      <w:r>
        <w:t>Waste Discharge Prohibition</w:t>
      </w:r>
    </w:p>
    <w:p w14:paraId="0FD804BE" w14:textId="1DCDE4E4" w:rsidR="00D70C05" w:rsidRDefault="003C72E6" w:rsidP="00D70C05">
      <w:r>
        <w:t xml:space="preserve">The Basin Plan </w:t>
      </w:r>
      <w:r w:rsidR="002678A7">
        <w:t>SNMP</w:t>
      </w:r>
      <w:r w:rsidR="0078260D">
        <w:t xml:space="preserve"> </w:t>
      </w:r>
      <w:r w:rsidR="005A77EC">
        <w:t>is the program to address</w:t>
      </w:r>
      <w:r w:rsidR="0078260D">
        <w:t xml:space="preserve"> compliance with the surface and ground water TDS and </w:t>
      </w:r>
      <w:r w:rsidR="0078260D" w:rsidRPr="00597F37">
        <w:t xml:space="preserve">nitrate </w:t>
      </w:r>
      <w:r w:rsidR="0078260D">
        <w:t xml:space="preserve">Basin Plan objectives established for the SAR and GMZs. </w:t>
      </w:r>
      <w:r w:rsidR="002678A7">
        <w:t xml:space="preserve">The current program was initially adopted and amended into the Basin Plan in </w:t>
      </w:r>
      <w:proofErr w:type="gramStart"/>
      <w:r w:rsidR="002678A7">
        <w:t>January 2004</w:t>
      </w:r>
      <w:r w:rsidR="005A77EC">
        <w:t>,</w:t>
      </w:r>
      <w:r w:rsidR="002678A7">
        <w:t xml:space="preserve"> and</w:t>
      </w:r>
      <w:proofErr w:type="gramEnd"/>
      <w:r w:rsidR="002678A7">
        <w:t xml:space="preserve"> has been amended several times since. </w:t>
      </w:r>
      <w:r w:rsidR="0078260D">
        <w:t xml:space="preserve">The </w:t>
      </w:r>
      <w:r w:rsidR="005A77EC">
        <w:t xml:space="preserve">Basin </w:t>
      </w:r>
      <w:r w:rsidR="0078260D">
        <w:t xml:space="preserve">Plan </w:t>
      </w:r>
      <w:r w:rsidR="005A77EC">
        <w:t xml:space="preserve">SNMP </w:t>
      </w:r>
      <w:r w:rsidR="001C22A8">
        <w:t xml:space="preserve">is </w:t>
      </w:r>
      <w:r>
        <w:t xml:space="preserve">documented in </w:t>
      </w:r>
      <w:r w:rsidRPr="001C22A8">
        <w:rPr>
          <w:i/>
          <w:iCs/>
        </w:rPr>
        <w:t xml:space="preserve">Chapter 5 </w:t>
      </w:r>
      <w:r w:rsidR="001C22A8" w:rsidRPr="001C22A8">
        <w:rPr>
          <w:i/>
          <w:iCs/>
        </w:rPr>
        <w:t>–</w:t>
      </w:r>
      <w:r w:rsidRPr="001C22A8">
        <w:rPr>
          <w:i/>
          <w:iCs/>
        </w:rPr>
        <w:t xml:space="preserve"> Implementation</w:t>
      </w:r>
      <w:r w:rsidR="001C22A8">
        <w:t xml:space="preserve"> of the Basin Plan</w:t>
      </w:r>
      <w:r w:rsidR="00BD1D1B">
        <w:t>,</w:t>
      </w:r>
      <w:r w:rsidR="00BD1D1B" w:rsidDel="00BD1D1B">
        <w:rPr>
          <w:rStyle w:val="FootnoteReference"/>
        </w:rPr>
        <w:t xml:space="preserve"> </w:t>
      </w:r>
      <w:r w:rsidR="002678A7">
        <w:t xml:space="preserve">and all amendments since 2004 are posted </w:t>
      </w:r>
      <w:r w:rsidR="005A77EC">
        <w:t>on</w:t>
      </w:r>
      <w:r w:rsidR="002678A7">
        <w:t xml:space="preserve"> the </w:t>
      </w:r>
      <w:r w:rsidR="005A77EC">
        <w:t xml:space="preserve">Santa Ana </w:t>
      </w:r>
      <w:r w:rsidR="002678A7">
        <w:t>Water Board’s website.</w:t>
      </w:r>
      <w:r w:rsidR="00BD1D1B">
        <w:rPr>
          <w:rStyle w:val="FootnoteReference"/>
        </w:rPr>
        <w:footnoteReference w:id="4"/>
      </w:r>
    </w:p>
    <w:p w14:paraId="1394FF2E" w14:textId="77777777" w:rsidR="00EC050C" w:rsidRDefault="00EC050C" w:rsidP="00EC050C">
      <w:pPr>
        <w:pStyle w:val="Heading3"/>
      </w:pPr>
      <w:bookmarkStart w:id="16" w:name="_Toc117719776"/>
      <w:r>
        <w:t>Basin Plan SNMP</w:t>
      </w:r>
      <w:bookmarkEnd w:id="16"/>
    </w:p>
    <w:p w14:paraId="33E4FDF4" w14:textId="76BB9368" w:rsidR="003B7CB6" w:rsidRDefault="003B7CB6" w:rsidP="002678A7">
      <w:r>
        <w:t xml:space="preserve">The principal TDS and </w:t>
      </w:r>
      <w:r w:rsidRPr="00457736">
        <w:t>nitrogen</w:t>
      </w:r>
      <w:r>
        <w:t xml:space="preserve"> regulatory tool employed by the Santa Ana Water Board is the adoption </w:t>
      </w:r>
      <w:r w:rsidRPr="00457736">
        <w:t>of appropriate TDS and nitrogen limitations in NPDES or WDRs issued for the discharge, reuse, and/or</w:t>
      </w:r>
      <w:r>
        <w:t xml:space="preserve"> recharge of recycled water (and other high-TDS/</w:t>
      </w:r>
      <w:r w:rsidR="005A77EC" w:rsidRPr="00457736">
        <w:t>nitrogen</w:t>
      </w:r>
      <w:r>
        <w:t xml:space="preserve"> discharges, as appropriate). The discharge requirements must specify limitations that, when met, will assure that Basin Plan water quality objectives will be achieved. And, where the quality of the water receiving the discharge is better than the established objectives, the Board must assure that the discharge is consistent with the </w:t>
      </w:r>
      <w:r w:rsidR="00F4276A">
        <w:t>State Water Resources Control Board’s (State Board)</w:t>
      </w:r>
      <w:r>
        <w:t xml:space="preserve"> antidegradation policy (State Board Order 68-16)</w:t>
      </w:r>
      <w:r w:rsidR="002678A7">
        <w:t>.</w:t>
      </w:r>
    </w:p>
    <w:p w14:paraId="12F200B2" w14:textId="7EE9A5B0" w:rsidR="003C72E6" w:rsidRDefault="00EC050C" w:rsidP="003C72E6">
      <w:r>
        <w:t xml:space="preserve">In 1983 and 1995, the Santa Ana Water </w:t>
      </w:r>
      <w:r w:rsidR="0000632E">
        <w:t xml:space="preserve">Board </w:t>
      </w:r>
      <w:r>
        <w:t>conducted modeling studies to support the then-current Basin Plan SNMP</w:t>
      </w:r>
      <w:r w:rsidR="005A77EC">
        <w:t>. T</w:t>
      </w:r>
      <w:r>
        <w:t xml:space="preserve">hese studies were not designed to validate or revise the TDS or </w:t>
      </w:r>
      <w:r w:rsidRPr="00457736">
        <w:t>nitrogen</w:t>
      </w:r>
      <w:r>
        <w:t xml:space="preserve"> objectives established in the first Basin </w:t>
      </w:r>
      <w:proofErr w:type="gramStart"/>
      <w:r>
        <w:t>Plan, but</w:t>
      </w:r>
      <w:proofErr w:type="gramEnd"/>
      <w:r>
        <w:t xml:space="preserve"> were instead focused on how best to meet the objectives </w:t>
      </w:r>
      <w:r w:rsidR="005A77EC">
        <w:t>established in prior Basin Plans</w:t>
      </w:r>
      <w:r>
        <w:t>. However, in 1995</w:t>
      </w:r>
      <w:r w:rsidR="005A77EC">
        <w:t>,</w:t>
      </w:r>
      <w:r>
        <w:t xml:space="preserve"> numerous water supply and wastewater agencies in the region</w:t>
      </w:r>
      <w:r w:rsidR="005A77EC">
        <w:t xml:space="preserve"> identified</w:t>
      </w:r>
      <w:r>
        <w:t xml:space="preserve"> that adoption of the 1995 Basin Plan would </w:t>
      </w:r>
      <w:r w:rsidR="004D3F49">
        <w:t xml:space="preserve">cost the agencies several billion dollars to comply </w:t>
      </w:r>
      <w:r w:rsidR="005A77EC">
        <w:t xml:space="preserve">with the objectives, </w:t>
      </w:r>
      <w:r w:rsidR="004D3F49">
        <w:t>and in many cases</w:t>
      </w:r>
      <w:r w:rsidR="005A77EC">
        <w:t>, it</w:t>
      </w:r>
      <w:r>
        <w:t xml:space="preserve"> would hinder the reuse of locally reliable recycled </w:t>
      </w:r>
      <w:r>
        <w:lastRenderedPageBreak/>
        <w:t>water supplies</w:t>
      </w:r>
      <w:r w:rsidR="004D3F49">
        <w:t>.</w:t>
      </w:r>
      <w:r w:rsidR="004D3F49" w:rsidRPr="004D3F49">
        <w:t xml:space="preserve"> </w:t>
      </w:r>
      <w:r w:rsidR="004D3F49">
        <w:t xml:space="preserve">In response, the Santa Ana Water Board identified the review of these objectives as a priority and the Task Force agreed to provide the resources to perform the requisite studies. </w:t>
      </w:r>
    </w:p>
    <w:p w14:paraId="4919C132" w14:textId="26E45CDE" w:rsidR="004D3F49" w:rsidRDefault="004D3F49" w:rsidP="003C72E6">
      <w:r w:rsidRPr="005A0BC3">
        <w:t>Th</w:t>
      </w:r>
      <w:r>
        <w:t>e Tas</w:t>
      </w:r>
      <w:r w:rsidR="005A77EC">
        <w:t>k</w:t>
      </w:r>
      <w:r>
        <w:t xml:space="preserve"> Force</w:t>
      </w:r>
      <w:r w:rsidRPr="005A0BC3">
        <w:t xml:space="preserve"> study culminated in the </w:t>
      </w:r>
      <w:r>
        <w:t>Santa Ana Water Board’s</w:t>
      </w:r>
      <w:r w:rsidRPr="005A0BC3">
        <w:t xml:space="preserve"> adoption of a Basin Plan amendment in January 2004 (</w:t>
      </w:r>
      <w:r>
        <w:t>2004 Basin Plan amendment</w:t>
      </w:r>
      <w:r w:rsidRPr="005A0BC3">
        <w:t>). Th</w:t>
      </w:r>
      <w:r>
        <w:t>e 2004 Basin Plan</w:t>
      </w:r>
      <w:r w:rsidRPr="005A0BC3">
        <w:t xml:space="preserve"> amendment included</w:t>
      </w:r>
      <w:r>
        <w:t xml:space="preserve"> new </w:t>
      </w:r>
      <w:r w:rsidRPr="005A0BC3">
        <w:t>GMZ</w:t>
      </w:r>
      <w:r>
        <w:t xml:space="preserve"> boundaries (they had previously been referred to as subbasins</w:t>
      </w:r>
      <w:r w:rsidRPr="005A0BC3">
        <w:t>)</w:t>
      </w:r>
      <w:r>
        <w:t>;</w:t>
      </w:r>
      <w:r w:rsidRPr="005A0BC3">
        <w:t xml:space="preserve"> </w:t>
      </w:r>
      <w:r>
        <w:t xml:space="preserve">new </w:t>
      </w:r>
      <w:r w:rsidRPr="005A0BC3">
        <w:t xml:space="preserve">TDS and </w:t>
      </w:r>
      <w:r w:rsidRPr="00457736">
        <w:t>nitrate</w:t>
      </w:r>
      <w:r w:rsidRPr="005A0BC3">
        <w:t xml:space="preserve"> objectives for </w:t>
      </w:r>
      <w:r>
        <w:t xml:space="preserve">the GMZs; </w:t>
      </w:r>
      <w:r w:rsidRPr="005A0BC3">
        <w:t xml:space="preserve">TDS and </w:t>
      </w:r>
      <w:r w:rsidRPr="00457736">
        <w:t>nitrogen</w:t>
      </w:r>
      <w:r w:rsidRPr="005A0BC3">
        <w:t xml:space="preserve"> </w:t>
      </w:r>
      <w:r w:rsidR="00F4276A">
        <w:t>W</w:t>
      </w:r>
      <w:r w:rsidRPr="005A0BC3">
        <w:t xml:space="preserve">asteload </w:t>
      </w:r>
      <w:r w:rsidR="00F4276A">
        <w:t>A</w:t>
      </w:r>
      <w:r w:rsidRPr="005A0BC3">
        <w:t>llocations</w:t>
      </w:r>
      <w:r>
        <w:t xml:space="preserve">; </w:t>
      </w:r>
      <w:r w:rsidRPr="005A0BC3">
        <w:t>surface water</w:t>
      </w:r>
      <w:r>
        <w:t xml:space="preserve"> </w:t>
      </w:r>
      <w:r w:rsidRPr="005A0BC3">
        <w:t>reach designations</w:t>
      </w:r>
      <w:r>
        <w:t>;</w:t>
      </w:r>
      <w:r w:rsidRPr="005A0BC3">
        <w:t xml:space="preserve"> and TDS and </w:t>
      </w:r>
      <w:r w:rsidRPr="00457736">
        <w:t>nitrate</w:t>
      </w:r>
      <w:r w:rsidRPr="005A0BC3">
        <w:t xml:space="preserve"> objectives and beneficial uses for specific surface waters. The technical work supporting the 2004</w:t>
      </w:r>
      <w:r>
        <w:t> </w:t>
      </w:r>
      <w:r w:rsidRPr="005A0BC3">
        <w:t xml:space="preserve">Basin Plan amendment is summarized in </w:t>
      </w:r>
      <w:r w:rsidRPr="005A0BC3">
        <w:rPr>
          <w:i/>
        </w:rPr>
        <w:t>TIN/TDS Phase 2A: Tasks 1 through 5, TIN/TDS Study of the Santa Ana Watershed</w:t>
      </w:r>
      <w:r w:rsidRPr="005A0BC3">
        <w:t xml:space="preserve"> (WEI, 2000).</w:t>
      </w:r>
    </w:p>
    <w:p w14:paraId="4F4E725A" w14:textId="2487BE31" w:rsidR="004D3F49" w:rsidRDefault="004D3F49" w:rsidP="003C72E6">
      <w:r w:rsidRPr="005A0BC3">
        <w:t xml:space="preserve">The new TDS and </w:t>
      </w:r>
      <w:r w:rsidRPr="00457736">
        <w:t>nitrate</w:t>
      </w:r>
      <w:r w:rsidRPr="005A0BC3">
        <w:t xml:space="preserve"> objectives for the GMZs in </w:t>
      </w:r>
      <w:r>
        <w:t>the SAR Watershed</w:t>
      </w:r>
      <w:r w:rsidRPr="005A0BC3">
        <w:t xml:space="preserve"> were established to ensure that water quality is maintained pursuant to the State’s </w:t>
      </w:r>
      <w:r>
        <w:t>a</w:t>
      </w:r>
      <w:r w:rsidRPr="005A0BC3">
        <w:t xml:space="preserve">ntidegradation </w:t>
      </w:r>
      <w:r>
        <w:t>p</w:t>
      </w:r>
      <w:r w:rsidRPr="005A0BC3">
        <w:t>olicy</w:t>
      </w:r>
      <w:r>
        <w:t>,</w:t>
      </w:r>
      <w:r w:rsidRPr="005A0BC3">
        <w:t xml:space="preserve"> </w:t>
      </w:r>
      <w:r>
        <w:t>and thus,</w:t>
      </w:r>
      <w:r w:rsidRPr="005A0BC3">
        <w:t xml:space="preserve"> were termed “antidegradation” objectives.</w:t>
      </w:r>
      <w:r w:rsidR="00DE64F3">
        <w:t xml:space="preserve"> In some GMZs, alternative “maximum-benefit” objectives were established, enabled by GMZ-specific salt and nutrient management programs (</w:t>
      </w:r>
      <w:proofErr w:type="gramStart"/>
      <w:r w:rsidR="00DE64F3">
        <w:t>e.g.</w:t>
      </w:r>
      <w:proofErr w:type="gramEnd"/>
      <w:r w:rsidR="00DE64F3">
        <w:t xml:space="preserve"> Maximum Benefit SNMPs), which would allow the lowering of water quality based on demonstrations by the sponsoring agencies that beneficial uses would be protected and the programs would provide maximum benefit to the people of California</w:t>
      </w:r>
      <w:r w:rsidR="00404C1E">
        <w:t xml:space="preserve">. Maximum Benefit SNMPs were adopted as part of the 2004 Basin Plan amendment for the Beaumont, Chino-North, Cucamonga, San </w:t>
      </w:r>
      <w:proofErr w:type="spellStart"/>
      <w:r w:rsidR="00404C1E">
        <w:t>Timoteo</w:t>
      </w:r>
      <w:proofErr w:type="spellEnd"/>
      <w:r w:rsidR="00404C1E">
        <w:t>, and Yucaipa GMZs. Subsequent Maximum Benefit SNMPs were amended into the Basin Plan for the San Jacinto Upper Pressure GMZ (2010) and Elsinore GMZ (2021).</w:t>
      </w:r>
    </w:p>
    <w:p w14:paraId="06981F11" w14:textId="7EBA932E" w:rsidR="005E5BC1" w:rsidRDefault="005E5BC1" w:rsidP="003C72E6">
      <w:r>
        <w:t xml:space="preserve">To track compliance with the Basin Plan TDS and </w:t>
      </w:r>
      <w:r w:rsidRPr="00457736">
        <w:t>nitrate</w:t>
      </w:r>
      <w:r>
        <w:t xml:space="preserve"> objectives, the Basin Plan SNMP includes monitoring program requirements for both surface water and groundwater, including the collection of TDS and </w:t>
      </w:r>
      <w:r w:rsidRPr="00457736">
        <w:t>nitrogen</w:t>
      </w:r>
      <w:r>
        <w:t xml:space="preserve"> monitoring data and submittal of periodic reports that analyze the monitoring results and compare them to the relevant</w:t>
      </w:r>
      <w:r w:rsidR="00200C4D">
        <w:t xml:space="preserve"> objectives</w:t>
      </w:r>
      <w:r>
        <w:t xml:space="preserve">. </w:t>
      </w:r>
      <w:r w:rsidR="00200C4D">
        <w:t xml:space="preserve">Specifically for groundwater, the Basin Plan SNMP requires that current </w:t>
      </w:r>
      <w:r w:rsidR="00CF0B52">
        <w:t>AWQ</w:t>
      </w:r>
      <w:r w:rsidR="00200C4D">
        <w:t xml:space="preserve"> and assimilative capacity within each GMZ be analyzed triennially (every three years) to determine if any new or revised regulatory actions are required to address the current water quality conditions. </w:t>
      </w:r>
      <w:r>
        <w:t>Currently the data compilation and reporting programs are implemented cooperatively by the Task Force on behalf of all the responsible parties</w:t>
      </w:r>
      <w:r w:rsidR="00691285">
        <w:t xml:space="preserve"> in accordance with the GMP accepted by the </w:t>
      </w:r>
      <w:r w:rsidR="0001516D">
        <w:t>Santa Ana Water Board</w:t>
      </w:r>
      <w:r w:rsidR="00691285">
        <w:t xml:space="preserve"> in 2005 (2005 GMP)</w:t>
      </w:r>
      <w:r>
        <w:t xml:space="preserve">. The </w:t>
      </w:r>
      <w:r w:rsidR="00691285">
        <w:t>2005</w:t>
      </w:r>
      <w:r w:rsidR="00F4276A">
        <w:t xml:space="preserve"> </w:t>
      </w:r>
      <w:r w:rsidR="00691285">
        <w:t>GMP</w:t>
      </w:r>
      <w:r w:rsidR="00F4276A">
        <w:t xml:space="preserve"> is</w:t>
      </w:r>
      <w:r>
        <w:t xml:space="preserve"> discussed further in Section</w:t>
      </w:r>
      <w:r w:rsidR="00F4276A">
        <w:t>s</w:t>
      </w:r>
      <w:r>
        <w:t xml:space="preserve"> 1.5</w:t>
      </w:r>
      <w:r w:rsidR="00F4276A">
        <w:t xml:space="preserve"> and 2 </w:t>
      </w:r>
      <w:r>
        <w:t>of this report.</w:t>
      </w:r>
    </w:p>
    <w:p w14:paraId="622E9745" w14:textId="6C78462B" w:rsidR="00404C1E" w:rsidRDefault="00404C1E" w:rsidP="00404C1E">
      <w:pPr>
        <w:pStyle w:val="Heading3"/>
      </w:pPr>
      <w:bookmarkStart w:id="17" w:name="_Toc117719777"/>
      <w:r>
        <w:t>Recycled Water Policy</w:t>
      </w:r>
      <w:r w:rsidR="005E5BC1">
        <w:t xml:space="preserve"> and Declaration of Conformance</w:t>
      </w:r>
      <w:bookmarkEnd w:id="17"/>
    </w:p>
    <w:p w14:paraId="50AF1F7E" w14:textId="5E7D7D00" w:rsidR="00404C1E" w:rsidRDefault="00404C1E" w:rsidP="00035C62">
      <w:r>
        <w:t xml:space="preserve">In 2009, the State </w:t>
      </w:r>
      <w:r w:rsidR="00B2249C">
        <w:t xml:space="preserve">Board </w:t>
      </w:r>
      <w:r>
        <w:t>adopted the</w:t>
      </w:r>
      <w:r w:rsidRPr="00404C1E">
        <w:rPr>
          <w:i/>
          <w:iCs/>
        </w:rPr>
        <w:t xml:space="preserve"> </w:t>
      </w:r>
      <w:r w:rsidRPr="004B2B87">
        <w:rPr>
          <w:i/>
          <w:iCs/>
        </w:rPr>
        <w:t>Water Quality Control Policy for Recycled Water</w:t>
      </w:r>
      <w:r>
        <w:t xml:space="preserve"> (Recycled Water Policy). The purpose of the policy was to encourage increased use of recycled water statewide in a manner that implements state and federal water quality laws. The policy defined: mandates for the use of recycled water; the implementation roles of the State Board, Regional Water Quality Control Boards, and other state agencies; requirements and guidelines for the development of </w:t>
      </w:r>
      <w:r w:rsidR="005E5BC1">
        <w:t>SNMPs</w:t>
      </w:r>
      <w:r>
        <w:t xml:space="preserve">; provisions for streamlining the permitting of recycled water landscape irrigation projects; requirements for permitting of recycled water recharge projects; antidegradation requirements for recycled water use; and a process to convene a Science Advisory Panel to </w:t>
      </w:r>
      <w:r w:rsidRPr="00CB1C35">
        <w:t>provide guidance on monitoring constituents of emerging concern (CECs) in recycled water</w:t>
      </w:r>
      <w:r>
        <w:t>.</w:t>
      </w:r>
      <w:r w:rsidR="005E5BC1">
        <w:t xml:space="preserve"> Notably, </w:t>
      </w:r>
      <w:r w:rsidR="00200C4D">
        <w:t xml:space="preserve">the Recycled Water Policy required water and recycled water management agencies across the state to develop </w:t>
      </w:r>
      <w:r w:rsidR="00F4276A">
        <w:t xml:space="preserve">detailed </w:t>
      </w:r>
      <w:r w:rsidR="00200C4D">
        <w:t>SNMPs.</w:t>
      </w:r>
    </w:p>
    <w:p w14:paraId="6CA782C6" w14:textId="4CB83036" w:rsidR="00200C4D" w:rsidRPr="00D3003B" w:rsidRDefault="00200C4D" w:rsidP="00200C4D">
      <w:pPr>
        <w:pStyle w:val="paragraph"/>
        <w:spacing w:before="120" w:beforeAutospacing="0" w:after="120" w:afterAutospacing="0"/>
        <w:jc w:val="both"/>
        <w:textAlignment w:val="baseline"/>
        <w:rPr>
          <w:rStyle w:val="normaltextrun"/>
          <w:rFonts w:asciiTheme="minorHAnsi" w:hAnsiTheme="minorHAnsi" w:cstheme="minorHAnsi"/>
          <w:color w:val="000000"/>
          <w:sz w:val="22"/>
        </w:rPr>
      </w:pPr>
      <w:r w:rsidRPr="00D3003B">
        <w:rPr>
          <w:rStyle w:val="normaltextrun"/>
          <w:rFonts w:asciiTheme="minorHAnsi" w:hAnsiTheme="minorHAnsi" w:cstheme="minorHAnsi"/>
          <w:color w:val="000000"/>
          <w:sz w:val="22"/>
        </w:rPr>
        <w:t xml:space="preserve">A testament </w:t>
      </w:r>
      <w:r>
        <w:rPr>
          <w:rStyle w:val="normaltextrun"/>
          <w:rFonts w:asciiTheme="minorHAnsi" w:hAnsiTheme="minorHAnsi" w:cstheme="minorHAnsi"/>
          <w:color w:val="000000"/>
          <w:sz w:val="22"/>
        </w:rPr>
        <w:t>to</w:t>
      </w:r>
      <w:r w:rsidRPr="00D3003B">
        <w:rPr>
          <w:rStyle w:val="normaltextrun"/>
          <w:rFonts w:asciiTheme="minorHAnsi" w:hAnsiTheme="minorHAnsi" w:cstheme="minorHAnsi"/>
          <w:color w:val="000000"/>
          <w:sz w:val="22"/>
        </w:rPr>
        <w:t xml:space="preserve"> </w:t>
      </w:r>
      <w:r>
        <w:rPr>
          <w:rStyle w:val="normaltextrun"/>
          <w:rFonts w:asciiTheme="minorHAnsi" w:hAnsiTheme="minorHAnsi" w:cstheme="minorHAnsi"/>
          <w:color w:val="000000"/>
          <w:sz w:val="22"/>
        </w:rPr>
        <w:t>the</w:t>
      </w:r>
      <w:r w:rsidRPr="00D3003B">
        <w:rPr>
          <w:rStyle w:val="normaltextrun"/>
          <w:rFonts w:asciiTheme="minorHAnsi" w:hAnsiTheme="minorHAnsi" w:cstheme="minorHAnsi"/>
          <w:color w:val="000000"/>
          <w:sz w:val="22"/>
        </w:rPr>
        <w:t xml:space="preserve"> innovation </w:t>
      </w:r>
      <w:r>
        <w:rPr>
          <w:rStyle w:val="normaltextrun"/>
          <w:rFonts w:asciiTheme="minorHAnsi" w:hAnsiTheme="minorHAnsi" w:cstheme="minorHAnsi"/>
          <w:color w:val="000000"/>
          <w:sz w:val="22"/>
        </w:rPr>
        <w:t>of the SAR Watershed in its work to revise the Basin Pan SNMP</w:t>
      </w:r>
      <w:r w:rsidR="00F4276A">
        <w:rPr>
          <w:rStyle w:val="normaltextrun"/>
          <w:rFonts w:asciiTheme="minorHAnsi" w:hAnsiTheme="minorHAnsi" w:cstheme="minorHAnsi"/>
          <w:color w:val="000000"/>
          <w:sz w:val="22"/>
        </w:rPr>
        <w:t xml:space="preserve"> in 2004</w:t>
      </w:r>
      <w:r>
        <w:rPr>
          <w:rStyle w:val="normaltextrun"/>
          <w:rFonts w:asciiTheme="minorHAnsi" w:hAnsiTheme="minorHAnsi" w:cstheme="minorHAnsi"/>
          <w:color w:val="000000"/>
          <w:sz w:val="22"/>
        </w:rPr>
        <w:t xml:space="preserve"> </w:t>
      </w:r>
      <w:r w:rsidRPr="00D3003B">
        <w:rPr>
          <w:rStyle w:val="normaltextrun"/>
          <w:rFonts w:asciiTheme="minorHAnsi" w:hAnsiTheme="minorHAnsi" w:cstheme="minorHAnsi"/>
          <w:color w:val="000000"/>
          <w:sz w:val="22"/>
        </w:rPr>
        <w:t xml:space="preserve">was the fact that </w:t>
      </w:r>
      <w:r>
        <w:rPr>
          <w:rStyle w:val="normaltextrun"/>
          <w:rFonts w:asciiTheme="minorHAnsi" w:hAnsiTheme="minorHAnsi" w:cstheme="minorHAnsi"/>
          <w:color w:val="000000"/>
          <w:sz w:val="22"/>
        </w:rPr>
        <w:t>it</w:t>
      </w:r>
      <w:r w:rsidRPr="00D3003B">
        <w:rPr>
          <w:rStyle w:val="normaltextrun"/>
          <w:rFonts w:asciiTheme="minorHAnsi" w:hAnsiTheme="minorHAnsi" w:cstheme="minorHAnsi"/>
          <w:color w:val="000000"/>
          <w:sz w:val="22"/>
        </w:rPr>
        <w:t xml:space="preserve"> served as a template for the development of state-wide guidelines </w:t>
      </w:r>
      <w:r>
        <w:rPr>
          <w:rStyle w:val="normaltextrun"/>
          <w:rFonts w:asciiTheme="minorHAnsi" w:hAnsiTheme="minorHAnsi" w:cstheme="minorHAnsi"/>
          <w:color w:val="000000"/>
          <w:sz w:val="22"/>
        </w:rPr>
        <w:t>for SNMPs within the</w:t>
      </w:r>
      <w:r w:rsidRPr="00D3003B">
        <w:rPr>
          <w:rStyle w:val="normaltextrun"/>
          <w:rFonts w:asciiTheme="minorHAnsi" w:hAnsiTheme="minorHAnsi" w:cstheme="minorHAnsi"/>
          <w:color w:val="000000"/>
          <w:sz w:val="22"/>
        </w:rPr>
        <w:t xml:space="preserve"> Recycled Water Policy. The Recycled Water Policy required that the SNMPs </w:t>
      </w:r>
      <w:proofErr w:type="gramStart"/>
      <w:r w:rsidRPr="00D3003B">
        <w:rPr>
          <w:rStyle w:val="normaltextrun"/>
          <w:rFonts w:asciiTheme="minorHAnsi" w:hAnsiTheme="minorHAnsi" w:cstheme="minorHAnsi"/>
          <w:color w:val="000000"/>
          <w:sz w:val="22"/>
        </w:rPr>
        <w:t>include:</w:t>
      </w:r>
      <w:proofErr w:type="gramEnd"/>
      <w:r w:rsidRPr="00D3003B">
        <w:rPr>
          <w:rStyle w:val="normaltextrun"/>
          <w:rFonts w:asciiTheme="minorHAnsi" w:hAnsiTheme="minorHAnsi" w:cstheme="minorHAnsi"/>
          <w:color w:val="000000"/>
          <w:sz w:val="22"/>
        </w:rPr>
        <w:t xml:space="preserve"> current </w:t>
      </w:r>
      <w:r w:rsidR="00CF0B52">
        <w:rPr>
          <w:rStyle w:val="normaltextrun"/>
          <w:rFonts w:asciiTheme="minorHAnsi" w:hAnsiTheme="minorHAnsi" w:cstheme="minorHAnsi"/>
          <w:color w:val="000000"/>
          <w:sz w:val="22"/>
        </w:rPr>
        <w:t>AWQ</w:t>
      </w:r>
      <w:r w:rsidRPr="00D3003B">
        <w:rPr>
          <w:rStyle w:val="normaltextrun"/>
          <w:rFonts w:asciiTheme="minorHAnsi" w:hAnsiTheme="minorHAnsi" w:cstheme="minorHAnsi"/>
          <w:color w:val="000000"/>
          <w:sz w:val="22"/>
        </w:rPr>
        <w:t xml:space="preserve"> and assimilative capacity </w:t>
      </w:r>
      <w:r w:rsidR="00F4276A">
        <w:rPr>
          <w:rStyle w:val="normaltextrun"/>
          <w:rFonts w:asciiTheme="minorHAnsi" w:hAnsiTheme="minorHAnsi" w:cstheme="minorHAnsi"/>
          <w:color w:val="000000"/>
          <w:sz w:val="22"/>
        </w:rPr>
        <w:t>findings</w:t>
      </w:r>
      <w:r w:rsidRPr="00D3003B">
        <w:rPr>
          <w:rStyle w:val="normaltextrun"/>
          <w:rFonts w:asciiTheme="minorHAnsi" w:hAnsiTheme="minorHAnsi" w:cstheme="minorHAnsi"/>
          <w:color w:val="000000"/>
          <w:sz w:val="22"/>
        </w:rPr>
        <w:t xml:space="preserve">; projections of future changes in </w:t>
      </w:r>
      <w:r w:rsidR="00CF0B52">
        <w:rPr>
          <w:rStyle w:val="normaltextrun"/>
          <w:rFonts w:asciiTheme="minorHAnsi" w:hAnsiTheme="minorHAnsi" w:cstheme="minorHAnsi"/>
          <w:color w:val="000000"/>
          <w:sz w:val="22"/>
        </w:rPr>
        <w:t>AWQ</w:t>
      </w:r>
      <w:r w:rsidRPr="00D3003B">
        <w:rPr>
          <w:rStyle w:val="normaltextrun"/>
          <w:rFonts w:asciiTheme="minorHAnsi" w:hAnsiTheme="minorHAnsi" w:cstheme="minorHAnsi"/>
          <w:color w:val="000000"/>
          <w:sz w:val="22"/>
        </w:rPr>
        <w:t xml:space="preserve">; characterization of the relative </w:t>
      </w:r>
      <w:r w:rsidRPr="00D3003B">
        <w:rPr>
          <w:rStyle w:val="normaltextrun"/>
          <w:rFonts w:asciiTheme="minorHAnsi" w:hAnsiTheme="minorHAnsi" w:cstheme="minorHAnsi"/>
          <w:color w:val="000000"/>
          <w:sz w:val="22"/>
        </w:rPr>
        <w:lastRenderedPageBreak/>
        <w:t xml:space="preserve">impacts of recycled water reuse on compliance with groundwater quality objectives; and a monitoring and reporting program to track changes in groundwater quality over time. While other Regional </w:t>
      </w:r>
      <w:r w:rsidR="00D22456">
        <w:rPr>
          <w:rStyle w:val="normaltextrun"/>
          <w:rFonts w:asciiTheme="minorHAnsi" w:hAnsiTheme="minorHAnsi" w:cstheme="minorHAnsi"/>
          <w:color w:val="000000"/>
          <w:sz w:val="22"/>
        </w:rPr>
        <w:t xml:space="preserve">Water </w:t>
      </w:r>
      <w:r w:rsidR="0000632E">
        <w:rPr>
          <w:rStyle w:val="normaltextrun"/>
          <w:rFonts w:asciiTheme="minorHAnsi" w:hAnsiTheme="minorHAnsi" w:cstheme="minorHAnsi"/>
          <w:color w:val="000000"/>
          <w:sz w:val="22"/>
        </w:rPr>
        <w:t xml:space="preserve">Quality Control </w:t>
      </w:r>
      <w:r w:rsidRPr="00D3003B">
        <w:rPr>
          <w:rStyle w:val="normaltextrun"/>
          <w:rFonts w:asciiTheme="minorHAnsi" w:hAnsiTheme="minorHAnsi" w:cstheme="minorHAnsi"/>
          <w:color w:val="000000"/>
          <w:sz w:val="22"/>
        </w:rPr>
        <w:t>Board</w:t>
      </w:r>
      <w:r w:rsidR="00D22456">
        <w:rPr>
          <w:rStyle w:val="normaltextrun"/>
          <w:rFonts w:asciiTheme="minorHAnsi" w:hAnsiTheme="minorHAnsi" w:cstheme="minorHAnsi"/>
          <w:color w:val="000000"/>
          <w:sz w:val="22"/>
        </w:rPr>
        <w:t>s</w:t>
      </w:r>
      <w:r w:rsidRPr="00D3003B">
        <w:rPr>
          <w:rStyle w:val="normaltextrun"/>
          <w:rFonts w:asciiTheme="minorHAnsi" w:hAnsiTheme="minorHAnsi" w:cstheme="minorHAnsi"/>
          <w:color w:val="000000"/>
          <w:sz w:val="22"/>
        </w:rPr>
        <w:t xml:space="preserve"> across the state were </w:t>
      </w:r>
      <w:r w:rsidR="00D22456">
        <w:rPr>
          <w:rStyle w:val="normaltextrun"/>
          <w:rFonts w:asciiTheme="minorHAnsi" w:hAnsiTheme="minorHAnsi" w:cstheme="minorHAnsi"/>
          <w:color w:val="000000"/>
          <w:sz w:val="22"/>
        </w:rPr>
        <w:t>working</w:t>
      </w:r>
      <w:r w:rsidRPr="00D3003B">
        <w:rPr>
          <w:rStyle w:val="normaltextrun"/>
          <w:rFonts w:asciiTheme="minorHAnsi" w:hAnsiTheme="minorHAnsi" w:cstheme="minorHAnsi"/>
          <w:color w:val="000000"/>
          <w:sz w:val="22"/>
        </w:rPr>
        <w:t xml:space="preserve"> to encourage the formation of stakeholder groups to prepare the requisite SNMPs, the only action that was necessary by the Santa Ana </w:t>
      </w:r>
      <w:r w:rsidR="00D22456">
        <w:rPr>
          <w:rStyle w:val="normaltextrun"/>
          <w:rFonts w:asciiTheme="minorHAnsi" w:hAnsiTheme="minorHAnsi" w:cstheme="minorHAnsi"/>
          <w:color w:val="000000"/>
          <w:sz w:val="22"/>
        </w:rPr>
        <w:t>Water Board</w:t>
      </w:r>
      <w:r w:rsidRPr="00D3003B">
        <w:rPr>
          <w:rStyle w:val="normaltextrun"/>
          <w:rFonts w:asciiTheme="minorHAnsi" w:hAnsiTheme="minorHAnsi" w:cstheme="minorHAnsi"/>
          <w:color w:val="000000"/>
          <w:sz w:val="22"/>
        </w:rPr>
        <w:t xml:space="preserve"> was to adopt its </w:t>
      </w:r>
      <w:r w:rsidRPr="00D3003B">
        <w:rPr>
          <w:rStyle w:val="normaltextrun"/>
          <w:rFonts w:asciiTheme="minorHAnsi" w:hAnsiTheme="minorHAnsi" w:cstheme="minorHAnsi"/>
          <w:i/>
          <w:color w:val="000000"/>
          <w:sz w:val="22"/>
        </w:rPr>
        <w:t>Declaration of Conformance with the Recycled Water Policy</w:t>
      </w:r>
      <w:r w:rsidRPr="00D3003B">
        <w:rPr>
          <w:rStyle w:val="normaltextrun"/>
          <w:rFonts w:asciiTheme="minorHAnsi" w:hAnsiTheme="minorHAnsi" w:cstheme="minorHAnsi"/>
          <w:color w:val="000000"/>
          <w:sz w:val="22"/>
        </w:rPr>
        <w:t xml:space="preserve"> (R8-2010-0012), which outlined how the Basin Plan SNMP complies with the Policy.</w:t>
      </w:r>
      <w:r w:rsidR="00D22456">
        <w:rPr>
          <w:rStyle w:val="normaltextrun"/>
          <w:rFonts w:asciiTheme="minorHAnsi" w:hAnsiTheme="minorHAnsi" w:cstheme="minorHAnsi"/>
          <w:color w:val="000000"/>
          <w:sz w:val="22"/>
        </w:rPr>
        <w:t xml:space="preserve"> The finding of conformance was based on the collective work of the Task Force.</w:t>
      </w:r>
    </w:p>
    <w:p w14:paraId="37F259CA" w14:textId="54E76CD9" w:rsidR="00B2249C" w:rsidRDefault="00B2249C" w:rsidP="00B2249C">
      <w:pPr>
        <w:pStyle w:val="Heading4"/>
      </w:pPr>
      <w:bookmarkStart w:id="18" w:name="_Toc117719778"/>
      <w:r>
        <w:t>2019 Recycled Water Policy</w:t>
      </w:r>
      <w:bookmarkEnd w:id="18"/>
    </w:p>
    <w:p w14:paraId="4CE82869" w14:textId="738AED86" w:rsidR="007F24E0" w:rsidRDefault="007F24E0" w:rsidP="007F24E0">
      <w:r w:rsidRPr="00951F0D">
        <w:t xml:space="preserve">In December 2016, the </w:t>
      </w:r>
      <w:bookmarkStart w:id="19" w:name="_Hlk75610725"/>
      <w:r w:rsidRPr="00951F0D">
        <w:t>State Board adopted Resolution No. 2016</w:t>
      </w:r>
      <w:r>
        <w:noBreakHyphen/>
      </w:r>
      <w:r w:rsidRPr="00951F0D">
        <w:t>0061</w:t>
      </w:r>
      <w:bookmarkEnd w:id="19"/>
      <w:r w:rsidRPr="00951F0D">
        <w:t>, which directed staff</w:t>
      </w:r>
      <w:r>
        <w:t xml:space="preserve"> </w:t>
      </w:r>
      <w:r w:rsidRPr="00951F0D">
        <w:t xml:space="preserve">to propose amendments to the </w:t>
      </w:r>
      <w:r>
        <w:t>Recycled Water P</w:t>
      </w:r>
      <w:r w:rsidRPr="00951F0D">
        <w:t xml:space="preserve">olicy, in part, to improve the SNMP guidelines based on lessons learned over the first seven years of implementation. </w:t>
      </w:r>
      <w:r w:rsidR="00B2249C">
        <w:t>O</w:t>
      </w:r>
      <w:r w:rsidR="00F4276A">
        <w:t>n</w:t>
      </w:r>
      <w:r w:rsidR="00B2249C">
        <w:t xml:space="preserve"> December 11, 2018, the State Board adopted amendments to the policy, which became effective in April 2019. The 2019 Recycled Water Policy i</w:t>
      </w:r>
      <w:r>
        <w:t>ncluded provisions to:</w:t>
      </w:r>
    </w:p>
    <w:p w14:paraId="0163222F" w14:textId="728112F1" w:rsidR="007F24E0" w:rsidRPr="00906028" w:rsidRDefault="007F24E0" w:rsidP="007F24E0">
      <w:pPr>
        <w:pStyle w:val="Bullet"/>
      </w:pPr>
      <w:r>
        <w:t xml:space="preserve">Define </w:t>
      </w:r>
      <w:r w:rsidRPr="00390F9C">
        <w:t xml:space="preserve">new compliance schedules for </w:t>
      </w:r>
      <w:r>
        <w:t xml:space="preserve">prioritizing groundwater basins and </w:t>
      </w:r>
      <w:r w:rsidRPr="00390F9C">
        <w:t>completing SNMPs in areas where they had either not been prepared or approved by the Regional</w:t>
      </w:r>
      <w:r>
        <w:t> </w:t>
      </w:r>
      <w:r w:rsidR="0001516D">
        <w:t xml:space="preserve">Water </w:t>
      </w:r>
      <w:r w:rsidRPr="00390F9C">
        <w:t>Boards</w:t>
      </w:r>
      <w:r>
        <w:t>.</w:t>
      </w:r>
    </w:p>
    <w:p w14:paraId="532316FA" w14:textId="7A24702A" w:rsidR="007F24E0" w:rsidRDefault="007F24E0" w:rsidP="007F24E0">
      <w:pPr>
        <w:pStyle w:val="Bullet"/>
      </w:pPr>
      <w:r>
        <w:t>Define</w:t>
      </w:r>
      <w:r w:rsidRPr="00390F9C">
        <w:t xml:space="preserve"> </w:t>
      </w:r>
      <w:r>
        <w:t>a</w:t>
      </w:r>
      <w:r w:rsidRPr="00390F9C">
        <w:t xml:space="preserve"> </w:t>
      </w:r>
      <w:r>
        <w:t xml:space="preserve">process for </w:t>
      </w:r>
      <w:r w:rsidRPr="00390F9C">
        <w:t xml:space="preserve">the Regional </w:t>
      </w:r>
      <w:r w:rsidR="0001516D">
        <w:t xml:space="preserve">Water </w:t>
      </w:r>
      <w:r w:rsidRPr="00390F9C">
        <w:t xml:space="preserve">Boards </w:t>
      </w:r>
      <w:r>
        <w:t xml:space="preserve">to review and </w:t>
      </w:r>
      <w:r w:rsidRPr="00390F9C">
        <w:t>accept SNMPs</w:t>
      </w:r>
      <w:r>
        <w:t>.</w:t>
      </w:r>
    </w:p>
    <w:p w14:paraId="04354D9E" w14:textId="27B4AB4F" w:rsidR="007F24E0" w:rsidRDefault="007F24E0" w:rsidP="007F24E0">
      <w:pPr>
        <w:pStyle w:val="Bullet"/>
      </w:pPr>
      <w:r>
        <w:t>R</w:t>
      </w:r>
      <w:r w:rsidR="008D5C09">
        <w:t xml:space="preserve">efine the </w:t>
      </w:r>
      <w:r w:rsidR="00675F72">
        <w:t xml:space="preserve">SNMP </w:t>
      </w:r>
      <w:r w:rsidR="008D5C09">
        <w:t xml:space="preserve">monitoring </w:t>
      </w:r>
      <w:r w:rsidR="00675F72">
        <w:t>protocols and r</w:t>
      </w:r>
      <w:r>
        <w:t>equire annual reporting of data from the SNMP monitoring programs.</w:t>
      </w:r>
    </w:p>
    <w:p w14:paraId="0BEF4858" w14:textId="77777777" w:rsidR="007F24E0" w:rsidRDefault="007F24E0" w:rsidP="007F24E0">
      <w:pPr>
        <w:pStyle w:val="Bullet"/>
        <w:spacing w:after="240"/>
      </w:pPr>
      <w:r>
        <w:t>Require review and assessment of the SNMP monitoring program data every five years and determine if an SNMP should be updated based on the assessment.</w:t>
      </w:r>
    </w:p>
    <w:p w14:paraId="448A1F59" w14:textId="0EDD1878" w:rsidR="00A54806" w:rsidRDefault="00B2249C" w:rsidP="007F24E0">
      <w:r>
        <w:t>The 2019 Recycled Water Policy further</w:t>
      </w:r>
      <w:r w:rsidR="007F24E0">
        <w:t xml:space="preserve"> </w:t>
      </w:r>
      <w:r w:rsidR="007F24E0" w:rsidRPr="00390F9C">
        <w:t>requires</w:t>
      </w:r>
      <w:r w:rsidR="007F24E0">
        <w:t xml:space="preserve"> that</w:t>
      </w:r>
      <w:r>
        <w:t xml:space="preserve"> for any </w:t>
      </w:r>
      <w:r w:rsidR="007F24E0">
        <w:t xml:space="preserve">SNMP adopted as a Basin Plan amendment or accepted by </w:t>
      </w:r>
      <w:r>
        <w:t>a</w:t>
      </w:r>
      <w:r w:rsidR="007F24E0">
        <w:t xml:space="preserve"> Regional </w:t>
      </w:r>
      <w:r>
        <w:t xml:space="preserve">Water </w:t>
      </w:r>
      <w:r w:rsidR="0000632E">
        <w:t xml:space="preserve">Quality Control </w:t>
      </w:r>
      <w:r>
        <w:t>Board</w:t>
      </w:r>
      <w:r w:rsidR="007F24E0">
        <w:t xml:space="preserve"> prior to April 8, </w:t>
      </w:r>
      <w:proofErr w:type="gramStart"/>
      <w:r w:rsidR="007F24E0">
        <w:t>2019</w:t>
      </w:r>
      <w:proofErr w:type="gramEnd"/>
      <w:r w:rsidR="007F24E0">
        <w:t xml:space="preserve"> must be evaluated pursuant to the new </w:t>
      </w:r>
      <w:r>
        <w:t xml:space="preserve">five-year </w:t>
      </w:r>
      <w:r w:rsidR="007F24E0">
        <w:t>data assessment requirements by April 8, 2024.</w:t>
      </w:r>
      <w:r>
        <w:t xml:space="preserve"> The five-year </w:t>
      </w:r>
      <w:r w:rsidR="008D5C09">
        <w:t>review</w:t>
      </w:r>
      <w:r>
        <w:t xml:space="preserve"> requirements include</w:t>
      </w:r>
      <w:r w:rsidR="008D5C09">
        <w:t xml:space="preserve"> evaluating the SNMP monitoring data to determine whether potential updates to the SNMP may be warranted. The assessment must include and consider: </w:t>
      </w:r>
    </w:p>
    <w:p w14:paraId="750290F3" w14:textId="1F21D099" w:rsidR="00897F65" w:rsidRDefault="00897F65" w:rsidP="008D5C09">
      <w:pPr>
        <w:pStyle w:val="Bullet"/>
      </w:pPr>
      <w:r>
        <w:t xml:space="preserve">Observed trends in groundwater salinity </w:t>
      </w:r>
      <w:r w:rsidR="008D5C09">
        <w:t>as compared to any</w:t>
      </w:r>
      <w:r>
        <w:t xml:space="preserve"> predicted trends </w:t>
      </w:r>
      <w:r w:rsidR="008D5C09">
        <w:t>assumed in</w:t>
      </w:r>
      <w:r>
        <w:t xml:space="preserve"> the SNMP</w:t>
      </w:r>
    </w:p>
    <w:p w14:paraId="4799D8AE" w14:textId="37B048FC" w:rsidR="00897F65" w:rsidRDefault="00897F65" w:rsidP="008D5C09">
      <w:pPr>
        <w:pStyle w:val="Bullet"/>
      </w:pPr>
      <w:r>
        <w:t xml:space="preserve">The ability of the </w:t>
      </w:r>
      <w:r w:rsidR="008D5C09">
        <w:t xml:space="preserve">SNMP </w:t>
      </w:r>
      <w:r>
        <w:t>monitoring network to adequately characterize groundwater quality</w:t>
      </w:r>
    </w:p>
    <w:p w14:paraId="467EDBF7" w14:textId="41C7C32F" w:rsidR="00897F65" w:rsidRDefault="00897F65" w:rsidP="008D5C09">
      <w:pPr>
        <w:pStyle w:val="Bullet"/>
      </w:pPr>
      <w:r>
        <w:t>Potential new data gaps</w:t>
      </w:r>
    </w:p>
    <w:p w14:paraId="14AE58C4" w14:textId="22CF3DD1" w:rsidR="00897F65" w:rsidRDefault="00897F65" w:rsidP="008D5C09">
      <w:pPr>
        <w:pStyle w:val="Bullet"/>
      </w:pPr>
      <w:r>
        <w:t>The ability of any relied-upon models to adequately simulate groundwater quality</w:t>
      </w:r>
    </w:p>
    <w:p w14:paraId="03834ED9" w14:textId="54FBB7A9" w:rsidR="00897F65" w:rsidRDefault="00897F65" w:rsidP="008D5C09">
      <w:pPr>
        <w:pStyle w:val="Bullet"/>
      </w:pPr>
      <w:r>
        <w:t>Available assimilative capacity based on observed trends and the most recent water quality data</w:t>
      </w:r>
    </w:p>
    <w:p w14:paraId="57C1BA4A" w14:textId="254129A4" w:rsidR="00897F65" w:rsidRDefault="00897F65" w:rsidP="008D5C09">
      <w:pPr>
        <w:pStyle w:val="Bullet"/>
        <w:spacing w:after="240"/>
      </w:pPr>
      <w:r>
        <w:t>The impact of new projects that are reasonably foreseeable at the time of the assessment</w:t>
      </w:r>
    </w:p>
    <w:p w14:paraId="6752C5D5" w14:textId="6786053B" w:rsidR="008D5C09" w:rsidRDefault="008D5C09" w:rsidP="008D5C09">
      <w:pPr>
        <w:pStyle w:val="Bullet"/>
        <w:numPr>
          <w:ilvl w:val="0"/>
          <w:numId w:val="0"/>
        </w:numPr>
        <w:spacing w:after="240"/>
      </w:pPr>
      <w:r>
        <w:t>Given that the Santa Ana Basin Plan SNMP was adopted prior to April 2019, the Santa Ana Water Board must complete its first five-year assessment in accordance with the 2019 Recycled Water Policy by April 2024.</w:t>
      </w:r>
    </w:p>
    <w:p w14:paraId="250A87F4" w14:textId="4190373B" w:rsidR="00BA328A" w:rsidRDefault="00BA328A" w:rsidP="008D5C09">
      <w:pPr>
        <w:pStyle w:val="Heading4"/>
      </w:pPr>
      <w:bookmarkStart w:id="20" w:name="_Toc117719779"/>
      <w:r>
        <w:lastRenderedPageBreak/>
        <w:t>2021 Basin Plan Amendment</w:t>
      </w:r>
      <w:bookmarkEnd w:id="20"/>
      <w:r w:rsidR="00897F65">
        <w:t xml:space="preserve"> </w:t>
      </w:r>
    </w:p>
    <w:p w14:paraId="1914F409" w14:textId="01B81412" w:rsidR="00B271A1" w:rsidRDefault="00C733D2" w:rsidP="00BA328A">
      <w:r>
        <w:t xml:space="preserve">As part of its </w:t>
      </w:r>
      <w:r w:rsidRPr="008D5C09">
        <w:t xml:space="preserve">evaluation of the existing </w:t>
      </w:r>
      <w:r>
        <w:t>SNMP</w:t>
      </w:r>
      <w:r w:rsidRPr="008D5C09">
        <w:t xml:space="preserve"> the </w:t>
      </w:r>
      <w:r>
        <w:t>Sa</w:t>
      </w:r>
      <w:r w:rsidRPr="008D5C09">
        <w:t>nta Ana</w:t>
      </w:r>
      <w:r>
        <w:t xml:space="preserve"> </w:t>
      </w:r>
      <w:r w:rsidRPr="008D5C09">
        <w:t>Water Board will need to determine if the basin-wide monitoring program is consistent with</w:t>
      </w:r>
      <w:r>
        <w:t xml:space="preserve"> </w:t>
      </w:r>
      <w:r w:rsidRPr="008D5C09">
        <w:t xml:space="preserve">the monitoring provisions </w:t>
      </w:r>
      <w:r>
        <w:t xml:space="preserve">contained </w:t>
      </w:r>
      <w:r w:rsidRPr="008D5C09">
        <w:t>in Section 6.2.4.1. of the 2019 Recycled Water Policy</w:t>
      </w:r>
      <w:r>
        <w:t xml:space="preserve">. </w:t>
      </w:r>
      <w:r w:rsidR="008D5C09">
        <w:t>In December 2021, the Santa Ana Water Board amended the Basin Plan SNMP, in part, to enable its five-year assessment under the 2019 Recycled Water Policy</w:t>
      </w:r>
      <w:r w:rsidR="00E80094">
        <w:t>.</w:t>
      </w:r>
      <w:r>
        <w:rPr>
          <w:rStyle w:val="FootnoteReference"/>
        </w:rPr>
        <w:footnoteReference w:id="5"/>
      </w:r>
      <w:r w:rsidR="008D5C09">
        <w:t xml:space="preserve"> </w:t>
      </w:r>
    </w:p>
    <w:p w14:paraId="589373B5" w14:textId="16ACEF87" w:rsidR="00B271A1" w:rsidRDefault="00B271A1" w:rsidP="00BA328A">
      <w:r>
        <w:t>The Basin Plan amendment established that</w:t>
      </w:r>
      <w:r w:rsidR="00E80094">
        <w:t>:</w:t>
      </w:r>
      <w:r>
        <w:rPr>
          <w:rStyle w:val="FootnoteReference"/>
        </w:rPr>
        <w:footnoteReference w:id="6"/>
      </w:r>
      <w:r>
        <w:t xml:space="preserve"> </w:t>
      </w:r>
    </w:p>
    <w:p w14:paraId="76D5F374" w14:textId="04495987" w:rsidR="00B271A1" w:rsidRDefault="00F4276A" w:rsidP="00B271A1">
      <w:pPr>
        <w:ind w:left="720"/>
        <w:rPr>
          <w:i/>
          <w:iCs/>
        </w:rPr>
      </w:pPr>
      <w:r>
        <w:rPr>
          <w:i/>
          <w:iCs/>
        </w:rPr>
        <w:t>“</w:t>
      </w:r>
      <w:r w:rsidR="00B271A1" w:rsidRPr="00B271A1">
        <w:rPr>
          <w:i/>
          <w:iCs/>
        </w:rPr>
        <w:t xml:space="preserve">No later than </w:t>
      </w:r>
      <w:r w:rsidR="00B271A1">
        <w:rPr>
          <w:i/>
          <w:iCs/>
        </w:rPr>
        <w:t>August</w:t>
      </w:r>
      <w:r w:rsidR="00B271A1" w:rsidRPr="00B271A1">
        <w:rPr>
          <w:i/>
          <w:iCs/>
        </w:rPr>
        <w:t xml:space="preserve"> 1, 2022, … </w:t>
      </w:r>
      <w:r w:rsidR="00B271A1" w:rsidRPr="00B271A1">
        <w:t xml:space="preserve">[the Task Force members] </w:t>
      </w:r>
      <w:r w:rsidR="00B271A1" w:rsidRPr="00B271A1">
        <w:rPr>
          <w:i/>
          <w:iCs/>
        </w:rPr>
        <w:t xml:space="preserve">… shall submit to the </w:t>
      </w:r>
      <w:r w:rsidR="00B271A1">
        <w:rPr>
          <w:i/>
          <w:iCs/>
        </w:rPr>
        <w:t>Santa Ana Water</w:t>
      </w:r>
      <w:r w:rsidR="00B271A1" w:rsidRPr="00B271A1">
        <w:rPr>
          <w:i/>
          <w:iCs/>
        </w:rPr>
        <w:t xml:space="preserve"> Board for approval, an updated watershed-wide TDS and nitrogen monitoring program that will provide data necessary to implement the TDS/Nitrogen management plan. Data to be collected and analyzed shall address, at a minimum: (1) determination of current ambient quality in groundwater management zones; (2) determination of compliance with TDS and nitrate- nitrogen objectives for the management zones; (3) evaluation of assimilative capacity findings for groundwater management zones; (4) assessment of the effects of recharge of surface water POTW discharges on the quality of affected groundwater management zones; and (5) any other additional requirements specified</w:t>
      </w:r>
      <w:r w:rsidR="00B271A1">
        <w:rPr>
          <w:i/>
          <w:iCs/>
        </w:rPr>
        <w:t xml:space="preserve"> </w:t>
      </w:r>
      <w:r w:rsidR="00B271A1" w:rsidRPr="00B271A1">
        <w:rPr>
          <w:i/>
          <w:iCs/>
        </w:rPr>
        <w:t xml:space="preserve">in the State Board's </w:t>
      </w:r>
      <w:r w:rsidR="00B271A1">
        <w:rPr>
          <w:i/>
          <w:iCs/>
        </w:rPr>
        <w:t xml:space="preserve">2019 </w:t>
      </w:r>
      <w:r w:rsidR="00B271A1" w:rsidRPr="00B271A1">
        <w:rPr>
          <w:i/>
          <w:iCs/>
        </w:rPr>
        <w:t>Recycled Water Policy</w:t>
      </w:r>
      <w:r w:rsidR="00B271A1">
        <w:rPr>
          <w:i/>
          <w:iCs/>
        </w:rPr>
        <w:t>.</w:t>
      </w:r>
      <w:r w:rsidR="00B271A1" w:rsidRPr="00B271A1">
        <w:rPr>
          <w:i/>
          <w:iCs/>
        </w:rPr>
        <w:t xml:space="preserve"> </w:t>
      </w:r>
      <w:r w:rsidR="00B271A1">
        <w:rPr>
          <w:i/>
          <w:iCs/>
        </w:rPr>
        <w:t>T</w:t>
      </w:r>
      <w:r w:rsidR="00B271A1" w:rsidRPr="00B271A1">
        <w:rPr>
          <w:i/>
          <w:iCs/>
        </w:rPr>
        <w:t>he</w:t>
      </w:r>
      <w:r w:rsidR="00B271A1">
        <w:rPr>
          <w:i/>
          <w:iCs/>
        </w:rPr>
        <w:t xml:space="preserve"> </w:t>
      </w:r>
      <w:r w:rsidR="00B271A1" w:rsidRPr="00B271A1">
        <w:rPr>
          <w:i/>
          <w:iCs/>
        </w:rPr>
        <w:t xml:space="preserve">determination of current ambient quality </w:t>
      </w:r>
      <w:r w:rsidR="00B271A1">
        <w:rPr>
          <w:i/>
          <w:iCs/>
        </w:rPr>
        <w:t>can be</w:t>
      </w:r>
      <w:r w:rsidR="00B271A1" w:rsidRPr="00B271A1">
        <w:rPr>
          <w:i/>
          <w:iCs/>
        </w:rPr>
        <w:t xml:space="preserve"> accomplished using methodology</w:t>
      </w:r>
      <w:r w:rsidR="00B271A1">
        <w:rPr>
          <w:i/>
          <w:iCs/>
        </w:rPr>
        <w:t xml:space="preserve"> </w:t>
      </w:r>
      <w:r w:rsidR="00B271A1" w:rsidRPr="00B271A1">
        <w:rPr>
          <w:i/>
          <w:iCs/>
        </w:rPr>
        <w:t>consistent with that employed by the Nitrogen/TDS Task Force (20-year running</w:t>
      </w:r>
      <w:r w:rsidR="00B271A1">
        <w:rPr>
          <w:i/>
          <w:iCs/>
        </w:rPr>
        <w:t xml:space="preserve"> </w:t>
      </w:r>
      <w:r w:rsidR="00B271A1" w:rsidRPr="00B271A1">
        <w:rPr>
          <w:i/>
          <w:iCs/>
        </w:rPr>
        <w:t>averages) to develop the TDS and nitrogen water quality objectives included in this</w:t>
      </w:r>
      <w:r w:rsidR="00B271A1">
        <w:rPr>
          <w:i/>
          <w:iCs/>
        </w:rPr>
        <w:t xml:space="preserve"> </w:t>
      </w:r>
      <w:r w:rsidR="00B271A1" w:rsidRPr="00B271A1">
        <w:rPr>
          <w:i/>
          <w:iCs/>
        </w:rPr>
        <w:t>Basin Plan</w:t>
      </w:r>
      <w:r w:rsidR="00B271A1">
        <w:rPr>
          <w:i/>
          <w:iCs/>
        </w:rPr>
        <w:t>, or an alternative method approved by the Executive Officer of the Santa Ana Water Board.</w:t>
      </w:r>
      <w:r w:rsidR="00B271A1" w:rsidRPr="00B271A1">
        <w:rPr>
          <w:i/>
          <w:iCs/>
        </w:rPr>
        <w:t xml:space="preserve"> The</w:t>
      </w:r>
      <w:r w:rsidR="00B271A1">
        <w:rPr>
          <w:i/>
          <w:iCs/>
        </w:rPr>
        <w:t xml:space="preserve"> </w:t>
      </w:r>
      <w:r w:rsidR="00B271A1" w:rsidRPr="00B271A1">
        <w:rPr>
          <w:i/>
          <w:iCs/>
        </w:rPr>
        <w:t>determination of current ambient groundwater quality</w:t>
      </w:r>
      <w:r w:rsidR="00B271A1">
        <w:rPr>
          <w:i/>
          <w:iCs/>
        </w:rPr>
        <w:t xml:space="preserve"> </w:t>
      </w:r>
      <w:r w:rsidR="00B271A1" w:rsidRPr="00B271A1">
        <w:rPr>
          <w:i/>
          <w:iCs/>
        </w:rPr>
        <w:t xml:space="preserve">must be reported by October 1, </w:t>
      </w:r>
      <w:proofErr w:type="gramStart"/>
      <w:r w:rsidR="00B271A1" w:rsidRPr="00B271A1">
        <w:rPr>
          <w:i/>
          <w:iCs/>
        </w:rPr>
        <w:t>2023</w:t>
      </w:r>
      <w:proofErr w:type="gramEnd"/>
      <w:r w:rsidR="00B271A1" w:rsidRPr="00B271A1">
        <w:rPr>
          <w:i/>
          <w:iCs/>
        </w:rPr>
        <w:t xml:space="preserve"> and, at a minimum,</w:t>
      </w:r>
      <w:r w:rsidR="00B271A1">
        <w:rPr>
          <w:i/>
          <w:iCs/>
        </w:rPr>
        <w:t xml:space="preserve"> </w:t>
      </w:r>
      <w:r w:rsidR="00B271A1" w:rsidRPr="00B271A1">
        <w:rPr>
          <w:i/>
          <w:iCs/>
        </w:rPr>
        <w:t xml:space="preserve">every </w:t>
      </w:r>
      <w:r w:rsidR="00B271A1">
        <w:rPr>
          <w:i/>
          <w:iCs/>
        </w:rPr>
        <w:t>five</w:t>
      </w:r>
      <w:r w:rsidR="00B271A1" w:rsidRPr="00B271A1">
        <w:rPr>
          <w:i/>
          <w:iCs/>
        </w:rPr>
        <w:t xml:space="preserve"> years thereafter unless the </w:t>
      </w:r>
      <w:r w:rsidR="00B271A1">
        <w:rPr>
          <w:i/>
          <w:iCs/>
        </w:rPr>
        <w:t>Santa Ana Water</w:t>
      </w:r>
      <w:r w:rsidR="00B271A1" w:rsidRPr="00B271A1">
        <w:rPr>
          <w:i/>
          <w:iCs/>
        </w:rPr>
        <w:t xml:space="preserve"> Board revises this schedule</w:t>
      </w:r>
      <w:r w:rsidR="00B271A1">
        <w:rPr>
          <w:i/>
          <w:iCs/>
        </w:rPr>
        <w:t>.</w:t>
      </w:r>
    </w:p>
    <w:p w14:paraId="33EE868E" w14:textId="0D90BB93" w:rsidR="00451A48" w:rsidRPr="00451A48" w:rsidRDefault="00451A48" w:rsidP="00451A48">
      <w:pPr>
        <w:ind w:left="720"/>
        <w:rPr>
          <w:i/>
          <w:iCs/>
        </w:rPr>
      </w:pPr>
      <w:r w:rsidRPr="00451A48">
        <w:rPr>
          <w:i/>
          <w:iCs/>
        </w:rPr>
        <w:t xml:space="preserve">Details to be included in the </w:t>
      </w:r>
      <w:r>
        <w:rPr>
          <w:i/>
          <w:iCs/>
        </w:rPr>
        <w:t xml:space="preserve">proposed </w:t>
      </w:r>
      <w:r w:rsidRPr="00451A48">
        <w:rPr>
          <w:i/>
          <w:iCs/>
        </w:rPr>
        <w:t>monitoring program shall include, but not be limited to:</w:t>
      </w:r>
    </w:p>
    <w:p w14:paraId="60ACC3E2" w14:textId="1144E723" w:rsidR="00451A48" w:rsidRPr="00451A48" w:rsidRDefault="00451A48" w:rsidP="00750EAB">
      <w:pPr>
        <w:tabs>
          <w:tab w:val="left" w:pos="1530"/>
        </w:tabs>
        <w:spacing w:after="0"/>
        <w:ind w:left="1080" w:firstLine="180"/>
        <w:rPr>
          <w:i/>
          <w:iCs/>
        </w:rPr>
      </w:pPr>
      <w:r w:rsidRPr="00451A48">
        <w:rPr>
          <w:i/>
          <w:iCs/>
        </w:rPr>
        <w:t>•</w:t>
      </w:r>
      <w:r w:rsidRPr="00451A48">
        <w:rPr>
          <w:i/>
          <w:iCs/>
        </w:rPr>
        <w:tab/>
      </w:r>
      <w:r>
        <w:rPr>
          <w:i/>
          <w:iCs/>
        </w:rPr>
        <w:t>m</w:t>
      </w:r>
      <w:r w:rsidRPr="00451A48">
        <w:rPr>
          <w:i/>
          <w:iCs/>
        </w:rPr>
        <w:t xml:space="preserve">onitoring program </w:t>
      </w:r>
      <w:r>
        <w:rPr>
          <w:i/>
          <w:iCs/>
        </w:rPr>
        <w:t>g</w:t>
      </w:r>
      <w:r w:rsidRPr="00451A48">
        <w:rPr>
          <w:i/>
          <w:iCs/>
        </w:rPr>
        <w:t>oals</w:t>
      </w:r>
    </w:p>
    <w:p w14:paraId="5EE3AE2F" w14:textId="7C64852A" w:rsidR="00451A48" w:rsidRPr="00451A48" w:rsidRDefault="00451A48" w:rsidP="00750EAB">
      <w:pPr>
        <w:tabs>
          <w:tab w:val="left" w:pos="1530"/>
        </w:tabs>
        <w:spacing w:after="0"/>
        <w:ind w:left="1080" w:firstLine="180"/>
        <w:rPr>
          <w:i/>
          <w:iCs/>
        </w:rPr>
      </w:pPr>
      <w:r w:rsidRPr="00451A48">
        <w:rPr>
          <w:i/>
          <w:iCs/>
        </w:rPr>
        <w:t>•</w:t>
      </w:r>
      <w:r w:rsidRPr="00451A48">
        <w:rPr>
          <w:i/>
          <w:iCs/>
        </w:rPr>
        <w:tab/>
      </w:r>
      <w:r>
        <w:rPr>
          <w:i/>
          <w:iCs/>
        </w:rPr>
        <w:t>r</w:t>
      </w:r>
      <w:r w:rsidRPr="00451A48">
        <w:rPr>
          <w:i/>
          <w:iCs/>
        </w:rPr>
        <w:t xml:space="preserve">esponsible </w:t>
      </w:r>
      <w:r>
        <w:rPr>
          <w:i/>
          <w:iCs/>
        </w:rPr>
        <w:t>a</w:t>
      </w:r>
      <w:r w:rsidRPr="00451A48">
        <w:rPr>
          <w:i/>
          <w:iCs/>
        </w:rPr>
        <w:t>gencies</w:t>
      </w:r>
    </w:p>
    <w:p w14:paraId="5F9E2F4B" w14:textId="5D0D4B50" w:rsidR="00451A48" w:rsidRPr="00451A48" w:rsidRDefault="00451A48" w:rsidP="00750EAB">
      <w:pPr>
        <w:tabs>
          <w:tab w:val="left" w:pos="1530"/>
        </w:tabs>
        <w:spacing w:after="0"/>
        <w:ind w:left="1080" w:firstLine="180"/>
        <w:rPr>
          <w:i/>
          <w:iCs/>
        </w:rPr>
      </w:pPr>
      <w:r w:rsidRPr="00451A48">
        <w:rPr>
          <w:i/>
          <w:iCs/>
        </w:rPr>
        <w:t>•</w:t>
      </w:r>
      <w:r w:rsidRPr="00451A48">
        <w:rPr>
          <w:i/>
          <w:iCs/>
        </w:rPr>
        <w:tab/>
      </w:r>
      <w:r>
        <w:rPr>
          <w:i/>
          <w:iCs/>
        </w:rPr>
        <w:t>g</w:t>
      </w:r>
      <w:r w:rsidRPr="00451A48">
        <w:rPr>
          <w:i/>
          <w:iCs/>
        </w:rPr>
        <w:t xml:space="preserve">roundwater </w:t>
      </w:r>
      <w:r>
        <w:rPr>
          <w:i/>
          <w:iCs/>
        </w:rPr>
        <w:t>s</w:t>
      </w:r>
      <w:r w:rsidRPr="00451A48">
        <w:rPr>
          <w:i/>
          <w:iCs/>
        </w:rPr>
        <w:t xml:space="preserve">ampling </w:t>
      </w:r>
      <w:r>
        <w:rPr>
          <w:i/>
          <w:iCs/>
        </w:rPr>
        <w:t>l</w:t>
      </w:r>
      <w:r w:rsidRPr="00451A48">
        <w:rPr>
          <w:i/>
          <w:iCs/>
        </w:rPr>
        <w:t>ocations</w:t>
      </w:r>
    </w:p>
    <w:p w14:paraId="52893181" w14:textId="25235D18" w:rsidR="00451A48" w:rsidRPr="00451A48" w:rsidRDefault="00451A48" w:rsidP="00750EAB">
      <w:pPr>
        <w:tabs>
          <w:tab w:val="left" w:pos="1530"/>
        </w:tabs>
        <w:spacing w:after="0"/>
        <w:ind w:left="1080" w:firstLine="180"/>
        <w:rPr>
          <w:i/>
          <w:iCs/>
        </w:rPr>
      </w:pPr>
      <w:r w:rsidRPr="00451A48">
        <w:rPr>
          <w:i/>
          <w:iCs/>
        </w:rPr>
        <w:t>•</w:t>
      </w:r>
      <w:r w:rsidRPr="00451A48">
        <w:rPr>
          <w:i/>
          <w:iCs/>
        </w:rPr>
        <w:tab/>
      </w:r>
      <w:r>
        <w:rPr>
          <w:i/>
          <w:iCs/>
        </w:rPr>
        <w:t>w</w:t>
      </w:r>
      <w:r w:rsidRPr="00451A48">
        <w:rPr>
          <w:i/>
          <w:iCs/>
        </w:rPr>
        <w:t xml:space="preserve">ater </w:t>
      </w:r>
      <w:r>
        <w:rPr>
          <w:i/>
          <w:iCs/>
        </w:rPr>
        <w:t>q</w:t>
      </w:r>
      <w:r w:rsidRPr="00451A48">
        <w:rPr>
          <w:i/>
          <w:iCs/>
        </w:rPr>
        <w:t xml:space="preserve">uality </w:t>
      </w:r>
      <w:r>
        <w:rPr>
          <w:i/>
          <w:iCs/>
        </w:rPr>
        <w:t>p</w:t>
      </w:r>
      <w:r w:rsidRPr="00451A48">
        <w:rPr>
          <w:i/>
          <w:iCs/>
        </w:rPr>
        <w:t>arameters</w:t>
      </w:r>
    </w:p>
    <w:p w14:paraId="743CF2DC" w14:textId="38D43ED8" w:rsidR="00451A48" w:rsidRPr="00451A48" w:rsidRDefault="00451A48" w:rsidP="00750EAB">
      <w:pPr>
        <w:tabs>
          <w:tab w:val="left" w:pos="1530"/>
        </w:tabs>
        <w:spacing w:after="0"/>
        <w:ind w:left="1080" w:firstLine="180"/>
        <w:rPr>
          <w:i/>
          <w:iCs/>
        </w:rPr>
      </w:pPr>
      <w:r w:rsidRPr="00451A48">
        <w:rPr>
          <w:i/>
          <w:iCs/>
        </w:rPr>
        <w:t>•</w:t>
      </w:r>
      <w:r w:rsidRPr="00451A48">
        <w:rPr>
          <w:i/>
          <w:iCs/>
        </w:rPr>
        <w:tab/>
      </w:r>
      <w:r>
        <w:rPr>
          <w:i/>
          <w:iCs/>
        </w:rPr>
        <w:t>s</w:t>
      </w:r>
      <w:r w:rsidRPr="00451A48">
        <w:rPr>
          <w:i/>
          <w:iCs/>
        </w:rPr>
        <w:t xml:space="preserve">ampling </w:t>
      </w:r>
      <w:r>
        <w:rPr>
          <w:i/>
          <w:iCs/>
        </w:rPr>
        <w:t>f</w:t>
      </w:r>
      <w:r w:rsidRPr="00451A48">
        <w:rPr>
          <w:i/>
          <w:iCs/>
        </w:rPr>
        <w:t>requency</w:t>
      </w:r>
    </w:p>
    <w:p w14:paraId="613DC952" w14:textId="77777777" w:rsidR="00451A48" w:rsidRPr="00451A48" w:rsidRDefault="00451A48" w:rsidP="00750EAB">
      <w:pPr>
        <w:tabs>
          <w:tab w:val="left" w:pos="1530"/>
        </w:tabs>
        <w:spacing w:after="0"/>
        <w:ind w:left="1080" w:firstLine="180"/>
        <w:rPr>
          <w:i/>
          <w:iCs/>
        </w:rPr>
      </w:pPr>
      <w:r w:rsidRPr="00451A48">
        <w:rPr>
          <w:i/>
          <w:iCs/>
        </w:rPr>
        <w:t>•</w:t>
      </w:r>
      <w:r w:rsidRPr="00451A48">
        <w:rPr>
          <w:i/>
          <w:iCs/>
        </w:rPr>
        <w:tab/>
        <w:t>QA/QC</w:t>
      </w:r>
    </w:p>
    <w:p w14:paraId="1A61421B" w14:textId="21FD807F" w:rsidR="00451A48" w:rsidRPr="00451A48" w:rsidRDefault="00451A48" w:rsidP="00750EAB">
      <w:pPr>
        <w:tabs>
          <w:tab w:val="left" w:pos="1530"/>
        </w:tabs>
        <w:spacing w:after="0"/>
        <w:ind w:left="1080" w:firstLine="180"/>
        <w:rPr>
          <w:i/>
          <w:iCs/>
        </w:rPr>
      </w:pPr>
      <w:r w:rsidRPr="00451A48">
        <w:rPr>
          <w:i/>
          <w:iCs/>
        </w:rPr>
        <w:t>•</w:t>
      </w:r>
      <w:r w:rsidRPr="00451A48">
        <w:rPr>
          <w:i/>
          <w:iCs/>
        </w:rPr>
        <w:tab/>
      </w:r>
      <w:r>
        <w:rPr>
          <w:i/>
          <w:iCs/>
        </w:rPr>
        <w:t>d</w:t>
      </w:r>
      <w:r w:rsidRPr="00451A48">
        <w:rPr>
          <w:i/>
          <w:iCs/>
        </w:rPr>
        <w:t xml:space="preserve">atabase </w:t>
      </w:r>
      <w:r>
        <w:rPr>
          <w:i/>
          <w:iCs/>
        </w:rPr>
        <w:t>m</w:t>
      </w:r>
      <w:r w:rsidRPr="00451A48">
        <w:rPr>
          <w:i/>
          <w:iCs/>
        </w:rPr>
        <w:t>anagement</w:t>
      </w:r>
    </w:p>
    <w:p w14:paraId="41DF4E08" w14:textId="6689B63C" w:rsidR="00451A48" w:rsidRPr="00B271A1" w:rsidRDefault="00451A48" w:rsidP="00750EAB">
      <w:pPr>
        <w:tabs>
          <w:tab w:val="left" w:pos="1530"/>
        </w:tabs>
        <w:ind w:left="1080" w:firstLine="180"/>
        <w:rPr>
          <w:i/>
          <w:iCs/>
        </w:rPr>
      </w:pPr>
      <w:r w:rsidRPr="00451A48">
        <w:rPr>
          <w:i/>
          <w:iCs/>
        </w:rPr>
        <w:t>•</w:t>
      </w:r>
      <w:r w:rsidRPr="00451A48">
        <w:rPr>
          <w:i/>
          <w:iCs/>
        </w:rPr>
        <w:tab/>
      </w:r>
      <w:r>
        <w:rPr>
          <w:i/>
          <w:iCs/>
        </w:rPr>
        <w:t>d</w:t>
      </w:r>
      <w:r w:rsidRPr="00451A48">
        <w:rPr>
          <w:i/>
          <w:iCs/>
        </w:rPr>
        <w:t xml:space="preserve">ata </w:t>
      </w:r>
      <w:r>
        <w:rPr>
          <w:i/>
          <w:iCs/>
        </w:rPr>
        <w:t>a</w:t>
      </w:r>
      <w:r w:rsidRPr="00451A48">
        <w:rPr>
          <w:i/>
          <w:iCs/>
        </w:rPr>
        <w:t xml:space="preserve">nalysis and </w:t>
      </w:r>
      <w:r>
        <w:rPr>
          <w:i/>
          <w:iCs/>
        </w:rPr>
        <w:t>r</w:t>
      </w:r>
      <w:r w:rsidRPr="00451A48">
        <w:rPr>
          <w:i/>
          <w:iCs/>
        </w:rPr>
        <w:t>eporting</w:t>
      </w:r>
    </w:p>
    <w:p w14:paraId="7ABDE50D" w14:textId="7DC8150D" w:rsidR="00B271A1" w:rsidRDefault="00B271A1" w:rsidP="00B271A1">
      <w:pPr>
        <w:ind w:left="720"/>
      </w:pPr>
      <w:r w:rsidRPr="00B271A1">
        <w:rPr>
          <w:i/>
          <w:iCs/>
        </w:rPr>
        <w:t xml:space="preserve">Within 30 days of </w:t>
      </w:r>
      <w:r w:rsidR="00C733D2">
        <w:rPr>
          <w:i/>
          <w:iCs/>
        </w:rPr>
        <w:t>Santa Ana Water</w:t>
      </w:r>
      <w:r w:rsidRPr="00B271A1">
        <w:rPr>
          <w:i/>
          <w:iCs/>
        </w:rPr>
        <w:t xml:space="preserve"> Board approval of the proposed monitoring plan, the</w:t>
      </w:r>
      <w:r w:rsidR="00C733D2">
        <w:rPr>
          <w:i/>
          <w:iCs/>
        </w:rPr>
        <w:t xml:space="preserve"> </w:t>
      </w:r>
      <w:r w:rsidRPr="00B271A1">
        <w:rPr>
          <w:i/>
          <w:iCs/>
        </w:rPr>
        <w:t>updated monitoring plan must be implemented.</w:t>
      </w:r>
      <w:r w:rsidR="00F4276A">
        <w:rPr>
          <w:i/>
          <w:iCs/>
        </w:rPr>
        <w:t>”</w:t>
      </w:r>
    </w:p>
    <w:p w14:paraId="650041FA" w14:textId="24F483F7" w:rsidR="00BA328A" w:rsidRDefault="00C449F8" w:rsidP="00BA328A">
      <w:pPr>
        <w:pStyle w:val="Heading2"/>
      </w:pPr>
      <w:bookmarkStart w:id="21" w:name="_Toc117719780"/>
      <w:r>
        <w:t xml:space="preserve">Groundwater Monitoring Program </w:t>
      </w:r>
      <w:r w:rsidR="004D19BD">
        <w:t xml:space="preserve">Update Requirements and </w:t>
      </w:r>
      <w:r w:rsidR="00897F65">
        <w:t>Goals</w:t>
      </w:r>
      <w:bookmarkEnd w:id="21"/>
    </w:p>
    <w:p w14:paraId="53776A61" w14:textId="65BA77FC" w:rsidR="00345AF9" w:rsidRPr="00345AF9" w:rsidRDefault="00AD38DE" w:rsidP="00345AF9">
      <w:r>
        <w:t>This 2022 GMP was prepared to meet the regulatory requirements of the 2019 Recycled Water Policy</w:t>
      </w:r>
      <w:r w:rsidR="00691285">
        <w:t xml:space="preserve"> and the 2021 Basin Plan amendment</w:t>
      </w:r>
      <w:r>
        <w:t xml:space="preserve">. It was developed </w:t>
      </w:r>
      <w:r w:rsidR="00451A48">
        <w:t xml:space="preserve">in </w:t>
      </w:r>
      <w:r>
        <w:t xml:space="preserve">consideration of the nearly two decades of Task </w:t>
      </w:r>
      <w:r>
        <w:lastRenderedPageBreak/>
        <w:t xml:space="preserve">Force experience in implementing the </w:t>
      </w:r>
      <w:r w:rsidR="00451A48">
        <w:t>2005</w:t>
      </w:r>
      <w:r>
        <w:t xml:space="preserve"> GMP and extensive input by the Task Force, including the participating staff from the Santa Ana Water Board.</w:t>
      </w:r>
      <w:r w:rsidR="00451A48">
        <w:t xml:space="preserve"> The 2005 GMP and the 2022 GMP </w:t>
      </w:r>
      <w:r w:rsidR="00691285">
        <w:t>r</w:t>
      </w:r>
      <w:r w:rsidR="00451A48">
        <w:t xml:space="preserve">equirements and goals are described below. The stakeholder process to </w:t>
      </w:r>
      <w:r w:rsidR="00691285">
        <w:t xml:space="preserve">obtain feedback to </w:t>
      </w:r>
      <w:r w:rsidR="00451A48">
        <w:t>develop the 2022 GMP is described in Section 2 of this report.</w:t>
      </w:r>
    </w:p>
    <w:p w14:paraId="2F03B2A7" w14:textId="3788C690" w:rsidR="00345AF9" w:rsidRDefault="00451A48" w:rsidP="00345AF9">
      <w:pPr>
        <w:pStyle w:val="Heading3"/>
      </w:pPr>
      <w:bookmarkStart w:id="22" w:name="_Toc117719781"/>
      <w:r>
        <w:t>2005</w:t>
      </w:r>
      <w:r w:rsidR="00345AF9">
        <w:t xml:space="preserve"> GMP</w:t>
      </w:r>
      <w:bookmarkEnd w:id="22"/>
    </w:p>
    <w:p w14:paraId="4FB9EB5B" w14:textId="27EB5984" w:rsidR="00205574" w:rsidRDefault="004D19BD" w:rsidP="00897F65">
      <w:pPr>
        <w:pStyle w:val="paragraph"/>
        <w:spacing w:before="120" w:beforeAutospacing="0" w:after="120" w:afterAutospacing="0"/>
        <w:jc w:val="both"/>
        <w:textAlignment w:val="baseline"/>
        <w:rPr>
          <w:rFonts w:asciiTheme="minorHAnsi" w:hAnsiTheme="minorHAnsi" w:cstheme="minorHAnsi"/>
          <w:color w:val="000000"/>
          <w:sz w:val="22"/>
          <w:szCs w:val="22"/>
        </w:rPr>
      </w:pPr>
      <w:r w:rsidRPr="004D19BD">
        <w:rPr>
          <w:rFonts w:asciiTheme="minorHAnsi" w:hAnsiTheme="minorHAnsi" w:cstheme="minorHAnsi"/>
          <w:color w:val="000000"/>
          <w:sz w:val="22"/>
          <w:szCs w:val="22"/>
        </w:rPr>
        <w:t xml:space="preserve">The </w:t>
      </w:r>
      <w:r w:rsidR="00691285">
        <w:rPr>
          <w:rFonts w:asciiTheme="minorHAnsi" w:hAnsiTheme="minorHAnsi" w:cstheme="minorHAnsi"/>
          <w:color w:val="000000"/>
          <w:sz w:val="22"/>
          <w:szCs w:val="22"/>
        </w:rPr>
        <w:t xml:space="preserve">2005 GMP </w:t>
      </w:r>
      <w:r w:rsidRPr="004D19BD">
        <w:rPr>
          <w:rFonts w:asciiTheme="minorHAnsi" w:hAnsiTheme="minorHAnsi" w:cstheme="minorHAnsi"/>
          <w:color w:val="000000"/>
          <w:sz w:val="22"/>
          <w:szCs w:val="22"/>
        </w:rPr>
        <w:t>w</w:t>
      </w:r>
      <w:r w:rsidR="00531BC8">
        <w:rPr>
          <w:rFonts w:asciiTheme="minorHAnsi" w:hAnsiTheme="minorHAnsi" w:cstheme="minorHAnsi"/>
          <w:color w:val="000000"/>
          <w:sz w:val="22"/>
          <w:szCs w:val="22"/>
        </w:rPr>
        <w:t>as</w:t>
      </w:r>
      <w:r w:rsidRPr="004D19BD">
        <w:rPr>
          <w:rFonts w:asciiTheme="minorHAnsi" w:hAnsiTheme="minorHAnsi" w:cstheme="minorHAnsi"/>
          <w:color w:val="000000"/>
          <w:sz w:val="22"/>
          <w:szCs w:val="22"/>
        </w:rPr>
        <w:t xml:space="preserve"> developed </w:t>
      </w:r>
      <w:r w:rsidR="00531BC8">
        <w:rPr>
          <w:rFonts w:asciiTheme="minorHAnsi" w:hAnsiTheme="minorHAnsi" w:cstheme="minorHAnsi"/>
          <w:color w:val="000000"/>
          <w:sz w:val="22"/>
          <w:szCs w:val="22"/>
        </w:rPr>
        <w:t xml:space="preserve">by the Task Force </w:t>
      </w:r>
      <w:r w:rsidRPr="004D19BD">
        <w:rPr>
          <w:rFonts w:asciiTheme="minorHAnsi" w:hAnsiTheme="minorHAnsi" w:cstheme="minorHAnsi"/>
          <w:color w:val="000000"/>
          <w:sz w:val="22"/>
          <w:szCs w:val="22"/>
        </w:rPr>
        <w:t xml:space="preserve">pursuant to the </w:t>
      </w:r>
      <w:r w:rsidR="00531BC8">
        <w:rPr>
          <w:rFonts w:asciiTheme="minorHAnsi" w:hAnsiTheme="minorHAnsi" w:cstheme="minorHAnsi"/>
          <w:color w:val="000000"/>
          <w:sz w:val="22"/>
          <w:szCs w:val="22"/>
        </w:rPr>
        <w:t xml:space="preserve">requirements in the </w:t>
      </w:r>
      <w:r w:rsidRPr="004D19BD">
        <w:rPr>
          <w:rFonts w:asciiTheme="minorHAnsi" w:hAnsiTheme="minorHAnsi" w:cstheme="minorHAnsi"/>
          <w:color w:val="000000"/>
          <w:sz w:val="22"/>
          <w:szCs w:val="22"/>
        </w:rPr>
        <w:t>2004 Basin Plan</w:t>
      </w:r>
      <w:r w:rsidR="00531BC8">
        <w:rPr>
          <w:rFonts w:asciiTheme="minorHAnsi" w:hAnsiTheme="minorHAnsi" w:cstheme="minorHAnsi"/>
          <w:color w:val="000000"/>
          <w:sz w:val="22"/>
          <w:szCs w:val="22"/>
        </w:rPr>
        <w:t xml:space="preserve"> amendment</w:t>
      </w:r>
      <w:r w:rsidRPr="004D19BD">
        <w:rPr>
          <w:rFonts w:asciiTheme="minorHAnsi" w:hAnsiTheme="minorHAnsi" w:cstheme="minorHAnsi"/>
          <w:color w:val="000000"/>
          <w:sz w:val="22"/>
          <w:szCs w:val="22"/>
        </w:rPr>
        <w:t xml:space="preserve"> and </w:t>
      </w:r>
      <w:r w:rsidR="00531BC8">
        <w:rPr>
          <w:rFonts w:asciiTheme="minorHAnsi" w:hAnsiTheme="minorHAnsi" w:cstheme="minorHAnsi"/>
          <w:color w:val="000000"/>
          <w:sz w:val="22"/>
          <w:szCs w:val="22"/>
        </w:rPr>
        <w:t>was</w:t>
      </w:r>
      <w:r w:rsidRPr="004D19BD">
        <w:rPr>
          <w:rFonts w:asciiTheme="minorHAnsi" w:hAnsiTheme="minorHAnsi" w:cstheme="minorHAnsi"/>
          <w:color w:val="000000"/>
          <w:sz w:val="22"/>
          <w:szCs w:val="22"/>
        </w:rPr>
        <w:t xml:space="preserve"> approved by the </w:t>
      </w:r>
      <w:r w:rsidR="0001516D">
        <w:rPr>
          <w:rFonts w:asciiTheme="minorHAnsi" w:hAnsiTheme="minorHAnsi" w:cstheme="minorHAnsi"/>
          <w:color w:val="000000"/>
          <w:sz w:val="22"/>
          <w:szCs w:val="22"/>
        </w:rPr>
        <w:t>Santa Ana Water Board</w:t>
      </w:r>
      <w:r w:rsidRPr="004D19BD">
        <w:rPr>
          <w:rFonts w:asciiTheme="minorHAnsi" w:hAnsiTheme="minorHAnsi" w:cstheme="minorHAnsi"/>
          <w:color w:val="000000"/>
          <w:sz w:val="22"/>
          <w:szCs w:val="22"/>
        </w:rPr>
        <w:t xml:space="preserve"> in 2005 (Resolution No. R8-2005-0063).</w:t>
      </w:r>
      <w:r w:rsidR="00531BC8">
        <w:rPr>
          <w:rFonts w:asciiTheme="minorHAnsi" w:hAnsiTheme="minorHAnsi" w:cstheme="minorHAnsi"/>
          <w:color w:val="000000"/>
          <w:sz w:val="22"/>
          <w:szCs w:val="22"/>
        </w:rPr>
        <w:t xml:space="preserve"> The </w:t>
      </w:r>
      <w:r w:rsidR="00691285">
        <w:rPr>
          <w:rFonts w:asciiTheme="minorHAnsi" w:hAnsiTheme="minorHAnsi" w:cstheme="minorHAnsi"/>
          <w:color w:val="000000"/>
          <w:sz w:val="22"/>
          <w:szCs w:val="22"/>
        </w:rPr>
        <w:t>2005 GMP</w:t>
      </w:r>
      <w:r w:rsidR="00531BC8">
        <w:rPr>
          <w:rFonts w:asciiTheme="minorHAnsi" w:hAnsiTheme="minorHAnsi" w:cstheme="minorHAnsi"/>
          <w:color w:val="000000"/>
          <w:sz w:val="22"/>
          <w:szCs w:val="22"/>
        </w:rPr>
        <w:t xml:space="preserve"> describes a work plan to </w:t>
      </w:r>
      <w:r w:rsidR="00205574">
        <w:rPr>
          <w:rFonts w:asciiTheme="minorHAnsi" w:hAnsiTheme="minorHAnsi" w:cstheme="minorHAnsi"/>
          <w:color w:val="000000"/>
          <w:sz w:val="22"/>
          <w:szCs w:val="22"/>
        </w:rPr>
        <w:t>collect and use</w:t>
      </w:r>
      <w:r w:rsidR="00531BC8">
        <w:rPr>
          <w:rFonts w:asciiTheme="minorHAnsi" w:hAnsiTheme="minorHAnsi" w:cstheme="minorHAnsi"/>
          <w:color w:val="000000"/>
          <w:sz w:val="22"/>
          <w:szCs w:val="22"/>
        </w:rPr>
        <w:t xml:space="preserve"> all available data across the SAR Watershed GMZs to recompute ambient TDS and </w:t>
      </w:r>
      <w:r w:rsidR="00531BC8" w:rsidRPr="00457736">
        <w:rPr>
          <w:rFonts w:asciiTheme="minorHAnsi" w:hAnsiTheme="minorHAnsi" w:cstheme="minorHAnsi"/>
          <w:color w:val="000000"/>
          <w:sz w:val="22"/>
          <w:szCs w:val="22"/>
        </w:rPr>
        <w:t>nitrate</w:t>
      </w:r>
      <w:r w:rsidR="00205574">
        <w:rPr>
          <w:rFonts w:asciiTheme="minorHAnsi" w:hAnsiTheme="minorHAnsi" w:cstheme="minorHAnsi"/>
          <w:color w:val="000000"/>
          <w:sz w:val="22"/>
          <w:szCs w:val="22"/>
        </w:rPr>
        <w:t xml:space="preserve"> in each GMZ</w:t>
      </w:r>
      <w:r w:rsidR="00531BC8">
        <w:rPr>
          <w:rFonts w:asciiTheme="minorHAnsi" w:hAnsiTheme="minorHAnsi" w:cstheme="minorHAnsi"/>
          <w:color w:val="000000"/>
          <w:sz w:val="22"/>
          <w:szCs w:val="22"/>
        </w:rPr>
        <w:t xml:space="preserve"> </w:t>
      </w:r>
      <w:r w:rsidR="00345AF9">
        <w:rPr>
          <w:rFonts w:asciiTheme="minorHAnsi" w:hAnsiTheme="minorHAnsi" w:cstheme="minorHAnsi"/>
          <w:color w:val="000000"/>
          <w:sz w:val="22"/>
          <w:szCs w:val="22"/>
        </w:rPr>
        <w:t>for the 20-year period of 1994 to 2003</w:t>
      </w:r>
      <w:r w:rsidR="00691285">
        <w:rPr>
          <w:rFonts w:asciiTheme="minorHAnsi" w:hAnsiTheme="minorHAnsi" w:cstheme="minorHAnsi"/>
          <w:color w:val="000000"/>
          <w:sz w:val="22"/>
          <w:szCs w:val="22"/>
        </w:rPr>
        <w:t>,</w:t>
      </w:r>
      <w:r w:rsidR="00345AF9">
        <w:rPr>
          <w:rFonts w:asciiTheme="minorHAnsi" w:hAnsiTheme="minorHAnsi" w:cstheme="minorHAnsi"/>
          <w:color w:val="000000"/>
          <w:sz w:val="22"/>
          <w:szCs w:val="22"/>
        </w:rPr>
        <w:t xml:space="preserve"> utilizing </w:t>
      </w:r>
      <w:r w:rsidR="00531BC8">
        <w:rPr>
          <w:rFonts w:asciiTheme="minorHAnsi" w:hAnsiTheme="minorHAnsi" w:cstheme="minorHAnsi"/>
          <w:color w:val="000000"/>
          <w:sz w:val="22"/>
          <w:szCs w:val="22"/>
        </w:rPr>
        <w:t xml:space="preserve">the same </w:t>
      </w:r>
      <w:r w:rsidR="00691285">
        <w:rPr>
          <w:rFonts w:asciiTheme="minorHAnsi" w:hAnsiTheme="minorHAnsi" w:cstheme="minorHAnsi"/>
          <w:color w:val="000000"/>
          <w:sz w:val="22"/>
          <w:szCs w:val="22"/>
        </w:rPr>
        <w:t xml:space="preserve">detailed statistical </w:t>
      </w:r>
      <w:r w:rsidR="00531BC8">
        <w:rPr>
          <w:rFonts w:asciiTheme="minorHAnsi" w:hAnsiTheme="minorHAnsi" w:cstheme="minorHAnsi"/>
          <w:color w:val="000000"/>
          <w:sz w:val="22"/>
          <w:szCs w:val="22"/>
        </w:rPr>
        <w:t xml:space="preserve">methodology developed </w:t>
      </w:r>
      <w:r w:rsidR="00205574">
        <w:rPr>
          <w:rFonts w:asciiTheme="minorHAnsi" w:hAnsiTheme="minorHAnsi" w:cstheme="minorHAnsi"/>
          <w:color w:val="000000"/>
          <w:sz w:val="22"/>
          <w:szCs w:val="22"/>
        </w:rPr>
        <w:t xml:space="preserve">and used </w:t>
      </w:r>
      <w:r w:rsidR="00531BC8">
        <w:rPr>
          <w:rFonts w:asciiTheme="minorHAnsi" w:hAnsiTheme="minorHAnsi" w:cstheme="minorHAnsi"/>
          <w:color w:val="000000"/>
          <w:sz w:val="22"/>
          <w:szCs w:val="22"/>
        </w:rPr>
        <w:t>by the Task Force to compute</w:t>
      </w:r>
      <w:r w:rsidR="00205574">
        <w:rPr>
          <w:rFonts w:asciiTheme="minorHAnsi" w:hAnsiTheme="minorHAnsi" w:cstheme="minorHAnsi"/>
          <w:color w:val="000000"/>
          <w:sz w:val="22"/>
          <w:szCs w:val="22"/>
        </w:rPr>
        <w:t xml:space="preserve"> the</w:t>
      </w:r>
      <w:r w:rsidR="00531BC8">
        <w:rPr>
          <w:rFonts w:asciiTheme="minorHAnsi" w:hAnsiTheme="minorHAnsi" w:cstheme="minorHAnsi"/>
          <w:color w:val="000000"/>
          <w:sz w:val="22"/>
          <w:szCs w:val="22"/>
        </w:rPr>
        <w:t xml:space="preserve"> ambient </w:t>
      </w:r>
      <w:r w:rsidR="00205574">
        <w:rPr>
          <w:rFonts w:asciiTheme="minorHAnsi" w:hAnsiTheme="minorHAnsi" w:cstheme="minorHAnsi"/>
          <w:color w:val="000000"/>
          <w:sz w:val="22"/>
          <w:szCs w:val="22"/>
        </w:rPr>
        <w:t xml:space="preserve">TDS and </w:t>
      </w:r>
      <w:r w:rsidR="00205574" w:rsidRPr="00457736">
        <w:rPr>
          <w:rFonts w:asciiTheme="minorHAnsi" w:hAnsiTheme="minorHAnsi" w:cstheme="minorHAnsi"/>
          <w:color w:val="000000"/>
          <w:sz w:val="22"/>
          <w:szCs w:val="22"/>
        </w:rPr>
        <w:t>nitrate</w:t>
      </w:r>
      <w:r w:rsidR="00205574">
        <w:rPr>
          <w:rFonts w:asciiTheme="minorHAnsi" w:hAnsiTheme="minorHAnsi" w:cstheme="minorHAnsi"/>
          <w:color w:val="000000"/>
          <w:sz w:val="22"/>
          <w:szCs w:val="22"/>
        </w:rPr>
        <w:t xml:space="preserve"> concentrations </w:t>
      </w:r>
      <w:r w:rsidR="00531BC8">
        <w:rPr>
          <w:rFonts w:asciiTheme="minorHAnsi" w:hAnsiTheme="minorHAnsi" w:cstheme="minorHAnsi"/>
          <w:color w:val="000000"/>
          <w:sz w:val="22"/>
          <w:szCs w:val="22"/>
        </w:rPr>
        <w:t>for the antidegradation objective setting period</w:t>
      </w:r>
      <w:r w:rsidR="00205574">
        <w:rPr>
          <w:rFonts w:asciiTheme="minorHAnsi" w:hAnsiTheme="minorHAnsi" w:cstheme="minorHAnsi"/>
          <w:color w:val="000000"/>
          <w:sz w:val="22"/>
          <w:szCs w:val="22"/>
        </w:rPr>
        <w:t xml:space="preserve"> (1954 to 1973)</w:t>
      </w:r>
      <w:r w:rsidR="00531BC8">
        <w:rPr>
          <w:rFonts w:asciiTheme="minorHAnsi" w:hAnsiTheme="minorHAnsi" w:cstheme="minorHAnsi"/>
          <w:color w:val="000000"/>
          <w:sz w:val="22"/>
          <w:szCs w:val="22"/>
        </w:rPr>
        <w:t>.</w:t>
      </w:r>
      <w:r w:rsidR="00205574">
        <w:rPr>
          <w:rFonts w:asciiTheme="minorHAnsi" w:hAnsiTheme="minorHAnsi" w:cstheme="minorHAnsi"/>
          <w:color w:val="000000"/>
          <w:sz w:val="22"/>
          <w:szCs w:val="22"/>
        </w:rPr>
        <w:t xml:space="preserve"> In effect, the existing Basin Plan SNMP monitoring program is defined as follows:</w:t>
      </w:r>
    </w:p>
    <w:p w14:paraId="1ED48E8E" w14:textId="1881952A" w:rsidR="00345AF9" w:rsidRDefault="00345AF9" w:rsidP="00133081">
      <w:pPr>
        <w:pStyle w:val="paragraph"/>
        <w:numPr>
          <w:ilvl w:val="0"/>
          <w:numId w:val="21"/>
        </w:numPr>
        <w:spacing w:before="120" w:beforeAutospacing="0" w:after="12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Every three years, collect and utilize all </w:t>
      </w:r>
      <w:r w:rsidR="00691285">
        <w:rPr>
          <w:rFonts w:asciiTheme="minorHAnsi" w:hAnsiTheme="minorHAnsi" w:cstheme="minorHAnsi"/>
          <w:color w:val="000000"/>
          <w:sz w:val="22"/>
          <w:szCs w:val="22"/>
        </w:rPr>
        <w:t xml:space="preserve">available </w:t>
      </w:r>
      <w:r>
        <w:rPr>
          <w:rFonts w:asciiTheme="minorHAnsi" w:hAnsiTheme="minorHAnsi" w:cstheme="minorHAnsi"/>
          <w:color w:val="000000"/>
          <w:sz w:val="22"/>
          <w:szCs w:val="22"/>
        </w:rPr>
        <w:t xml:space="preserve">data </w:t>
      </w:r>
      <w:r w:rsidR="00691285">
        <w:rPr>
          <w:rFonts w:asciiTheme="minorHAnsi" w:hAnsiTheme="minorHAnsi" w:cstheme="minorHAnsi"/>
          <w:color w:val="000000"/>
          <w:sz w:val="22"/>
          <w:szCs w:val="22"/>
        </w:rPr>
        <w:t xml:space="preserve">(TDS, </w:t>
      </w:r>
      <w:r w:rsidR="00457736">
        <w:rPr>
          <w:rFonts w:asciiTheme="minorHAnsi" w:hAnsiTheme="minorHAnsi" w:cstheme="minorHAnsi"/>
          <w:color w:val="000000"/>
          <w:sz w:val="22"/>
          <w:szCs w:val="22"/>
        </w:rPr>
        <w:t>nitrate</w:t>
      </w:r>
      <w:r w:rsidR="00691285">
        <w:rPr>
          <w:rFonts w:asciiTheme="minorHAnsi" w:hAnsiTheme="minorHAnsi" w:cstheme="minorHAnsi"/>
          <w:color w:val="000000"/>
          <w:sz w:val="22"/>
          <w:szCs w:val="22"/>
        </w:rPr>
        <w:t xml:space="preserve">, and other select analytes) </w:t>
      </w:r>
      <w:r>
        <w:rPr>
          <w:rFonts w:asciiTheme="minorHAnsi" w:hAnsiTheme="minorHAnsi" w:cstheme="minorHAnsi"/>
          <w:color w:val="000000"/>
          <w:sz w:val="22"/>
          <w:szCs w:val="22"/>
        </w:rPr>
        <w:t xml:space="preserve">from the monitoring network to determine </w:t>
      </w:r>
      <w:r w:rsidR="00CF0B52">
        <w:rPr>
          <w:rFonts w:asciiTheme="minorHAnsi" w:hAnsiTheme="minorHAnsi" w:cstheme="minorHAnsi"/>
          <w:color w:val="000000"/>
          <w:sz w:val="22"/>
          <w:szCs w:val="22"/>
        </w:rPr>
        <w:t>AWQ</w:t>
      </w:r>
      <w:r>
        <w:rPr>
          <w:rFonts w:asciiTheme="minorHAnsi" w:hAnsiTheme="minorHAnsi" w:cstheme="minorHAnsi"/>
          <w:color w:val="000000"/>
          <w:sz w:val="22"/>
          <w:szCs w:val="22"/>
        </w:rPr>
        <w:t xml:space="preserve"> and assimilative capacity for the preceding 20-year period</w:t>
      </w:r>
    </w:p>
    <w:p w14:paraId="7D8FAE06" w14:textId="0C82E6DB" w:rsidR="00691285" w:rsidRPr="00451A48" w:rsidRDefault="00691285" w:rsidP="00133081">
      <w:pPr>
        <w:pStyle w:val="paragraph"/>
        <w:numPr>
          <w:ilvl w:val="0"/>
          <w:numId w:val="21"/>
        </w:numPr>
        <w:spacing w:before="120" w:beforeAutospacing="0" w:after="120" w:afterAutospacing="0"/>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The monitoring network is defined as every monitored well in the SAR Watershed with TDS and/or </w:t>
      </w:r>
      <w:r w:rsidRPr="00457736">
        <w:rPr>
          <w:rFonts w:asciiTheme="minorHAnsi" w:hAnsiTheme="minorHAnsi" w:cstheme="minorHAnsi"/>
          <w:color w:val="000000"/>
          <w:sz w:val="22"/>
          <w:szCs w:val="22"/>
        </w:rPr>
        <w:t>nitrate</w:t>
      </w:r>
      <w:r>
        <w:rPr>
          <w:rFonts w:asciiTheme="minorHAnsi" w:hAnsiTheme="minorHAnsi" w:cstheme="minorHAnsi"/>
          <w:color w:val="000000"/>
          <w:sz w:val="22"/>
          <w:szCs w:val="22"/>
        </w:rPr>
        <w:t xml:space="preserve"> data during each 20-year period of analysis. </w:t>
      </w:r>
    </w:p>
    <w:p w14:paraId="490D7942" w14:textId="53CB13E2" w:rsidR="005E4F54" w:rsidRDefault="003A06BE" w:rsidP="005E4F54">
      <w:pPr>
        <w:pStyle w:val="Heading3"/>
      </w:pPr>
      <w:bookmarkStart w:id="23" w:name="_Toc117719782"/>
      <w:r>
        <w:t xml:space="preserve">2022 </w:t>
      </w:r>
      <w:r w:rsidR="005E4F54">
        <w:t>GMP Requirements</w:t>
      </w:r>
      <w:bookmarkEnd w:id="23"/>
    </w:p>
    <w:p w14:paraId="72630869" w14:textId="73C42F61" w:rsidR="004D19BD" w:rsidRDefault="003A06BE" w:rsidP="004D19BD">
      <w:r>
        <w:t xml:space="preserve">In accordance with the 2021 Basin Plan amendment, the 2022 GMP must address the monitoring provisions </w:t>
      </w:r>
      <w:r w:rsidR="00935536">
        <w:t xml:space="preserve">in Section 6.2.4.1 </w:t>
      </w:r>
      <w:r>
        <w:t xml:space="preserve">the Recycled Water Policy. </w:t>
      </w:r>
      <w:r w:rsidR="004D19BD">
        <w:t xml:space="preserve">The monitoring provisions </w:t>
      </w:r>
      <w:r w:rsidR="00935536">
        <w:t>require</w:t>
      </w:r>
      <w:r w:rsidR="004D19BD">
        <w:t>:</w:t>
      </w:r>
    </w:p>
    <w:p w14:paraId="5C46997B" w14:textId="29DEFEA6" w:rsidR="004D19BD" w:rsidRDefault="004D19BD" w:rsidP="004D19BD">
      <w:pPr>
        <w:pStyle w:val="Bullet"/>
      </w:pPr>
      <w:r>
        <w:t>Defining</w:t>
      </w:r>
      <w:r w:rsidRPr="00675F72">
        <w:t xml:space="preserve"> an appropriate network of monitoring locations </w:t>
      </w:r>
      <w:r w:rsidR="003A06BE">
        <w:t xml:space="preserve">that:  </w:t>
      </w:r>
    </w:p>
    <w:p w14:paraId="1B7AEEE9" w14:textId="4ED59BD3" w:rsidR="004D19BD" w:rsidRDefault="00935536" w:rsidP="00750EAB">
      <w:pPr>
        <w:pStyle w:val="ListBullet2"/>
      </w:pPr>
      <w:r>
        <w:t>P</w:t>
      </w:r>
      <w:r w:rsidR="004D19BD" w:rsidRPr="00675F72">
        <w:t>rovide a reasonable, cost</w:t>
      </w:r>
      <w:r w:rsidR="00691285">
        <w:t>-</w:t>
      </w:r>
      <w:r w:rsidR="004D19BD" w:rsidRPr="00675F72">
        <w:t xml:space="preserve">effective means of determining whether </w:t>
      </w:r>
      <w:r w:rsidR="003A06BE">
        <w:t xml:space="preserve">water quality in the basin is </w:t>
      </w:r>
      <w:r w:rsidR="004D19BD" w:rsidRPr="00675F72">
        <w:t>consistent with applicable water quality objectives</w:t>
      </w:r>
    </w:p>
    <w:p w14:paraId="562C1159" w14:textId="48585BC6" w:rsidR="004D19BD" w:rsidRDefault="00935536" w:rsidP="00750EAB">
      <w:pPr>
        <w:pStyle w:val="ListBullet2"/>
      </w:pPr>
      <w:r>
        <w:t>C</w:t>
      </w:r>
      <w:r w:rsidR="003A06BE">
        <w:t xml:space="preserve">onsider </w:t>
      </w:r>
      <w:r w:rsidR="003A06BE" w:rsidRPr="00675F72">
        <w:t xml:space="preserve">basin-specific conditions </w:t>
      </w:r>
      <w:r w:rsidR="003A06BE">
        <w:t>in e</w:t>
      </w:r>
      <w:r w:rsidR="004D19BD">
        <w:t>stablishing t</w:t>
      </w:r>
      <w:r w:rsidR="004D19BD" w:rsidRPr="00675F72">
        <w:t xml:space="preserve">he number, type, </w:t>
      </w:r>
      <w:r w:rsidR="004D19BD">
        <w:t>or</w:t>
      </w:r>
      <w:r w:rsidR="004D19BD" w:rsidRPr="00675F72">
        <w:t xml:space="preserve"> density of monitoring locations to be sampled </w:t>
      </w:r>
    </w:p>
    <w:p w14:paraId="73A25FB7" w14:textId="2D5E6AC3" w:rsidR="004D19BD" w:rsidRDefault="00935536" w:rsidP="00750EAB">
      <w:pPr>
        <w:pStyle w:val="ListBullet2"/>
      </w:pPr>
      <w:r>
        <w:t>T</w:t>
      </w:r>
      <w:r w:rsidR="003A06BE">
        <w:t xml:space="preserve">arget areas with surface and ground water connectivity, where applicable </w:t>
      </w:r>
    </w:p>
    <w:p w14:paraId="52AB00D1" w14:textId="7A5AF900" w:rsidR="00935536" w:rsidRDefault="004D19BD" w:rsidP="00750EAB">
      <w:pPr>
        <w:pStyle w:val="ListBullet2"/>
      </w:pPr>
      <w:r>
        <w:t>I</w:t>
      </w:r>
      <w:r w:rsidRPr="008D5C09">
        <w:t xml:space="preserve">nclude existing wells </w:t>
      </w:r>
      <w:r w:rsidR="00935536">
        <w:t>that are</w:t>
      </w:r>
      <w:r w:rsidRPr="008D5C09">
        <w:t xml:space="preserve"> located and</w:t>
      </w:r>
      <w:r>
        <w:t xml:space="preserve"> </w:t>
      </w:r>
      <w:r w:rsidRPr="008D5C09">
        <w:t xml:space="preserve">screened </w:t>
      </w:r>
      <w:r w:rsidR="00E80094" w:rsidRPr="008D5C09">
        <w:t>appropriat</w:t>
      </w:r>
      <w:r w:rsidR="00E80094">
        <w:t>ely</w:t>
      </w:r>
      <w:r w:rsidRPr="008D5C09">
        <w:t xml:space="preserve"> to determine water quality throughout the most critical areas of the</w:t>
      </w:r>
      <w:r>
        <w:t xml:space="preserve"> </w:t>
      </w:r>
      <w:r w:rsidRPr="008D5C09">
        <w:t>basin</w:t>
      </w:r>
    </w:p>
    <w:p w14:paraId="373EEE43" w14:textId="4D1C292F" w:rsidR="004D19BD" w:rsidRDefault="00935536" w:rsidP="00750EAB">
      <w:pPr>
        <w:pStyle w:val="ListBullet2"/>
      </w:pPr>
      <w:r>
        <w:t>Leverage the wells in other regulatory programs, such as those defined for compliance with the Sustainable Groundwater Management Act</w:t>
      </w:r>
    </w:p>
    <w:p w14:paraId="59C54588" w14:textId="50E7CC19" w:rsidR="00935536" w:rsidRDefault="004D19BD" w:rsidP="00935536">
      <w:pPr>
        <w:pStyle w:val="Bullet"/>
      </w:pPr>
      <w:r>
        <w:t>I</w:t>
      </w:r>
      <w:r w:rsidRPr="008D5C09">
        <w:t>dentif</w:t>
      </w:r>
      <w:r w:rsidR="00935536">
        <w:t>ying</w:t>
      </w:r>
      <w:r>
        <w:t xml:space="preserve"> the</w:t>
      </w:r>
      <w:r w:rsidRPr="008D5C09">
        <w:t xml:space="preserve"> stakeholders responsible for conducting, compiling</w:t>
      </w:r>
      <w:r w:rsidR="00935536">
        <w:t>,</w:t>
      </w:r>
      <w:r w:rsidRPr="008D5C09">
        <w:t xml:space="preserve"> and reporting</w:t>
      </w:r>
      <w:r w:rsidRPr="00C449F8">
        <w:t xml:space="preserve"> </w:t>
      </w:r>
      <w:r w:rsidRPr="008D5C09">
        <w:t>monitoring data</w:t>
      </w:r>
    </w:p>
    <w:p w14:paraId="044740B5" w14:textId="14FA4779" w:rsidR="004D19BD" w:rsidRDefault="00935536" w:rsidP="004D19BD">
      <w:pPr>
        <w:pStyle w:val="Bullet"/>
        <w:spacing w:after="240"/>
      </w:pPr>
      <w:r>
        <w:t xml:space="preserve">Reporting all monitoring data </w:t>
      </w:r>
      <w:r w:rsidR="004D19BD" w:rsidRPr="008D5C09">
        <w:t>annually in a form that is compatible with</w:t>
      </w:r>
      <w:r w:rsidR="004D19BD">
        <w:t xml:space="preserve"> </w:t>
      </w:r>
      <w:r w:rsidR="004D19BD" w:rsidRPr="008D5C09">
        <w:t>the Groundwater Ambient Monitoring &amp; Assessment (GAMA) information system.</w:t>
      </w:r>
    </w:p>
    <w:p w14:paraId="28252E04" w14:textId="77777777" w:rsidR="00935536" w:rsidRDefault="00935536" w:rsidP="003A06BE">
      <w:r>
        <w:t>Additionally, the 2021 Basin Plan amendment lists the required elements of the monitoring program to include, at a minimum:</w:t>
      </w:r>
      <w:r w:rsidR="003A06BE">
        <w:t xml:space="preserve"> the monitoring program goals, responsible agencies, groundwater sampling locations, water quality parameters, sampling frequency, QA/QC, database management, data analysis and reporting</w:t>
      </w:r>
      <w:r>
        <w:t xml:space="preserve">. </w:t>
      </w:r>
    </w:p>
    <w:p w14:paraId="76199114" w14:textId="6FC61FB2" w:rsidR="006B262E" w:rsidRDefault="00935536" w:rsidP="003A06BE">
      <w:r w:rsidRPr="00934432">
        <w:t xml:space="preserve">Table 1-1 summarizes how and where each of the required elements is addressed in this 2022 GMP. </w:t>
      </w:r>
    </w:p>
    <w:tbl>
      <w:tblPr>
        <w:tblW w:w="9265" w:type="dxa"/>
        <w:tblCellMar>
          <w:left w:w="0" w:type="dxa"/>
          <w:right w:w="0" w:type="dxa"/>
        </w:tblCellMar>
        <w:tblLook w:val="04A0" w:firstRow="1" w:lastRow="0" w:firstColumn="1" w:lastColumn="0" w:noHBand="0" w:noVBand="1"/>
      </w:tblPr>
      <w:tblGrid>
        <w:gridCol w:w="355"/>
        <w:gridCol w:w="4050"/>
        <w:gridCol w:w="4860"/>
      </w:tblGrid>
      <w:tr w:rsidR="006179CB" w14:paraId="2563B621" w14:textId="77777777" w:rsidTr="00826C56">
        <w:trPr>
          <w:trHeight w:val="540"/>
          <w:tblHeader/>
        </w:trPr>
        <w:tc>
          <w:tcPr>
            <w:tcW w:w="9265" w:type="dxa"/>
            <w:gridSpan w:val="3"/>
            <w:tcBorders>
              <w:top w:val="single" w:sz="4" w:space="0" w:color="5B6770"/>
              <w:left w:val="single" w:sz="4" w:space="0" w:color="5B6770"/>
              <w:bottom w:val="nil"/>
              <w:right w:val="single" w:sz="4" w:space="0" w:color="5B6770"/>
            </w:tcBorders>
            <w:shd w:val="clear" w:color="auto" w:fill="auto"/>
            <w:noWrap/>
            <w:tcMar>
              <w:top w:w="15" w:type="dxa"/>
              <w:left w:w="15" w:type="dxa"/>
              <w:bottom w:w="0" w:type="dxa"/>
              <w:right w:w="15" w:type="dxa"/>
            </w:tcMar>
            <w:vAlign w:val="center"/>
            <w:hideMark/>
          </w:tcPr>
          <w:p w14:paraId="4B7011B2" w14:textId="7FAE25B2" w:rsidR="006179CB" w:rsidRDefault="006179CB" w:rsidP="006179CB">
            <w:pPr>
              <w:spacing w:after="0"/>
              <w:jc w:val="center"/>
              <w:rPr>
                <w:rFonts w:ascii="Calibri" w:hAnsi="Calibri" w:cs="Calibri"/>
                <w:b/>
                <w:bCs/>
                <w:szCs w:val="22"/>
              </w:rPr>
            </w:pPr>
            <w:bookmarkStart w:id="24" w:name="RANGE!B1:D21"/>
            <w:r>
              <w:rPr>
                <w:rFonts w:ascii="Calibri" w:hAnsi="Calibri" w:cs="Calibri"/>
                <w:b/>
                <w:bCs/>
                <w:szCs w:val="22"/>
              </w:rPr>
              <w:lastRenderedPageBreak/>
              <w:t xml:space="preserve">Table 1-1. </w:t>
            </w:r>
            <w:r w:rsidR="00FA74F3">
              <w:rPr>
                <w:rFonts w:ascii="Calibri" w:hAnsi="Calibri" w:cs="Calibri"/>
                <w:b/>
                <w:bCs/>
                <w:szCs w:val="22"/>
              </w:rPr>
              <w:t xml:space="preserve">How the </w:t>
            </w:r>
            <w:r>
              <w:rPr>
                <w:rFonts w:ascii="Calibri" w:hAnsi="Calibri" w:cs="Calibri"/>
                <w:b/>
                <w:bCs/>
                <w:szCs w:val="22"/>
              </w:rPr>
              <w:t xml:space="preserve">2022 Groundwater Monitoring Plan </w:t>
            </w:r>
            <w:r w:rsidR="00FA74F3">
              <w:rPr>
                <w:rFonts w:ascii="Calibri" w:hAnsi="Calibri" w:cs="Calibri"/>
                <w:b/>
                <w:bCs/>
                <w:szCs w:val="22"/>
              </w:rPr>
              <w:t xml:space="preserve">Addresses the </w:t>
            </w:r>
            <w:r>
              <w:rPr>
                <w:rFonts w:ascii="Calibri" w:hAnsi="Calibri" w:cs="Calibri"/>
                <w:b/>
                <w:bCs/>
                <w:szCs w:val="22"/>
              </w:rPr>
              <w:t>Require</w:t>
            </w:r>
            <w:bookmarkEnd w:id="24"/>
            <w:r w:rsidR="00FA74F3">
              <w:rPr>
                <w:rFonts w:ascii="Calibri" w:hAnsi="Calibri" w:cs="Calibri"/>
                <w:b/>
                <w:bCs/>
                <w:szCs w:val="22"/>
              </w:rPr>
              <w:t>d</w:t>
            </w:r>
            <w:r w:rsidR="009275D5">
              <w:rPr>
                <w:rFonts w:ascii="Calibri" w:hAnsi="Calibri" w:cs="Calibri"/>
                <w:b/>
                <w:bCs/>
                <w:szCs w:val="22"/>
              </w:rPr>
              <w:t xml:space="preserve"> Elements of the 2019 Recycled Water Policy and the 2021 Basin Plan Amendment</w:t>
            </w:r>
          </w:p>
        </w:tc>
      </w:tr>
      <w:tr w:rsidR="006179CB" w14:paraId="681E7C37" w14:textId="77777777" w:rsidTr="00826C56">
        <w:trPr>
          <w:trHeight w:val="300"/>
          <w:tblHeader/>
        </w:trPr>
        <w:tc>
          <w:tcPr>
            <w:tcW w:w="4405" w:type="dxa"/>
            <w:gridSpan w:val="2"/>
            <w:tcBorders>
              <w:top w:val="single" w:sz="4" w:space="0" w:color="FFFFFF"/>
              <w:left w:val="single" w:sz="4" w:space="0" w:color="5B6770"/>
              <w:bottom w:val="single" w:sz="4" w:space="0" w:color="FFFFFF"/>
              <w:right w:val="single" w:sz="4" w:space="0" w:color="FFFFFF"/>
            </w:tcBorders>
            <w:shd w:val="clear" w:color="000000" w:fill="001489"/>
            <w:tcMar>
              <w:top w:w="15" w:type="dxa"/>
              <w:left w:w="15" w:type="dxa"/>
              <w:bottom w:w="0" w:type="dxa"/>
              <w:right w:w="15" w:type="dxa"/>
            </w:tcMar>
            <w:vAlign w:val="bottom"/>
            <w:hideMark/>
          </w:tcPr>
          <w:p w14:paraId="7D4EC901" w14:textId="77777777" w:rsidR="006179CB" w:rsidRDefault="006179CB">
            <w:pPr>
              <w:jc w:val="center"/>
              <w:rPr>
                <w:rFonts w:ascii="Calibri" w:hAnsi="Calibri" w:cs="Calibri"/>
                <w:color w:val="FFFFFF"/>
                <w:sz w:val="20"/>
              </w:rPr>
            </w:pPr>
            <w:r>
              <w:rPr>
                <w:rFonts w:ascii="Calibri" w:hAnsi="Calibri" w:cs="Calibri"/>
                <w:color w:val="FFFFFF"/>
                <w:sz w:val="20"/>
              </w:rPr>
              <w:t>Required Elements</w:t>
            </w:r>
          </w:p>
        </w:tc>
        <w:tc>
          <w:tcPr>
            <w:tcW w:w="4860" w:type="dxa"/>
            <w:tcBorders>
              <w:top w:val="single" w:sz="4" w:space="0" w:color="FFFFFF"/>
              <w:left w:val="nil"/>
              <w:bottom w:val="single" w:sz="4" w:space="0" w:color="FFFFFF"/>
              <w:right w:val="single" w:sz="4" w:space="0" w:color="5B6770"/>
            </w:tcBorders>
            <w:shd w:val="clear" w:color="000000" w:fill="001489"/>
            <w:tcMar>
              <w:top w:w="15" w:type="dxa"/>
              <w:left w:w="15" w:type="dxa"/>
              <w:bottom w:w="0" w:type="dxa"/>
              <w:right w:w="15" w:type="dxa"/>
            </w:tcMar>
            <w:vAlign w:val="bottom"/>
            <w:hideMark/>
          </w:tcPr>
          <w:p w14:paraId="52823455" w14:textId="30BE150B" w:rsidR="006179CB" w:rsidRDefault="006179CB">
            <w:pPr>
              <w:jc w:val="center"/>
              <w:rPr>
                <w:rFonts w:ascii="Calibri" w:hAnsi="Calibri" w:cs="Calibri"/>
                <w:color w:val="FFFFFF"/>
                <w:sz w:val="20"/>
              </w:rPr>
            </w:pPr>
            <w:r>
              <w:rPr>
                <w:rFonts w:ascii="Calibri" w:hAnsi="Calibri" w:cs="Calibri"/>
                <w:color w:val="FFFFFF"/>
                <w:sz w:val="20"/>
              </w:rPr>
              <w:t>How the Report Addresse</w:t>
            </w:r>
            <w:r w:rsidR="009275D5">
              <w:rPr>
                <w:rFonts w:ascii="Calibri" w:hAnsi="Calibri" w:cs="Calibri"/>
                <w:color w:val="FFFFFF"/>
                <w:sz w:val="20"/>
              </w:rPr>
              <w:t>s</w:t>
            </w:r>
            <w:r>
              <w:rPr>
                <w:rFonts w:ascii="Calibri" w:hAnsi="Calibri" w:cs="Calibri"/>
                <w:color w:val="FFFFFF"/>
                <w:sz w:val="20"/>
              </w:rPr>
              <w:t xml:space="preserve"> the Required Element</w:t>
            </w:r>
          </w:p>
        </w:tc>
      </w:tr>
      <w:tr w:rsidR="006179CB" w14:paraId="3643A553" w14:textId="77777777" w:rsidTr="00826C56">
        <w:trPr>
          <w:trHeight w:val="300"/>
        </w:trPr>
        <w:tc>
          <w:tcPr>
            <w:tcW w:w="4405" w:type="dxa"/>
            <w:gridSpan w:val="2"/>
            <w:tcBorders>
              <w:top w:val="single" w:sz="4" w:space="0" w:color="FFFFFF"/>
              <w:left w:val="single" w:sz="4" w:space="0" w:color="5B6770"/>
              <w:bottom w:val="single" w:sz="4" w:space="0" w:color="5B6770"/>
              <w:right w:val="nil"/>
            </w:tcBorders>
            <w:shd w:val="clear" w:color="000000" w:fill="DDE0E3"/>
            <w:tcMar>
              <w:top w:w="15" w:type="dxa"/>
              <w:left w:w="15" w:type="dxa"/>
              <w:bottom w:w="0" w:type="dxa"/>
              <w:right w:w="15" w:type="dxa"/>
            </w:tcMar>
            <w:vAlign w:val="bottom"/>
            <w:hideMark/>
          </w:tcPr>
          <w:p w14:paraId="749033ED" w14:textId="77777777" w:rsidR="006179CB" w:rsidRDefault="006179CB" w:rsidP="00956253">
            <w:pPr>
              <w:spacing w:after="120"/>
              <w:ind w:left="75"/>
              <w:jc w:val="left"/>
              <w:rPr>
                <w:rFonts w:ascii="Calibri" w:hAnsi="Calibri" w:cs="Calibri"/>
                <w:b/>
                <w:bCs/>
                <w:sz w:val="20"/>
              </w:rPr>
            </w:pPr>
            <w:r>
              <w:rPr>
                <w:rFonts w:ascii="Calibri" w:hAnsi="Calibri" w:cs="Calibri"/>
                <w:b/>
                <w:bCs/>
                <w:sz w:val="20"/>
              </w:rPr>
              <w:t>Recycled Water Policy (Section 6.2.4.1)</w:t>
            </w:r>
          </w:p>
        </w:tc>
        <w:tc>
          <w:tcPr>
            <w:tcW w:w="4860" w:type="dxa"/>
            <w:tcBorders>
              <w:top w:val="nil"/>
              <w:left w:val="nil"/>
              <w:bottom w:val="nil"/>
              <w:right w:val="single" w:sz="4" w:space="0" w:color="5B6770"/>
            </w:tcBorders>
            <w:shd w:val="clear" w:color="000000" w:fill="DDE0E3"/>
            <w:tcMar>
              <w:top w:w="15" w:type="dxa"/>
              <w:left w:w="15" w:type="dxa"/>
              <w:bottom w:w="0" w:type="dxa"/>
              <w:right w:w="15" w:type="dxa"/>
            </w:tcMar>
            <w:vAlign w:val="bottom"/>
            <w:hideMark/>
          </w:tcPr>
          <w:p w14:paraId="5B250528" w14:textId="77777777" w:rsidR="006179CB" w:rsidRDefault="006179CB">
            <w:pPr>
              <w:jc w:val="center"/>
              <w:rPr>
                <w:rFonts w:ascii="Calibri" w:hAnsi="Calibri" w:cs="Calibri"/>
                <w:sz w:val="20"/>
              </w:rPr>
            </w:pPr>
            <w:r>
              <w:rPr>
                <w:rFonts w:ascii="Calibri" w:hAnsi="Calibri" w:cs="Calibri"/>
                <w:sz w:val="20"/>
              </w:rPr>
              <w:t> </w:t>
            </w:r>
          </w:p>
        </w:tc>
      </w:tr>
      <w:tr w:rsidR="009275D5" w14:paraId="1D05D782" w14:textId="77777777" w:rsidTr="00826C56">
        <w:trPr>
          <w:trHeight w:val="300"/>
        </w:trPr>
        <w:tc>
          <w:tcPr>
            <w:tcW w:w="9265" w:type="dxa"/>
            <w:gridSpan w:val="3"/>
            <w:tcBorders>
              <w:top w:val="single" w:sz="4" w:space="0" w:color="5B6770"/>
              <w:left w:val="single" w:sz="4" w:space="0" w:color="5B6770"/>
              <w:bottom w:val="single" w:sz="4" w:space="0" w:color="5B6770"/>
              <w:right w:val="single" w:sz="4" w:space="0" w:color="5B6770"/>
            </w:tcBorders>
            <w:shd w:val="clear" w:color="auto" w:fill="auto"/>
            <w:noWrap/>
            <w:tcMar>
              <w:top w:w="15" w:type="dxa"/>
              <w:left w:w="15" w:type="dxa"/>
              <w:bottom w:w="0" w:type="dxa"/>
              <w:right w:w="15" w:type="dxa"/>
            </w:tcMar>
            <w:vAlign w:val="center"/>
            <w:hideMark/>
          </w:tcPr>
          <w:p w14:paraId="5B06555E" w14:textId="33CF39E9" w:rsidR="009275D5" w:rsidRDefault="009275D5" w:rsidP="00956253">
            <w:pPr>
              <w:spacing w:after="120"/>
              <w:ind w:left="165"/>
              <w:jc w:val="left"/>
              <w:rPr>
                <w:rFonts w:ascii="Calibri" w:hAnsi="Calibri" w:cs="Calibri"/>
                <w:sz w:val="20"/>
              </w:rPr>
            </w:pPr>
            <w:r>
              <w:rPr>
                <w:rFonts w:ascii="Calibri" w:hAnsi="Calibri" w:cs="Calibri"/>
                <w:sz w:val="20"/>
              </w:rPr>
              <w:t>Defin</w:t>
            </w:r>
            <w:r w:rsidR="003C3174">
              <w:rPr>
                <w:rFonts w:ascii="Calibri" w:hAnsi="Calibri" w:cs="Calibri"/>
                <w:sz w:val="20"/>
              </w:rPr>
              <w:t>e</w:t>
            </w:r>
            <w:r>
              <w:rPr>
                <w:rFonts w:ascii="Calibri" w:hAnsi="Calibri" w:cs="Calibri"/>
                <w:sz w:val="20"/>
              </w:rPr>
              <w:t xml:space="preserve"> an appropriate network of monitoring locations that: </w:t>
            </w:r>
          </w:p>
        </w:tc>
      </w:tr>
      <w:tr w:rsidR="006179CB" w14:paraId="3FF2E95A" w14:textId="77777777" w:rsidTr="00223A20">
        <w:trPr>
          <w:trHeight w:val="1002"/>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04296056" w14:textId="77777777" w:rsidR="006179CB" w:rsidRDefault="006179CB" w:rsidP="00826C56">
            <w:pPr>
              <w:jc w:val="left"/>
              <w:rPr>
                <w:rFonts w:ascii="Calibri" w:hAnsi="Calibri" w:cs="Calibri"/>
                <w:sz w:val="20"/>
              </w:rPr>
            </w:pPr>
            <w:r>
              <w:rPr>
                <w:rFonts w:ascii="Calibri" w:hAnsi="Calibri" w:cs="Calibri"/>
                <w:sz w:val="20"/>
              </w:rPr>
              <w:t> </w:t>
            </w: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42616902" w14:textId="77777777" w:rsidR="006179CB" w:rsidRDefault="006179CB" w:rsidP="00826C56">
            <w:pPr>
              <w:spacing w:after="120"/>
              <w:jc w:val="left"/>
              <w:rPr>
                <w:rFonts w:ascii="Calibri" w:hAnsi="Calibri" w:cs="Calibri"/>
                <w:sz w:val="20"/>
              </w:rPr>
            </w:pPr>
            <w:r>
              <w:rPr>
                <w:rFonts w:ascii="Calibri" w:hAnsi="Calibri" w:cs="Calibri"/>
                <w:sz w:val="20"/>
              </w:rPr>
              <w:t>Provide a reasonable, cost-effective means of determining whether water quality in the basin is consistent with applicable water quality objectives</w:t>
            </w:r>
          </w:p>
        </w:tc>
        <w:tc>
          <w:tcPr>
            <w:tcW w:w="486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2E063A2F" w14:textId="5C19BF22" w:rsidR="006179CB" w:rsidRPr="00C213A2" w:rsidRDefault="00223A20" w:rsidP="00133081">
            <w:pPr>
              <w:pStyle w:val="ListParagraph"/>
              <w:numPr>
                <w:ilvl w:val="0"/>
                <w:numId w:val="28"/>
              </w:numPr>
              <w:spacing w:after="120"/>
              <w:jc w:val="left"/>
              <w:rPr>
                <w:rFonts w:ascii="Calibri" w:hAnsi="Calibri" w:cs="Calibri"/>
                <w:sz w:val="20"/>
              </w:rPr>
            </w:pPr>
            <w:r w:rsidRPr="00C213A2">
              <w:rPr>
                <w:rFonts w:ascii="Calibri" w:hAnsi="Calibri" w:cs="Calibri"/>
                <w:sz w:val="20"/>
              </w:rPr>
              <w:t xml:space="preserve">The 2022 GMP defines a monitoring network </w:t>
            </w:r>
            <w:r w:rsidR="00B518A2" w:rsidRPr="00C213A2">
              <w:rPr>
                <w:rFonts w:ascii="Calibri" w:hAnsi="Calibri" w:cs="Calibri"/>
                <w:sz w:val="20"/>
              </w:rPr>
              <w:t xml:space="preserve">that includes all wells in each GMZ that are monitored for TDS and/or nitrate. </w:t>
            </w:r>
            <w:r w:rsidR="00B76498" w:rsidRPr="00C213A2">
              <w:rPr>
                <w:rFonts w:ascii="Calibri" w:hAnsi="Calibri" w:cs="Calibri"/>
                <w:sz w:val="20"/>
              </w:rPr>
              <w:t xml:space="preserve">In GMZs with potential data gaps, a stepwise process has been defined to confirm the data gaps prior to investing money in new well construction. </w:t>
            </w:r>
            <w:r w:rsidR="00AD3FF9" w:rsidRPr="00C213A2">
              <w:rPr>
                <w:rFonts w:ascii="Calibri" w:hAnsi="Calibri" w:cs="Calibri"/>
                <w:sz w:val="20"/>
              </w:rPr>
              <w:t>Both of these approaches</w:t>
            </w:r>
            <w:r w:rsidR="00B76498" w:rsidRPr="00C213A2">
              <w:rPr>
                <w:rFonts w:ascii="Calibri" w:hAnsi="Calibri" w:cs="Calibri"/>
                <w:sz w:val="20"/>
              </w:rPr>
              <w:t xml:space="preserve"> ensure a cost</w:t>
            </w:r>
            <w:r w:rsidR="00AD3FF9" w:rsidRPr="00C213A2">
              <w:rPr>
                <w:rFonts w:ascii="Calibri" w:hAnsi="Calibri" w:cs="Calibri"/>
                <w:sz w:val="20"/>
              </w:rPr>
              <w:t>-</w:t>
            </w:r>
            <w:r w:rsidR="00B76498" w:rsidRPr="00C213A2">
              <w:rPr>
                <w:rFonts w:ascii="Calibri" w:hAnsi="Calibri" w:cs="Calibri"/>
                <w:sz w:val="20"/>
              </w:rPr>
              <w:t xml:space="preserve">effective means of </w:t>
            </w:r>
            <w:r w:rsidR="00AD3FF9" w:rsidRPr="00C213A2">
              <w:rPr>
                <w:rFonts w:ascii="Calibri" w:hAnsi="Calibri" w:cs="Calibri"/>
                <w:sz w:val="20"/>
              </w:rPr>
              <w:t xml:space="preserve">collecting the monitoring data needed to </w:t>
            </w:r>
            <w:r w:rsidR="00956253" w:rsidRPr="00C213A2">
              <w:rPr>
                <w:rFonts w:ascii="Calibri" w:hAnsi="Calibri" w:cs="Calibri"/>
                <w:sz w:val="20"/>
              </w:rPr>
              <w:t xml:space="preserve">assess </w:t>
            </w:r>
            <w:r w:rsidR="00CF0B52">
              <w:rPr>
                <w:rFonts w:ascii="Calibri" w:hAnsi="Calibri" w:cs="Calibri"/>
                <w:sz w:val="20"/>
              </w:rPr>
              <w:t>AWQ</w:t>
            </w:r>
            <w:r w:rsidR="00956253" w:rsidRPr="00C213A2">
              <w:rPr>
                <w:rFonts w:ascii="Calibri" w:hAnsi="Calibri" w:cs="Calibri"/>
                <w:sz w:val="20"/>
              </w:rPr>
              <w:t xml:space="preserve"> and assimilative capacity every five years.</w:t>
            </w:r>
          </w:p>
        </w:tc>
      </w:tr>
      <w:tr w:rsidR="006179CB" w14:paraId="298FC3F3" w14:textId="77777777" w:rsidTr="00223A20">
        <w:trPr>
          <w:trHeight w:val="1002"/>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64EEF816" w14:textId="77777777" w:rsidR="006179CB" w:rsidRDefault="006179CB" w:rsidP="00826C56">
            <w:pPr>
              <w:jc w:val="left"/>
              <w:rPr>
                <w:rFonts w:ascii="Calibri" w:hAnsi="Calibri" w:cs="Calibri"/>
                <w:sz w:val="20"/>
              </w:rPr>
            </w:pPr>
            <w:r>
              <w:rPr>
                <w:rFonts w:ascii="Calibri" w:hAnsi="Calibri" w:cs="Calibri"/>
                <w:sz w:val="20"/>
              </w:rPr>
              <w:t> </w:t>
            </w: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3EB04E64" w14:textId="77777777" w:rsidR="006179CB" w:rsidRDefault="006179CB" w:rsidP="00826C56">
            <w:pPr>
              <w:spacing w:after="120"/>
              <w:jc w:val="left"/>
              <w:rPr>
                <w:rFonts w:ascii="Calibri" w:hAnsi="Calibri" w:cs="Calibri"/>
                <w:sz w:val="20"/>
              </w:rPr>
            </w:pPr>
            <w:r>
              <w:rPr>
                <w:rFonts w:ascii="Calibri" w:hAnsi="Calibri" w:cs="Calibri"/>
                <w:sz w:val="20"/>
              </w:rPr>
              <w:t>Consider basin-specific conditions in establishing the number, type, or density of monitoring locations to be sampled</w:t>
            </w:r>
          </w:p>
        </w:tc>
        <w:tc>
          <w:tcPr>
            <w:tcW w:w="486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0CBC2979" w14:textId="69F64408" w:rsidR="006179CB" w:rsidRPr="00C213A2" w:rsidRDefault="00F1704A" w:rsidP="00133081">
            <w:pPr>
              <w:pStyle w:val="ListParagraph"/>
              <w:numPr>
                <w:ilvl w:val="0"/>
                <w:numId w:val="28"/>
              </w:numPr>
              <w:spacing w:after="120"/>
              <w:jc w:val="left"/>
              <w:rPr>
                <w:rFonts w:ascii="Calibri" w:hAnsi="Calibri" w:cs="Calibri"/>
                <w:sz w:val="20"/>
              </w:rPr>
            </w:pPr>
            <w:r w:rsidRPr="00C213A2">
              <w:rPr>
                <w:rFonts w:ascii="Calibri" w:hAnsi="Calibri" w:cs="Calibri"/>
                <w:sz w:val="20"/>
              </w:rPr>
              <w:t xml:space="preserve">Local conditions were considered. </w:t>
            </w:r>
            <w:r w:rsidR="004E5994" w:rsidRPr="00C213A2">
              <w:rPr>
                <w:rFonts w:ascii="Calibri" w:hAnsi="Calibri" w:cs="Calibri"/>
                <w:sz w:val="20"/>
              </w:rPr>
              <w:t xml:space="preserve">Due to the complexity, variability, </w:t>
            </w:r>
            <w:r w:rsidRPr="00C213A2">
              <w:rPr>
                <w:rFonts w:ascii="Calibri" w:hAnsi="Calibri" w:cs="Calibri"/>
                <w:sz w:val="20"/>
              </w:rPr>
              <w:t xml:space="preserve">and </w:t>
            </w:r>
            <w:r w:rsidR="004E5994" w:rsidRPr="00C213A2">
              <w:rPr>
                <w:rFonts w:ascii="Calibri" w:hAnsi="Calibri" w:cs="Calibri"/>
                <w:sz w:val="20"/>
              </w:rPr>
              <w:t xml:space="preserve">diversity of aquifer conditions and uses across the SAR Watershed, a qualitative approach to </w:t>
            </w:r>
            <w:r w:rsidRPr="00C213A2">
              <w:rPr>
                <w:rFonts w:ascii="Calibri" w:hAnsi="Calibri" w:cs="Calibri"/>
                <w:sz w:val="20"/>
              </w:rPr>
              <w:t xml:space="preserve">determining the sufficiency of </w:t>
            </w:r>
            <w:r w:rsidR="004D71E9" w:rsidRPr="00C213A2">
              <w:rPr>
                <w:rFonts w:ascii="Calibri" w:hAnsi="Calibri" w:cs="Calibri"/>
                <w:sz w:val="20"/>
              </w:rPr>
              <w:t>the monitoring network was applied. The analysis of potential data gaps is described in Section 3.3 and the</w:t>
            </w:r>
            <w:r w:rsidR="0064355A" w:rsidRPr="00C213A2">
              <w:rPr>
                <w:rFonts w:ascii="Calibri" w:hAnsi="Calibri" w:cs="Calibri"/>
                <w:sz w:val="20"/>
              </w:rPr>
              <w:t xml:space="preserve"> potential</w:t>
            </w:r>
            <w:r w:rsidR="004D71E9" w:rsidRPr="00C213A2">
              <w:rPr>
                <w:rFonts w:ascii="Calibri" w:hAnsi="Calibri" w:cs="Calibri"/>
                <w:sz w:val="20"/>
              </w:rPr>
              <w:t xml:space="preserve"> data gaps</w:t>
            </w:r>
            <w:r w:rsidR="0064355A" w:rsidRPr="00C213A2">
              <w:rPr>
                <w:rFonts w:ascii="Calibri" w:hAnsi="Calibri" w:cs="Calibri"/>
                <w:sz w:val="20"/>
              </w:rPr>
              <w:t xml:space="preserve"> in each GMZ</w:t>
            </w:r>
            <w:r w:rsidR="004D71E9" w:rsidRPr="00C213A2">
              <w:rPr>
                <w:rFonts w:ascii="Calibri" w:hAnsi="Calibri" w:cs="Calibri"/>
                <w:sz w:val="20"/>
              </w:rPr>
              <w:t xml:space="preserve"> are identified </w:t>
            </w:r>
            <w:r w:rsidR="0064355A" w:rsidRPr="00C213A2">
              <w:rPr>
                <w:rFonts w:ascii="Calibri" w:hAnsi="Calibri" w:cs="Calibri"/>
                <w:sz w:val="20"/>
              </w:rPr>
              <w:t>in Appendix C</w:t>
            </w:r>
          </w:p>
        </w:tc>
      </w:tr>
      <w:tr w:rsidR="006179CB" w14:paraId="19D9042F" w14:textId="77777777" w:rsidTr="00223A20">
        <w:trPr>
          <w:trHeight w:val="1002"/>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0B5D1593" w14:textId="77777777" w:rsidR="006179CB" w:rsidRDefault="006179CB" w:rsidP="00826C56">
            <w:pPr>
              <w:jc w:val="left"/>
              <w:rPr>
                <w:rFonts w:ascii="Calibri" w:hAnsi="Calibri" w:cs="Calibri"/>
                <w:sz w:val="20"/>
              </w:rPr>
            </w:pPr>
            <w:r>
              <w:rPr>
                <w:rFonts w:ascii="Calibri" w:hAnsi="Calibri" w:cs="Calibri"/>
                <w:sz w:val="20"/>
              </w:rPr>
              <w:t> </w:t>
            </w: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0D116925" w14:textId="77777777" w:rsidR="006179CB" w:rsidRDefault="006179CB" w:rsidP="00826C56">
            <w:pPr>
              <w:spacing w:after="120"/>
              <w:jc w:val="left"/>
              <w:rPr>
                <w:rFonts w:ascii="Calibri" w:hAnsi="Calibri" w:cs="Calibri"/>
                <w:sz w:val="20"/>
              </w:rPr>
            </w:pPr>
            <w:r>
              <w:rPr>
                <w:rFonts w:ascii="Calibri" w:hAnsi="Calibri" w:cs="Calibri"/>
                <w:sz w:val="20"/>
              </w:rPr>
              <w:t>Target areas with surface and ground water connectivity, where applicable</w:t>
            </w:r>
          </w:p>
        </w:tc>
        <w:tc>
          <w:tcPr>
            <w:tcW w:w="486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6FFB6184" w14:textId="6F51ADE7" w:rsidR="006179CB" w:rsidRPr="00C213A2" w:rsidRDefault="00A425CB" w:rsidP="00133081">
            <w:pPr>
              <w:pStyle w:val="ListParagraph"/>
              <w:numPr>
                <w:ilvl w:val="0"/>
                <w:numId w:val="28"/>
              </w:numPr>
              <w:spacing w:after="120"/>
              <w:jc w:val="left"/>
              <w:rPr>
                <w:rFonts w:ascii="Calibri" w:hAnsi="Calibri" w:cs="Calibri"/>
                <w:sz w:val="20"/>
              </w:rPr>
            </w:pPr>
            <w:r w:rsidRPr="00C213A2">
              <w:rPr>
                <w:rFonts w:ascii="Calibri" w:hAnsi="Calibri" w:cs="Calibri"/>
                <w:sz w:val="20"/>
              </w:rPr>
              <w:t>Because monitoring network includes all wells in each GMZ that are monitored for TDS and/or nitrate, and potential data gaps are identified</w:t>
            </w:r>
            <w:r w:rsidR="00151AED" w:rsidRPr="00C213A2">
              <w:rPr>
                <w:rFonts w:ascii="Calibri" w:hAnsi="Calibri" w:cs="Calibri"/>
                <w:sz w:val="20"/>
              </w:rPr>
              <w:t xml:space="preserve">, the 2022 GMP sufficiently addresses </w:t>
            </w:r>
            <w:proofErr w:type="gramStart"/>
            <w:r w:rsidR="00151AED" w:rsidRPr="00C213A2">
              <w:rPr>
                <w:rFonts w:ascii="Calibri" w:hAnsi="Calibri" w:cs="Calibri"/>
                <w:sz w:val="20"/>
              </w:rPr>
              <w:t>this criteria</w:t>
            </w:r>
            <w:proofErr w:type="gramEnd"/>
            <w:r w:rsidR="00151AED" w:rsidRPr="00C213A2">
              <w:rPr>
                <w:rFonts w:ascii="Calibri" w:hAnsi="Calibri" w:cs="Calibri"/>
                <w:sz w:val="20"/>
              </w:rPr>
              <w:t xml:space="preserve">. </w:t>
            </w:r>
          </w:p>
        </w:tc>
      </w:tr>
      <w:tr w:rsidR="006179CB" w14:paraId="35024CF7" w14:textId="77777777" w:rsidTr="00223A20">
        <w:trPr>
          <w:trHeight w:val="1002"/>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35824309" w14:textId="77777777" w:rsidR="006179CB" w:rsidRDefault="006179CB" w:rsidP="00826C56">
            <w:pPr>
              <w:jc w:val="left"/>
              <w:rPr>
                <w:rFonts w:ascii="Calibri" w:hAnsi="Calibri" w:cs="Calibri"/>
                <w:sz w:val="20"/>
              </w:rPr>
            </w:pPr>
            <w:r>
              <w:rPr>
                <w:rFonts w:ascii="Calibri" w:hAnsi="Calibri" w:cs="Calibri"/>
                <w:sz w:val="20"/>
              </w:rPr>
              <w:t> </w:t>
            </w: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61528071" w14:textId="77777777" w:rsidR="006179CB" w:rsidRDefault="006179CB" w:rsidP="00826C56">
            <w:pPr>
              <w:spacing w:after="120"/>
              <w:jc w:val="left"/>
              <w:rPr>
                <w:rFonts w:ascii="Calibri" w:hAnsi="Calibri" w:cs="Calibri"/>
                <w:sz w:val="20"/>
              </w:rPr>
            </w:pPr>
            <w:r>
              <w:rPr>
                <w:rFonts w:ascii="Calibri" w:hAnsi="Calibri" w:cs="Calibri"/>
                <w:sz w:val="20"/>
              </w:rPr>
              <w:t>Include existing wells that are located and screened appropriately to determine water quality throughout the most critical areas of the basin</w:t>
            </w:r>
          </w:p>
        </w:tc>
        <w:tc>
          <w:tcPr>
            <w:tcW w:w="486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35165687" w14:textId="47061F94" w:rsidR="006179CB" w:rsidRPr="00C213A2" w:rsidRDefault="00CD1DF7" w:rsidP="00133081">
            <w:pPr>
              <w:pStyle w:val="ListParagraph"/>
              <w:numPr>
                <w:ilvl w:val="0"/>
                <w:numId w:val="28"/>
              </w:numPr>
              <w:spacing w:after="120"/>
              <w:jc w:val="left"/>
              <w:rPr>
                <w:rFonts w:ascii="Calibri" w:hAnsi="Calibri" w:cs="Calibri"/>
                <w:sz w:val="20"/>
              </w:rPr>
            </w:pPr>
            <w:r w:rsidRPr="00C213A2">
              <w:rPr>
                <w:rFonts w:ascii="Calibri" w:hAnsi="Calibri" w:cs="Calibri"/>
                <w:sz w:val="20"/>
              </w:rPr>
              <w:t xml:space="preserve">The 2022 GMP defines a monitoring network that includes all wells in each GMZ that are monitored for TDS and/or nitrate, including all municipal groundwater supply wells. </w:t>
            </w:r>
            <w:r w:rsidR="00F4353A" w:rsidRPr="00C213A2">
              <w:rPr>
                <w:rFonts w:ascii="Calibri" w:hAnsi="Calibri" w:cs="Calibri"/>
                <w:sz w:val="20"/>
              </w:rPr>
              <w:t xml:space="preserve">Thus, the most critical areas of the GMZs are covered. </w:t>
            </w:r>
          </w:p>
        </w:tc>
      </w:tr>
      <w:tr w:rsidR="006179CB" w14:paraId="4830710E" w14:textId="77777777" w:rsidTr="00223A20">
        <w:trPr>
          <w:trHeight w:val="1002"/>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344F63FE" w14:textId="77777777" w:rsidR="006179CB" w:rsidRDefault="006179CB" w:rsidP="00826C56">
            <w:pPr>
              <w:jc w:val="left"/>
              <w:rPr>
                <w:rFonts w:ascii="Calibri" w:hAnsi="Calibri" w:cs="Calibri"/>
                <w:sz w:val="20"/>
              </w:rPr>
            </w:pPr>
            <w:r>
              <w:rPr>
                <w:rFonts w:ascii="Calibri" w:hAnsi="Calibri" w:cs="Calibri"/>
                <w:sz w:val="20"/>
              </w:rPr>
              <w:t> </w:t>
            </w: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64BBCCF4" w14:textId="77777777" w:rsidR="006179CB" w:rsidRDefault="006179CB" w:rsidP="00826C56">
            <w:pPr>
              <w:spacing w:after="120"/>
              <w:jc w:val="left"/>
              <w:rPr>
                <w:rFonts w:ascii="Calibri" w:hAnsi="Calibri" w:cs="Calibri"/>
                <w:sz w:val="20"/>
              </w:rPr>
            </w:pPr>
            <w:r>
              <w:rPr>
                <w:rFonts w:ascii="Calibri" w:hAnsi="Calibri" w:cs="Calibri"/>
                <w:sz w:val="20"/>
              </w:rPr>
              <w:t>Leverage the wells in other regulatory programs, such as those defined for compliance with the Sustainable Groundwater Management Act</w:t>
            </w:r>
          </w:p>
        </w:tc>
        <w:tc>
          <w:tcPr>
            <w:tcW w:w="486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13B2AA00" w14:textId="200D8D38" w:rsidR="006179CB" w:rsidRPr="00C213A2" w:rsidRDefault="0022252C" w:rsidP="00133081">
            <w:pPr>
              <w:pStyle w:val="ListParagraph"/>
              <w:numPr>
                <w:ilvl w:val="0"/>
                <w:numId w:val="28"/>
              </w:numPr>
              <w:spacing w:after="120"/>
              <w:jc w:val="left"/>
              <w:rPr>
                <w:rFonts w:ascii="Calibri" w:hAnsi="Calibri" w:cs="Calibri"/>
                <w:sz w:val="20"/>
              </w:rPr>
            </w:pPr>
            <w:r w:rsidRPr="00C213A2">
              <w:rPr>
                <w:rFonts w:ascii="Calibri" w:hAnsi="Calibri" w:cs="Calibri"/>
                <w:sz w:val="20"/>
              </w:rPr>
              <w:t>The 2022 GMP defines a monitoring network that includes all wells in each GMZ that are monitored for TDS and/or nitrate.</w:t>
            </w:r>
          </w:p>
        </w:tc>
      </w:tr>
      <w:tr w:rsidR="006179CB" w14:paraId="63DE5B05" w14:textId="77777777" w:rsidTr="00826C56">
        <w:trPr>
          <w:trHeight w:val="1002"/>
        </w:trPr>
        <w:tc>
          <w:tcPr>
            <w:tcW w:w="4405" w:type="dxa"/>
            <w:gridSpan w:val="2"/>
            <w:tcBorders>
              <w:top w:val="single" w:sz="4" w:space="0" w:color="5B6770"/>
              <w:left w:val="single" w:sz="4" w:space="0" w:color="5B6770"/>
              <w:bottom w:val="single" w:sz="4" w:space="0" w:color="5B6770"/>
              <w:right w:val="single" w:sz="4" w:space="0" w:color="5B6770"/>
            </w:tcBorders>
            <w:shd w:val="clear" w:color="auto" w:fill="auto"/>
            <w:tcMar>
              <w:top w:w="15" w:type="dxa"/>
              <w:left w:w="15" w:type="dxa"/>
              <w:bottom w:w="0" w:type="dxa"/>
              <w:right w:w="15" w:type="dxa"/>
            </w:tcMar>
            <w:hideMark/>
          </w:tcPr>
          <w:p w14:paraId="056E02A0" w14:textId="67451297" w:rsidR="006179CB" w:rsidRDefault="006179CB" w:rsidP="00956253">
            <w:pPr>
              <w:spacing w:after="120"/>
              <w:ind w:left="165"/>
              <w:jc w:val="left"/>
              <w:rPr>
                <w:rFonts w:ascii="Calibri" w:hAnsi="Calibri" w:cs="Calibri"/>
                <w:sz w:val="20"/>
              </w:rPr>
            </w:pPr>
            <w:r>
              <w:rPr>
                <w:rFonts w:ascii="Calibri" w:hAnsi="Calibri" w:cs="Calibri"/>
                <w:sz w:val="20"/>
              </w:rPr>
              <w:t>Identify the stakeholders responsible for conducting, compiling, and reporting monitoring data</w:t>
            </w:r>
          </w:p>
        </w:tc>
        <w:tc>
          <w:tcPr>
            <w:tcW w:w="486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vAlign w:val="center"/>
            <w:hideMark/>
          </w:tcPr>
          <w:p w14:paraId="63DBA84D" w14:textId="4D84C615" w:rsidR="00826C56" w:rsidRDefault="00826C56" w:rsidP="00133081">
            <w:pPr>
              <w:pStyle w:val="ListParagraph"/>
              <w:numPr>
                <w:ilvl w:val="0"/>
                <w:numId w:val="28"/>
              </w:numPr>
              <w:spacing w:after="120"/>
              <w:contextualSpacing w:val="0"/>
              <w:jc w:val="left"/>
              <w:rPr>
                <w:rFonts w:ascii="Calibri" w:hAnsi="Calibri" w:cs="Calibri"/>
                <w:sz w:val="20"/>
              </w:rPr>
            </w:pPr>
            <w:r w:rsidRPr="00CA1CE9">
              <w:rPr>
                <w:rFonts w:ascii="Calibri" w:hAnsi="Calibri" w:cs="Calibri"/>
                <w:sz w:val="20"/>
              </w:rPr>
              <w:t>The agencies responsible for</w:t>
            </w:r>
            <w:r>
              <w:rPr>
                <w:rFonts w:ascii="Calibri" w:hAnsi="Calibri" w:cs="Calibri"/>
                <w:sz w:val="20"/>
              </w:rPr>
              <w:t xml:space="preserve"> monitoring the wells in the GMZ monitoring network are listed in the tables in Appendix A.</w:t>
            </w:r>
          </w:p>
          <w:p w14:paraId="7CD4783F" w14:textId="06B0D71F" w:rsidR="00826C56" w:rsidRPr="000900B5" w:rsidRDefault="00826C56" w:rsidP="00133081">
            <w:pPr>
              <w:pStyle w:val="ListParagraph"/>
              <w:numPr>
                <w:ilvl w:val="0"/>
                <w:numId w:val="28"/>
              </w:numPr>
              <w:spacing w:after="120"/>
              <w:contextualSpacing w:val="0"/>
              <w:jc w:val="left"/>
              <w:rPr>
                <w:rFonts w:ascii="Calibri" w:hAnsi="Calibri" w:cs="Calibri"/>
                <w:sz w:val="20"/>
              </w:rPr>
            </w:pPr>
            <w:r>
              <w:rPr>
                <w:rFonts w:ascii="Calibri" w:hAnsi="Calibri" w:cs="Calibri"/>
                <w:sz w:val="20"/>
              </w:rPr>
              <w:t>The agencies responsible for compiling and submitting the monitoring data to the Task Force are listed in the tables in Appendix A.</w:t>
            </w:r>
          </w:p>
          <w:p w14:paraId="6867741D" w14:textId="7E1606C3" w:rsidR="006179CB" w:rsidRPr="00826C56" w:rsidRDefault="00826C56" w:rsidP="00133081">
            <w:pPr>
              <w:pStyle w:val="ListParagraph"/>
              <w:numPr>
                <w:ilvl w:val="0"/>
                <w:numId w:val="28"/>
              </w:numPr>
              <w:spacing w:after="120"/>
              <w:contextualSpacing w:val="0"/>
              <w:jc w:val="left"/>
              <w:rPr>
                <w:rFonts w:ascii="Calibri" w:hAnsi="Calibri" w:cs="Calibri"/>
                <w:sz w:val="20"/>
              </w:rPr>
            </w:pPr>
            <w:r w:rsidRPr="00826C56">
              <w:rPr>
                <w:rFonts w:ascii="Calibri" w:hAnsi="Calibri" w:cs="Calibri"/>
                <w:sz w:val="20"/>
              </w:rPr>
              <w:t>The agencies responsible for addressing the potential data gaps shown in Appendix C are identified in Table 3-1 of Section 3.3.2</w:t>
            </w:r>
          </w:p>
        </w:tc>
      </w:tr>
      <w:tr w:rsidR="006179CB" w14:paraId="7A9B580B" w14:textId="77777777" w:rsidTr="00F4784B">
        <w:trPr>
          <w:trHeight w:val="1002"/>
        </w:trPr>
        <w:tc>
          <w:tcPr>
            <w:tcW w:w="4405" w:type="dxa"/>
            <w:gridSpan w:val="2"/>
            <w:tcBorders>
              <w:top w:val="single" w:sz="4" w:space="0" w:color="5B6770"/>
              <w:left w:val="single" w:sz="4" w:space="0" w:color="5B6770"/>
              <w:bottom w:val="single" w:sz="4" w:space="0" w:color="5B6770"/>
              <w:right w:val="single" w:sz="4" w:space="0" w:color="5B6770"/>
            </w:tcBorders>
            <w:shd w:val="clear" w:color="auto" w:fill="auto"/>
            <w:tcMar>
              <w:top w:w="15" w:type="dxa"/>
              <w:left w:w="15" w:type="dxa"/>
              <w:bottom w:w="0" w:type="dxa"/>
              <w:right w:w="15" w:type="dxa"/>
            </w:tcMar>
            <w:hideMark/>
          </w:tcPr>
          <w:p w14:paraId="6456AA87" w14:textId="4E6B8A06" w:rsidR="006179CB" w:rsidRDefault="00F4784B" w:rsidP="00956253">
            <w:pPr>
              <w:spacing w:after="120"/>
              <w:ind w:left="165"/>
              <w:jc w:val="left"/>
              <w:rPr>
                <w:rFonts w:ascii="Calibri" w:hAnsi="Calibri" w:cs="Calibri"/>
                <w:sz w:val="20"/>
              </w:rPr>
            </w:pPr>
            <w:r>
              <w:rPr>
                <w:rFonts w:ascii="Calibri" w:hAnsi="Calibri" w:cs="Calibri"/>
                <w:sz w:val="20"/>
              </w:rPr>
              <w:lastRenderedPageBreak/>
              <w:t xml:space="preserve">All </w:t>
            </w:r>
            <w:r w:rsidR="006179CB">
              <w:rPr>
                <w:rFonts w:ascii="Calibri" w:hAnsi="Calibri" w:cs="Calibri"/>
                <w:sz w:val="20"/>
              </w:rPr>
              <w:t xml:space="preserve">monitoring data </w:t>
            </w:r>
            <w:r>
              <w:rPr>
                <w:rFonts w:ascii="Calibri" w:hAnsi="Calibri" w:cs="Calibri"/>
                <w:sz w:val="20"/>
              </w:rPr>
              <w:t xml:space="preserve">must be reported </w:t>
            </w:r>
            <w:r w:rsidR="006179CB">
              <w:rPr>
                <w:rFonts w:ascii="Calibri" w:hAnsi="Calibri" w:cs="Calibri"/>
                <w:sz w:val="20"/>
              </w:rPr>
              <w:t>annually in a form that is compatible with the Groundwater Ambient Monitoring &amp; Assessment (GAMA) information system.</w:t>
            </w:r>
          </w:p>
        </w:tc>
        <w:tc>
          <w:tcPr>
            <w:tcW w:w="486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22C59C74" w14:textId="7EF03BFC" w:rsidR="00EF650C" w:rsidRDefault="00F4784B" w:rsidP="00133081">
            <w:pPr>
              <w:pStyle w:val="ListParagraph"/>
              <w:numPr>
                <w:ilvl w:val="0"/>
                <w:numId w:val="28"/>
              </w:numPr>
              <w:spacing w:after="120"/>
              <w:jc w:val="left"/>
              <w:rPr>
                <w:rFonts w:ascii="Calibri" w:hAnsi="Calibri" w:cs="Calibri"/>
                <w:sz w:val="20"/>
              </w:rPr>
            </w:pPr>
            <w:r w:rsidRPr="00C213A2">
              <w:rPr>
                <w:rFonts w:ascii="Calibri" w:hAnsi="Calibri" w:cs="Calibri"/>
                <w:sz w:val="20"/>
              </w:rPr>
              <w:t xml:space="preserve">The </w:t>
            </w:r>
            <w:r w:rsidR="00727869" w:rsidRPr="00C213A2">
              <w:rPr>
                <w:rFonts w:ascii="Calibri" w:hAnsi="Calibri" w:cs="Calibri"/>
                <w:sz w:val="20"/>
              </w:rPr>
              <w:t xml:space="preserve">deliverable for the 2021 </w:t>
            </w:r>
            <w:r w:rsidR="00EF650C">
              <w:rPr>
                <w:rFonts w:ascii="Calibri" w:hAnsi="Calibri" w:cs="Calibri"/>
                <w:sz w:val="20"/>
              </w:rPr>
              <w:t>AWQ</w:t>
            </w:r>
            <w:r w:rsidR="00727869" w:rsidRPr="00C213A2">
              <w:rPr>
                <w:rFonts w:ascii="Calibri" w:hAnsi="Calibri" w:cs="Calibri"/>
                <w:sz w:val="20"/>
              </w:rPr>
              <w:t xml:space="preserve"> Pilot Study will include a </w:t>
            </w:r>
            <w:r w:rsidR="00E51D8E">
              <w:rPr>
                <w:rFonts w:ascii="Calibri" w:hAnsi="Calibri" w:cs="Calibri"/>
                <w:sz w:val="20"/>
              </w:rPr>
              <w:t>scope</w:t>
            </w:r>
            <w:r w:rsidR="00E51D8E" w:rsidRPr="00C213A2">
              <w:rPr>
                <w:rFonts w:ascii="Calibri" w:hAnsi="Calibri" w:cs="Calibri"/>
                <w:sz w:val="20"/>
              </w:rPr>
              <w:t xml:space="preserve"> </w:t>
            </w:r>
            <w:r w:rsidR="00727869" w:rsidRPr="00C213A2">
              <w:rPr>
                <w:rFonts w:ascii="Calibri" w:hAnsi="Calibri" w:cs="Calibri"/>
                <w:sz w:val="20"/>
              </w:rPr>
              <w:t xml:space="preserve">of work </w:t>
            </w:r>
            <w:r w:rsidR="00CE1525" w:rsidRPr="00C213A2">
              <w:rPr>
                <w:rFonts w:ascii="Calibri" w:hAnsi="Calibri" w:cs="Calibri"/>
                <w:sz w:val="20"/>
              </w:rPr>
              <w:t xml:space="preserve">that the Task Force will perform to comply with the Basin Plan SNMP through Fiscal Year 2029. </w:t>
            </w:r>
            <w:r w:rsidR="00EF650C">
              <w:rPr>
                <w:rFonts w:ascii="Calibri" w:hAnsi="Calibri" w:cs="Calibri"/>
                <w:sz w:val="20"/>
              </w:rPr>
              <w:t xml:space="preserve">The 2021 AWQ Pilot Study is described in Section 4 of this Report. It </w:t>
            </w:r>
            <w:r w:rsidR="00CE1525" w:rsidRPr="00EF650C">
              <w:rPr>
                <w:rFonts w:ascii="Calibri" w:hAnsi="Calibri" w:cs="Calibri"/>
                <w:sz w:val="20"/>
              </w:rPr>
              <w:t>will include a plan to annual</w:t>
            </w:r>
            <w:r w:rsidR="00EF650C">
              <w:rPr>
                <w:rFonts w:ascii="Calibri" w:hAnsi="Calibri" w:cs="Calibri"/>
                <w:sz w:val="20"/>
              </w:rPr>
              <w:t>ly</w:t>
            </w:r>
            <w:r w:rsidR="00CE1525" w:rsidRPr="00EF650C">
              <w:rPr>
                <w:rFonts w:ascii="Calibri" w:hAnsi="Calibri" w:cs="Calibri"/>
                <w:sz w:val="20"/>
              </w:rPr>
              <w:t xml:space="preserve"> collect the monitoring data. </w:t>
            </w:r>
          </w:p>
          <w:p w14:paraId="6BD8E378" w14:textId="6C26ACF1" w:rsidR="006179CB" w:rsidRPr="00EF650C" w:rsidRDefault="00CE1525" w:rsidP="00133081">
            <w:pPr>
              <w:pStyle w:val="ListParagraph"/>
              <w:numPr>
                <w:ilvl w:val="0"/>
                <w:numId w:val="28"/>
              </w:numPr>
              <w:spacing w:after="120"/>
              <w:jc w:val="left"/>
              <w:rPr>
                <w:rFonts w:ascii="Calibri" w:hAnsi="Calibri" w:cs="Calibri"/>
                <w:sz w:val="20"/>
              </w:rPr>
            </w:pPr>
            <w:r w:rsidRPr="00EF650C">
              <w:rPr>
                <w:rFonts w:ascii="Calibri" w:hAnsi="Calibri" w:cs="Calibri"/>
                <w:sz w:val="20"/>
              </w:rPr>
              <w:t xml:space="preserve">The preliminary schedule for starting annual data compilation </w:t>
            </w:r>
            <w:r w:rsidR="00343696" w:rsidRPr="00EF650C">
              <w:rPr>
                <w:rFonts w:ascii="Calibri" w:hAnsi="Calibri" w:cs="Calibri"/>
                <w:sz w:val="20"/>
              </w:rPr>
              <w:t xml:space="preserve">is June 2025, following completion of the first five-year assessment of the Basin Plan SNMP. The preliminary schedule is shown in Table </w:t>
            </w:r>
            <w:r w:rsidR="00224DBF" w:rsidRPr="00EF650C">
              <w:rPr>
                <w:rFonts w:ascii="Calibri" w:hAnsi="Calibri" w:cs="Calibri"/>
                <w:sz w:val="20"/>
              </w:rPr>
              <w:t>5-1.</w:t>
            </w:r>
            <w:r w:rsidR="00EF650C" w:rsidRPr="00EF650C">
              <w:rPr>
                <w:rFonts w:ascii="Calibri" w:hAnsi="Calibri" w:cs="Calibri"/>
                <w:sz w:val="20"/>
              </w:rPr>
              <w:t xml:space="preserve"> </w:t>
            </w:r>
          </w:p>
        </w:tc>
      </w:tr>
      <w:tr w:rsidR="006179CB" w14:paraId="1E2DB4DA" w14:textId="77777777" w:rsidTr="00826C56">
        <w:trPr>
          <w:trHeight w:val="300"/>
        </w:trPr>
        <w:tc>
          <w:tcPr>
            <w:tcW w:w="4405" w:type="dxa"/>
            <w:gridSpan w:val="2"/>
            <w:tcBorders>
              <w:top w:val="single" w:sz="4" w:space="0" w:color="5B6770"/>
              <w:left w:val="single" w:sz="4" w:space="0" w:color="5B6770"/>
              <w:bottom w:val="single" w:sz="4" w:space="0" w:color="5B6770"/>
              <w:right w:val="nil"/>
            </w:tcBorders>
            <w:shd w:val="clear" w:color="000000" w:fill="DDE0E3"/>
            <w:tcMar>
              <w:top w:w="15" w:type="dxa"/>
              <w:left w:w="15" w:type="dxa"/>
              <w:bottom w:w="0" w:type="dxa"/>
              <w:right w:w="15" w:type="dxa"/>
            </w:tcMar>
            <w:vAlign w:val="bottom"/>
            <w:hideMark/>
          </w:tcPr>
          <w:p w14:paraId="348D9C1A" w14:textId="77777777" w:rsidR="006179CB" w:rsidRDefault="006179CB">
            <w:pPr>
              <w:rPr>
                <w:rFonts w:ascii="Calibri" w:hAnsi="Calibri" w:cs="Calibri"/>
                <w:b/>
                <w:bCs/>
                <w:sz w:val="20"/>
              </w:rPr>
            </w:pPr>
            <w:r>
              <w:rPr>
                <w:rFonts w:ascii="Calibri" w:hAnsi="Calibri" w:cs="Calibri"/>
                <w:b/>
                <w:bCs/>
                <w:sz w:val="20"/>
              </w:rPr>
              <w:t>2021 Basin Plan Amendment</w:t>
            </w:r>
          </w:p>
        </w:tc>
        <w:tc>
          <w:tcPr>
            <w:tcW w:w="4860" w:type="dxa"/>
            <w:tcBorders>
              <w:top w:val="nil"/>
              <w:left w:val="nil"/>
              <w:bottom w:val="single" w:sz="4" w:space="0" w:color="5B6770"/>
              <w:right w:val="single" w:sz="4" w:space="0" w:color="5B6770"/>
            </w:tcBorders>
            <w:shd w:val="clear" w:color="000000" w:fill="DDE0E3"/>
            <w:tcMar>
              <w:top w:w="15" w:type="dxa"/>
              <w:left w:w="15" w:type="dxa"/>
              <w:bottom w:w="0" w:type="dxa"/>
              <w:right w:w="15" w:type="dxa"/>
            </w:tcMar>
            <w:vAlign w:val="bottom"/>
            <w:hideMark/>
          </w:tcPr>
          <w:p w14:paraId="37AA5FE5" w14:textId="77777777" w:rsidR="006179CB" w:rsidRDefault="006179CB" w:rsidP="00826C56">
            <w:pPr>
              <w:spacing w:after="120"/>
              <w:jc w:val="center"/>
              <w:rPr>
                <w:rFonts w:ascii="Calibri" w:hAnsi="Calibri" w:cs="Calibri"/>
                <w:sz w:val="20"/>
              </w:rPr>
            </w:pPr>
            <w:r>
              <w:rPr>
                <w:rFonts w:ascii="Calibri" w:hAnsi="Calibri" w:cs="Calibri"/>
                <w:sz w:val="20"/>
              </w:rPr>
              <w:t> </w:t>
            </w:r>
          </w:p>
        </w:tc>
      </w:tr>
      <w:tr w:rsidR="00DC1D69" w14:paraId="19C06436" w14:textId="77777777" w:rsidTr="00826C56">
        <w:trPr>
          <w:trHeight w:val="263"/>
        </w:trPr>
        <w:tc>
          <w:tcPr>
            <w:tcW w:w="9265" w:type="dxa"/>
            <w:gridSpan w:val="3"/>
            <w:tcBorders>
              <w:top w:val="single" w:sz="4" w:space="0" w:color="5B6770"/>
              <w:left w:val="single" w:sz="4" w:space="0" w:color="5B6770"/>
              <w:bottom w:val="single" w:sz="4" w:space="0" w:color="5B6770"/>
              <w:right w:val="single" w:sz="4" w:space="0" w:color="5B6770"/>
            </w:tcBorders>
            <w:shd w:val="clear" w:color="auto" w:fill="auto"/>
            <w:tcMar>
              <w:top w:w="15" w:type="dxa"/>
              <w:left w:w="15" w:type="dxa"/>
              <w:bottom w:w="0" w:type="dxa"/>
              <w:right w:w="15" w:type="dxa"/>
            </w:tcMar>
            <w:vAlign w:val="bottom"/>
            <w:hideMark/>
          </w:tcPr>
          <w:p w14:paraId="742DBD34" w14:textId="56DF3F0A" w:rsidR="00DC1D69" w:rsidRDefault="00DC1D69" w:rsidP="00956253">
            <w:pPr>
              <w:spacing w:after="120"/>
              <w:ind w:left="165"/>
              <w:jc w:val="left"/>
              <w:rPr>
                <w:rFonts w:ascii="Calibri" w:hAnsi="Calibri" w:cs="Calibri"/>
                <w:sz w:val="20"/>
              </w:rPr>
            </w:pPr>
            <w:r>
              <w:rPr>
                <w:rFonts w:ascii="Calibri" w:hAnsi="Calibri" w:cs="Calibri"/>
                <w:sz w:val="20"/>
              </w:rPr>
              <w:t>The monitoring program must include: </w:t>
            </w:r>
          </w:p>
        </w:tc>
      </w:tr>
      <w:tr w:rsidR="006179CB" w14:paraId="6A42B444" w14:textId="77777777" w:rsidTr="00826C56">
        <w:trPr>
          <w:trHeight w:val="633"/>
        </w:trPr>
        <w:tc>
          <w:tcPr>
            <w:tcW w:w="355" w:type="dxa"/>
            <w:tcBorders>
              <w:top w:val="nil"/>
              <w:left w:val="single" w:sz="4" w:space="0" w:color="5B6770"/>
              <w:bottom w:val="single" w:sz="4" w:space="0" w:color="A2AAAD" w:themeColor="accent5"/>
              <w:right w:val="nil"/>
            </w:tcBorders>
            <w:shd w:val="clear" w:color="auto" w:fill="auto"/>
            <w:tcMar>
              <w:top w:w="15" w:type="dxa"/>
              <w:left w:w="15" w:type="dxa"/>
              <w:bottom w:w="0" w:type="dxa"/>
              <w:right w:w="15" w:type="dxa"/>
            </w:tcMar>
            <w:hideMark/>
          </w:tcPr>
          <w:p w14:paraId="04D129E3" w14:textId="2ABBB246" w:rsidR="006179CB" w:rsidRDefault="006179CB" w:rsidP="00BF0CF1">
            <w:pPr>
              <w:spacing w:after="120"/>
              <w:jc w:val="left"/>
              <w:rPr>
                <w:rFonts w:ascii="Calibri" w:hAnsi="Calibri" w:cs="Calibri"/>
                <w:sz w:val="20"/>
              </w:rPr>
            </w:pPr>
          </w:p>
        </w:tc>
        <w:tc>
          <w:tcPr>
            <w:tcW w:w="4050" w:type="dxa"/>
            <w:tcBorders>
              <w:top w:val="nil"/>
              <w:left w:val="nil"/>
              <w:bottom w:val="single" w:sz="4" w:space="0" w:color="A2AAAD" w:themeColor="accent5"/>
              <w:right w:val="single" w:sz="4" w:space="0" w:color="5B6770"/>
            </w:tcBorders>
            <w:shd w:val="clear" w:color="auto" w:fill="auto"/>
            <w:tcMar>
              <w:top w:w="15" w:type="dxa"/>
              <w:left w:w="15" w:type="dxa"/>
              <w:bottom w:w="0" w:type="dxa"/>
              <w:right w:w="15" w:type="dxa"/>
            </w:tcMar>
            <w:hideMark/>
          </w:tcPr>
          <w:p w14:paraId="67409AC4" w14:textId="77777777" w:rsidR="006179CB" w:rsidRDefault="006179CB" w:rsidP="00BF0CF1">
            <w:pPr>
              <w:spacing w:after="120"/>
              <w:jc w:val="left"/>
              <w:rPr>
                <w:rFonts w:ascii="Calibri" w:hAnsi="Calibri" w:cs="Calibri"/>
                <w:sz w:val="20"/>
              </w:rPr>
            </w:pPr>
            <w:r>
              <w:rPr>
                <w:rFonts w:ascii="Calibri" w:hAnsi="Calibri" w:cs="Calibri"/>
                <w:sz w:val="20"/>
              </w:rPr>
              <w:t>Monitoring program goals</w:t>
            </w:r>
          </w:p>
        </w:tc>
        <w:tc>
          <w:tcPr>
            <w:tcW w:w="4860" w:type="dxa"/>
            <w:tcBorders>
              <w:top w:val="nil"/>
              <w:left w:val="nil"/>
              <w:bottom w:val="single" w:sz="4" w:space="0" w:color="A2AAAD" w:themeColor="accent5"/>
              <w:right w:val="single" w:sz="4" w:space="0" w:color="5B6770"/>
            </w:tcBorders>
            <w:shd w:val="clear" w:color="auto" w:fill="auto"/>
            <w:tcMar>
              <w:top w:w="15" w:type="dxa"/>
              <w:left w:w="15" w:type="dxa"/>
              <w:bottom w:w="0" w:type="dxa"/>
              <w:right w:w="15" w:type="dxa"/>
            </w:tcMar>
            <w:hideMark/>
          </w:tcPr>
          <w:p w14:paraId="347E3EF9" w14:textId="54A9A3BE" w:rsidR="006179CB" w:rsidRPr="00CA1CE9" w:rsidRDefault="00BF0CF1" w:rsidP="00133081">
            <w:pPr>
              <w:pStyle w:val="ListParagraph"/>
              <w:numPr>
                <w:ilvl w:val="0"/>
                <w:numId w:val="26"/>
              </w:numPr>
              <w:spacing w:after="120"/>
              <w:contextualSpacing w:val="0"/>
              <w:jc w:val="left"/>
              <w:rPr>
                <w:rFonts w:ascii="Calibri" w:hAnsi="Calibri" w:cs="Calibri"/>
                <w:sz w:val="20"/>
              </w:rPr>
            </w:pPr>
            <w:r w:rsidRPr="00CA1CE9">
              <w:rPr>
                <w:rFonts w:ascii="Calibri" w:hAnsi="Calibri" w:cs="Calibri"/>
                <w:sz w:val="20"/>
              </w:rPr>
              <w:t>The monitoring program goals are described in Section 1.5.3</w:t>
            </w:r>
          </w:p>
        </w:tc>
      </w:tr>
      <w:tr w:rsidR="006179CB" w14:paraId="6481674D" w14:textId="77777777" w:rsidTr="00826C56">
        <w:trPr>
          <w:trHeight w:val="675"/>
        </w:trPr>
        <w:tc>
          <w:tcPr>
            <w:tcW w:w="355" w:type="dxa"/>
            <w:tcBorders>
              <w:top w:val="single" w:sz="4" w:space="0" w:color="A2AAAD" w:themeColor="accent5"/>
              <w:left w:val="single" w:sz="4" w:space="0" w:color="5B6770"/>
              <w:bottom w:val="single" w:sz="4" w:space="0" w:color="5B6770"/>
              <w:right w:val="nil"/>
            </w:tcBorders>
            <w:shd w:val="clear" w:color="auto" w:fill="auto"/>
            <w:tcMar>
              <w:top w:w="15" w:type="dxa"/>
              <w:left w:w="15" w:type="dxa"/>
              <w:bottom w:w="0" w:type="dxa"/>
              <w:right w:w="15" w:type="dxa"/>
            </w:tcMar>
            <w:hideMark/>
          </w:tcPr>
          <w:p w14:paraId="1C0A7E6E" w14:textId="0AFB8692" w:rsidR="006179CB" w:rsidRDefault="006179CB" w:rsidP="00BF0CF1">
            <w:pPr>
              <w:spacing w:after="120"/>
              <w:jc w:val="left"/>
              <w:rPr>
                <w:rFonts w:ascii="Calibri" w:hAnsi="Calibri" w:cs="Calibri"/>
                <w:sz w:val="20"/>
              </w:rPr>
            </w:pPr>
          </w:p>
        </w:tc>
        <w:tc>
          <w:tcPr>
            <w:tcW w:w="4050" w:type="dxa"/>
            <w:tcBorders>
              <w:top w:val="single" w:sz="4" w:space="0" w:color="A2AAAD" w:themeColor="accent5"/>
              <w:left w:val="nil"/>
              <w:bottom w:val="single" w:sz="4" w:space="0" w:color="A2AAAD" w:themeColor="accent5"/>
              <w:right w:val="single" w:sz="4" w:space="0" w:color="5B6770"/>
            </w:tcBorders>
            <w:shd w:val="clear" w:color="auto" w:fill="auto"/>
            <w:tcMar>
              <w:top w:w="15" w:type="dxa"/>
              <w:left w:w="15" w:type="dxa"/>
              <w:bottom w:w="0" w:type="dxa"/>
              <w:right w:w="15" w:type="dxa"/>
            </w:tcMar>
            <w:hideMark/>
          </w:tcPr>
          <w:p w14:paraId="59A100C0" w14:textId="77777777" w:rsidR="006179CB" w:rsidRDefault="006179CB" w:rsidP="00BF0CF1">
            <w:pPr>
              <w:spacing w:after="120"/>
              <w:jc w:val="left"/>
              <w:rPr>
                <w:rFonts w:ascii="Calibri" w:hAnsi="Calibri" w:cs="Calibri"/>
                <w:sz w:val="20"/>
              </w:rPr>
            </w:pPr>
            <w:r>
              <w:rPr>
                <w:rFonts w:ascii="Calibri" w:hAnsi="Calibri" w:cs="Calibri"/>
                <w:sz w:val="20"/>
              </w:rPr>
              <w:t>Responsible agencies</w:t>
            </w:r>
          </w:p>
        </w:tc>
        <w:tc>
          <w:tcPr>
            <w:tcW w:w="4860" w:type="dxa"/>
            <w:tcBorders>
              <w:top w:val="single" w:sz="4" w:space="0" w:color="A2AAAD" w:themeColor="accent5"/>
              <w:left w:val="nil"/>
              <w:bottom w:val="single" w:sz="4" w:space="0" w:color="A2AAAD" w:themeColor="accent5"/>
              <w:right w:val="single" w:sz="4" w:space="0" w:color="5B6770"/>
            </w:tcBorders>
            <w:shd w:val="clear" w:color="auto" w:fill="auto"/>
            <w:tcMar>
              <w:top w:w="15" w:type="dxa"/>
              <w:left w:w="15" w:type="dxa"/>
              <w:bottom w:w="0" w:type="dxa"/>
              <w:right w:w="15" w:type="dxa"/>
            </w:tcMar>
            <w:hideMark/>
          </w:tcPr>
          <w:p w14:paraId="0E05CAFE" w14:textId="6B29767D" w:rsidR="006179CB" w:rsidRDefault="00CA1CE9" w:rsidP="00133081">
            <w:pPr>
              <w:pStyle w:val="ListParagraph"/>
              <w:numPr>
                <w:ilvl w:val="0"/>
                <w:numId w:val="26"/>
              </w:numPr>
              <w:spacing w:after="120"/>
              <w:contextualSpacing w:val="0"/>
              <w:jc w:val="left"/>
              <w:rPr>
                <w:rFonts w:ascii="Calibri" w:hAnsi="Calibri" w:cs="Calibri"/>
                <w:sz w:val="20"/>
              </w:rPr>
            </w:pPr>
            <w:r w:rsidRPr="00CA1CE9">
              <w:rPr>
                <w:rFonts w:ascii="Calibri" w:hAnsi="Calibri" w:cs="Calibri"/>
                <w:sz w:val="20"/>
              </w:rPr>
              <w:t>The agencies responsible for</w:t>
            </w:r>
            <w:r>
              <w:rPr>
                <w:rFonts w:ascii="Calibri" w:hAnsi="Calibri" w:cs="Calibri"/>
                <w:sz w:val="20"/>
              </w:rPr>
              <w:t xml:space="preserve"> monitoring the wells </w:t>
            </w:r>
            <w:r w:rsidR="00912FE5">
              <w:rPr>
                <w:rFonts w:ascii="Calibri" w:hAnsi="Calibri" w:cs="Calibri"/>
                <w:sz w:val="20"/>
              </w:rPr>
              <w:t xml:space="preserve">in the GMZ monitoring network </w:t>
            </w:r>
            <w:r>
              <w:rPr>
                <w:rFonts w:ascii="Calibri" w:hAnsi="Calibri" w:cs="Calibri"/>
                <w:sz w:val="20"/>
              </w:rPr>
              <w:t>are listed in the tables in Appendix A.</w:t>
            </w:r>
          </w:p>
          <w:p w14:paraId="2C8A0CE8" w14:textId="68983D6E" w:rsidR="00CA1CE9" w:rsidRPr="000900B5" w:rsidRDefault="00CA1CE9" w:rsidP="00133081">
            <w:pPr>
              <w:pStyle w:val="ListParagraph"/>
              <w:numPr>
                <w:ilvl w:val="0"/>
                <w:numId w:val="26"/>
              </w:numPr>
              <w:spacing w:after="120"/>
              <w:contextualSpacing w:val="0"/>
              <w:jc w:val="left"/>
              <w:rPr>
                <w:rFonts w:ascii="Calibri" w:hAnsi="Calibri" w:cs="Calibri"/>
                <w:sz w:val="20"/>
              </w:rPr>
            </w:pPr>
            <w:r>
              <w:rPr>
                <w:rFonts w:ascii="Calibri" w:hAnsi="Calibri" w:cs="Calibri"/>
                <w:sz w:val="20"/>
              </w:rPr>
              <w:t>The agencies responsible for compilin</w:t>
            </w:r>
            <w:r w:rsidR="000900B5">
              <w:rPr>
                <w:rFonts w:ascii="Calibri" w:hAnsi="Calibri" w:cs="Calibri"/>
                <w:sz w:val="20"/>
              </w:rPr>
              <w:t>g and submitting the monitoring data to the Task Force are listed in the tables in Appendix A.</w:t>
            </w:r>
          </w:p>
          <w:p w14:paraId="10A6A7D6" w14:textId="3165363A" w:rsidR="00CA1CE9" w:rsidRPr="00CA1CE9" w:rsidRDefault="00CA1CE9" w:rsidP="00133081">
            <w:pPr>
              <w:pStyle w:val="ListParagraph"/>
              <w:numPr>
                <w:ilvl w:val="0"/>
                <w:numId w:val="26"/>
              </w:numPr>
              <w:spacing w:after="120"/>
              <w:contextualSpacing w:val="0"/>
              <w:jc w:val="left"/>
              <w:rPr>
                <w:rFonts w:ascii="Calibri" w:hAnsi="Calibri" w:cs="Calibri"/>
                <w:sz w:val="20"/>
              </w:rPr>
            </w:pPr>
            <w:r>
              <w:rPr>
                <w:rFonts w:ascii="Calibri" w:hAnsi="Calibri" w:cs="Calibri"/>
                <w:sz w:val="20"/>
              </w:rPr>
              <w:t>The agencies responsible for addressing</w:t>
            </w:r>
            <w:r w:rsidR="00826C56">
              <w:rPr>
                <w:rFonts w:ascii="Calibri" w:hAnsi="Calibri" w:cs="Calibri"/>
                <w:sz w:val="20"/>
              </w:rPr>
              <w:t xml:space="preserve"> the potential</w:t>
            </w:r>
            <w:r>
              <w:rPr>
                <w:rFonts w:ascii="Calibri" w:hAnsi="Calibri" w:cs="Calibri"/>
                <w:sz w:val="20"/>
              </w:rPr>
              <w:t xml:space="preserve"> data gaps</w:t>
            </w:r>
            <w:r w:rsidR="00826C56">
              <w:rPr>
                <w:rFonts w:ascii="Calibri" w:hAnsi="Calibri" w:cs="Calibri"/>
                <w:sz w:val="20"/>
              </w:rPr>
              <w:t xml:space="preserve"> shown in Appendix C</w:t>
            </w:r>
            <w:r>
              <w:rPr>
                <w:rFonts w:ascii="Calibri" w:hAnsi="Calibri" w:cs="Calibri"/>
                <w:sz w:val="20"/>
              </w:rPr>
              <w:t xml:space="preserve"> are identified in Table 3-1 of Section </w:t>
            </w:r>
            <w:r w:rsidR="000900B5">
              <w:rPr>
                <w:rFonts w:ascii="Calibri" w:hAnsi="Calibri" w:cs="Calibri"/>
                <w:sz w:val="20"/>
              </w:rPr>
              <w:t>3.3.2</w:t>
            </w:r>
          </w:p>
        </w:tc>
      </w:tr>
      <w:tr w:rsidR="006179CB" w14:paraId="10635782" w14:textId="77777777" w:rsidTr="00826C56">
        <w:trPr>
          <w:trHeight w:val="675"/>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5364D568" w14:textId="62E4C134" w:rsidR="006179CB" w:rsidRDefault="006179CB" w:rsidP="00BF0CF1">
            <w:pPr>
              <w:spacing w:after="120"/>
              <w:jc w:val="left"/>
              <w:rPr>
                <w:rFonts w:ascii="Calibri" w:hAnsi="Calibri" w:cs="Calibri"/>
                <w:sz w:val="20"/>
              </w:rPr>
            </w:pPr>
          </w:p>
        </w:tc>
        <w:tc>
          <w:tcPr>
            <w:tcW w:w="4050" w:type="dxa"/>
            <w:tcBorders>
              <w:top w:val="single" w:sz="4" w:space="0" w:color="A2AAAD" w:themeColor="accent5"/>
              <w:left w:val="nil"/>
              <w:bottom w:val="single" w:sz="4" w:space="0" w:color="5B6770"/>
              <w:right w:val="single" w:sz="4" w:space="0" w:color="5B6770"/>
            </w:tcBorders>
            <w:shd w:val="clear" w:color="auto" w:fill="auto"/>
            <w:tcMar>
              <w:top w:w="15" w:type="dxa"/>
              <w:left w:w="15" w:type="dxa"/>
              <w:bottom w:w="0" w:type="dxa"/>
              <w:right w:w="15" w:type="dxa"/>
            </w:tcMar>
            <w:hideMark/>
          </w:tcPr>
          <w:p w14:paraId="5E5BC7DA" w14:textId="77777777" w:rsidR="006179CB" w:rsidRDefault="006179CB" w:rsidP="00BF0CF1">
            <w:pPr>
              <w:spacing w:after="120"/>
              <w:jc w:val="left"/>
              <w:rPr>
                <w:rFonts w:ascii="Calibri" w:hAnsi="Calibri" w:cs="Calibri"/>
                <w:sz w:val="20"/>
              </w:rPr>
            </w:pPr>
            <w:r>
              <w:rPr>
                <w:rFonts w:ascii="Calibri" w:hAnsi="Calibri" w:cs="Calibri"/>
                <w:sz w:val="20"/>
              </w:rPr>
              <w:t>Groundwater sampling locations</w:t>
            </w:r>
          </w:p>
        </w:tc>
        <w:tc>
          <w:tcPr>
            <w:tcW w:w="4860" w:type="dxa"/>
            <w:tcBorders>
              <w:top w:val="single" w:sz="4" w:space="0" w:color="A2AAAD" w:themeColor="accent5"/>
              <w:left w:val="nil"/>
              <w:bottom w:val="single" w:sz="4" w:space="0" w:color="5B6770"/>
              <w:right w:val="single" w:sz="4" w:space="0" w:color="5B6770"/>
            </w:tcBorders>
            <w:shd w:val="clear" w:color="auto" w:fill="auto"/>
            <w:tcMar>
              <w:top w:w="15" w:type="dxa"/>
              <w:left w:w="15" w:type="dxa"/>
              <w:bottom w:w="0" w:type="dxa"/>
              <w:right w:w="15" w:type="dxa"/>
            </w:tcMar>
            <w:hideMark/>
          </w:tcPr>
          <w:p w14:paraId="020EE492" w14:textId="52A4020E" w:rsidR="006179CB" w:rsidRPr="001673B6" w:rsidRDefault="001673B6" w:rsidP="00133081">
            <w:pPr>
              <w:pStyle w:val="ListParagraph"/>
              <w:numPr>
                <w:ilvl w:val="0"/>
                <w:numId w:val="27"/>
              </w:numPr>
              <w:spacing w:after="120"/>
              <w:contextualSpacing w:val="0"/>
              <w:jc w:val="left"/>
              <w:rPr>
                <w:rFonts w:ascii="Calibri" w:hAnsi="Calibri" w:cs="Calibri"/>
                <w:sz w:val="20"/>
              </w:rPr>
            </w:pPr>
            <w:r>
              <w:rPr>
                <w:rFonts w:ascii="Calibri" w:hAnsi="Calibri" w:cs="Calibri"/>
                <w:sz w:val="20"/>
              </w:rPr>
              <w:t xml:space="preserve">The wells included in the monitoring network of each GMZ </w:t>
            </w:r>
            <w:r w:rsidR="005C387C">
              <w:rPr>
                <w:rFonts w:ascii="Calibri" w:hAnsi="Calibri" w:cs="Calibri"/>
                <w:sz w:val="20"/>
              </w:rPr>
              <w:t>are provided in Appendix A. For each GMZ, there is a table and map identifying each well in the monitoring network.</w:t>
            </w:r>
            <w:r>
              <w:rPr>
                <w:rFonts w:ascii="Calibri" w:hAnsi="Calibri" w:cs="Calibri"/>
                <w:sz w:val="20"/>
              </w:rPr>
              <w:t xml:space="preserve"> </w:t>
            </w:r>
          </w:p>
        </w:tc>
      </w:tr>
      <w:tr w:rsidR="006179CB" w14:paraId="10DBC223" w14:textId="77777777" w:rsidTr="00826C56">
        <w:trPr>
          <w:trHeight w:val="675"/>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4E20DEFC" w14:textId="0AA5A2C3" w:rsidR="006179CB" w:rsidRDefault="006179CB" w:rsidP="00BF0CF1">
            <w:pPr>
              <w:spacing w:after="120"/>
              <w:jc w:val="left"/>
              <w:rPr>
                <w:rFonts w:ascii="Calibri" w:hAnsi="Calibri" w:cs="Calibri"/>
                <w:sz w:val="20"/>
              </w:rPr>
            </w:pP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5E174256" w14:textId="77777777" w:rsidR="006179CB" w:rsidRDefault="006179CB" w:rsidP="00BF0CF1">
            <w:pPr>
              <w:spacing w:after="120"/>
              <w:jc w:val="left"/>
              <w:rPr>
                <w:rFonts w:ascii="Calibri" w:hAnsi="Calibri" w:cs="Calibri"/>
                <w:sz w:val="20"/>
              </w:rPr>
            </w:pPr>
            <w:r>
              <w:rPr>
                <w:rFonts w:ascii="Calibri" w:hAnsi="Calibri" w:cs="Calibri"/>
                <w:sz w:val="20"/>
              </w:rPr>
              <w:t>Water quality parameters</w:t>
            </w:r>
          </w:p>
        </w:tc>
        <w:tc>
          <w:tcPr>
            <w:tcW w:w="4860" w:type="dxa"/>
            <w:tcBorders>
              <w:top w:val="single" w:sz="4" w:space="0" w:color="5B6770"/>
              <w:left w:val="nil"/>
              <w:bottom w:val="single" w:sz="4" w:space="0" w:color="A2AAAD" w:themeColor="accent5"/>
              <w:right w:val="single" w:sz="4" w:space="0" w:color="5B6770"/>
            </w:tcBorders>
            <w:shd w:val="clear" w:color="auto" w:fill="auto"/>
            <w:tcMar>
              <w:top w:w="15" w:type="dxa"/>
              <w:left w:w="15" w:type="dxa"/>
              <w:bottom w:w="0" w:type="dxa"/>
              <w:right w:w="15" w:type="dxa"/>
            </w:tcMar>
            <w:hideMark/>
          </w:tcPr>
          <w:p w14:paraId="3D58C073" w14:textId="5B540063" w:rsidR="006179CB" w:rsidRPr="004539A2" w:rsidRDefault="004539A2" w:rsidP="00133081">
            <w:pPr>
              <w:pStyle w:val="ListParagraph"/>
              <w:numPr>
                <w:ilvl w:val="0"/>
                <w:numId w:val="27"/>
              </w:numPr>
              <w:spacing w:after="120"/>
              <w:contextualSpacing w:val="0"/>
              <w:jc w:val="left"/>
              <w:rPr>
                <w:rFonts w:ascii="Calibri" w:hAnsi="Calibri" w:cs="Calibri"/>
                <w:sz w:val="20"/>
              </w:rPr>
            </w:pPr>
            <w:r>
              <w:rPr>
                <w:rFonts w:ascii="Calibri" w:hAnsi="Calibri" w:cs="Calibri"/>
                <w:sz w:val="20"/>
              </w:rPr>
              <w:t>The water quality parameters are named in Section 3.1 and include TDS and nitrate.</w:t>
            </w:r>
          </w:p>
        </w:tc>
      </w:tr>
      <w:tr w:rsidR="006179CB" w14:paraId="6E258AC0" w14:textId="77777777" w:rsidTr="00EF650C">
        <w:trPr>
          <w:trHeight w:val="675"/>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59B381B2" w14:textId="77777777" w:rsidR="006179CB" w:rsidRDefault="006179CB" w:rsidP="00BF0CF1">
            <w:pPr>
              <w:spacing w:after="120"/>
              <w:jc w:val="left"/>
              <w:rPr>
                <w:rFonts w:ascii="Calibri" w:hAnsi="Calibri" w:cs="Calibri"/>
                <w:sz w:val="20"/>
              </w:rPr>
            </w:pPr>
            <w:r>
              <w:rPr>
                <w:rFonts w:ascii="Calibri" w:hAnsi="Calibri" w:cs="Calibri"/>
                <w:sz w:val="20"/>
              </w:rPr>
              <w:t> </w:t>
            </w: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5683605B" w14:textId="77777777" w:rsidR="006179CB" w:rsidRDefault="006179CB" w:rsidP="00BF0CF1">
            <w:pPr>
              <w:spacing w:after="120"/>
              <w:jc w:val="left"/>
              <w:rPr>
                <w:rFonts w:ascii="Calibri" w:hAnsi="Calibri" w:cs="Calibri"/>
                <w:sz w:val="20"/>
              </w:rPr>
            </w:pPr>
            <w:r>
              <w:rPr>
                <w:rFonts w:ascii="Calibri" w:hAnsi="Calibri" w:cs="Calibri"/>
                <w:sz w:val="20"/>
              </w:rPr>
              <w:t>Sampling frequency</w:t>
            </w:r>
          </w:p>
        </w:tc>
        <w:tc>
          <w:tcPr>
            <w:tcW w:w="4860" w:type="dxa"/>
            <w:tcBorders>
              <w:top w:val="single" w:sz="4" w:space="0" w:color="A2AAAD" w:themeColor="accent5"/>
              <w:left w:val="nil"/>
              <w:bottom w:val="single" w:sz="4" w:space="0" w:color="5B6770"/>
              <w:right w:val="single" w:sz="4" w:space="0" w:color="5B6770"/>
            </w:tcBorders>
            <w:shd w:val="clear" w:color="auto" w:fill="auto"/>
            <w:tcMar>
              <w:top w:w="15" w:type="dxa"/>
              <w:left w:w="15" w:type="dxa"/>
              <w:bottom w:w="0" w:type="dxa"/>
              <w:right w:w="15" w:type="dxa"/>
            </w:tcMar>
            <w:hideMark/>
          </w:tcPr>
          <w:p w14:paraId="41E37E4C" w14:textId="41473E3E" w:rsidR="00912FE5" w:rsidRDefault="004539A2" w:rsidP="00133081">
            <w:pPr>
              <w:pStyle w:val="ListParagraph"/>
              <w:numPr>
                <w:ilvl w:val="0"/>
                <w:numId w:val="26"/>
              </w:numPr>
              <w:spacing w:after="120"/>
              <w:contextualSpacing w:val="0"/>
              <w:jc w:val="left"/>
              <w:rPr>
                <w:rFonts w:ascii="Calibri" w:hAnsi="Calibri" w:cs="Calibri"/>
                <w:sz w:val="20"/>
              </w:rPr>
            </w:pPr>
            <w:r>
              <w:rPr>
                <w:rFonts w:ascii="Calibri" w:hAnsi="Calibri" w:cs="Calibri"/>
                <w:sz w:val="20"/>
              </w:rPr>
              <w:t xml:space="preserve">The TDS and nitrate sampling frequency of each well is identified in </w:t>
            </w:r>
            <w:r w:rsidR="00912FE5">
              <w:rPr>
                <w:rFonts w:ascii="Calibri" w:hAnsi="Calibri" w:cs="Calibri"/>
                <w:sz w:val="20"/>
              </w:rPr>
              <w:t>the GMZ monitoring network tables in Appendix A.</w:t>
            </w:r>
          </w:p>
          <w:p w14:paraId="091462F8" w14:textId="4F710DDD" w:rsidR="006179CB" w:rsidRPr="00912FE5" w:rsidRDefault="006179CB" w:rsidP="00826C56">
            <w:pPr>
              <w:spacing w:after="120"/>
              <w:ind w:left="360"/>
              <w:jc w:val="left"/>
              <w:rPr>
                <w:rFonts w:ascii="Calibri" w:hAnsi="Calibri" w:cs="Calibri"/>
                <w:sz w:val="20"/>
              </w:rPr>
            </w:pPr>
          </w:p>
        </w:tc>
      </w:tr>
      <w:tr w:rsidR="006179CB" w14:paraId="08AADD24" w14:textId="77777777" w:rsidTr="00EF650C">
        <w:trPr>
          <w:trHeight w:val="675"/>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3148CC9B" w14:textId="77777777" w:rsidR="006179CB" w:rsidRDefault="006179CB" w:rsidP="00BF0CF1">
            <w:pPr>
              <w:spacing w:after="120"/>
              <w:jc w:val="left"/>
              <w:rPr>
                <w:rFonts w:ascii="Calibri" w:hAnsi="Calibri" w:cs="Calibri"/>
                <w:sz w:val="20"/>
              </w:rPr>
            </w:pPr>
            <w:r>
              <w:rPr>
                <w:rFonts w:ascii="Calibri" w:hAnsi="Calibri" w:cs="Calibri"/>
                <w:sz w:val="20"/>
              </w:rPr>
              <w:t> </w:t>
            </w: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50DE1CAA" w14:textId="77777777" w:rsidR="006179CB" w:rsidRDefault="006179CB" w:rsidP="00BF0CF1">
            <w:pPr>
              <w:spacing w:after="120"/>
              <w:jc w:val="left"/>
              <w:rPr>
                <w:rFonts w:ascii="Calibri" w:hAnsi="Calibri" w:cs="Calibri"/>
                <w:sz w:val="20"/>
              </w:rPr>
            </w:pPr>
            <w:r>
              <w:rPr>
                <w:rFonts w:ascii="Calibri" w:hAnsi="Calibri" w:cs="Calibri"/>
                <w:sz w:val="20"/>
              </w:rPr>
              <w:t>Quality assurance/quality control (QA/QC)</w:t>
            </w:r>
          </w:p>
        </w:tc>
        <w:tc>
          <w:tcPr>
            <w:tcW w:w="4860" w:type="dxa"/>
            <w:tcBorders>
              <w:top w:val="single" w:sz="4" w:space="0" w:color="5B6770"/>
              <w:left w:val="nil"/>
              <w:bottom w:val="single" w:sz="4" w:space="0" w:color="A2AAAD" w:themeColor="accent5"/>
              <w:right w:val="single" w:sz="4" w:space="0" w:color="5B6770"/>
            </w:tcBorders>
            <w:shd w:val="clear" w:color="auto" w:fill="auto"/>
            <w:tcMar>
              <w:top w:w="15" w:type="dxa"/>
              <w:left w:w="15" w:type="dxa"/>
              <w:bottom w:w="0" w:type="dxa"/>
              <w:right w:w="15" w:type="dxa"/>
            </w:tcMar>
            <w:hideMark/>
          </w:tcPr>
          <w:p w14:paraId="73FE9519" w14:textId="0D112E8E" w:rsidR="006179CB" w:rsidRPr="00C213A2" w:rsidRDefault="00C213A2" w:rsidP="00133081">
            <w:pPr>
              <w:pStyle w:val="ListParagraph"/>
              <w:numPr>
                <w:ilvl w:val="0"/>
                <w:numId w:val="26"/>
              </w:numPr>
              <w:spacing w:after="120"/>
              <w:jc w:val="left"/>
              <w:rPr>
                <w:rFonts w:ascii="Calibri" w:hAnsi="Calibri" w:cs="Calibri"/>
                <w:sz w:val="20"/>
              </w:rPr>
            </w:pPr>
            <w:r>
              <w:rPr>
                <w:rFonts w:ascii="Calibri" w:hAnsi="Calibri" w:cs="Calibri"/>
                <w:sz w:val="20"/>
              </w:rPr>
              <w:t xml:space="preserve">The 2021 </w:t>
            </w:r>
            <w:r w:rsidR="00EF650C">
              <w:rPr>
                <w:rFonts w:ascii="Calibri" w:hAnsi="Calibri" w:cs="Calibri"/>
                <w:sz w:val="20"/>
              </w:rPr>
              <w:t>AWQ</w:t>
            </w:r>
            <w:r>
              <w:rPr>
                <w:rFonts w:ascii="Calibri" w:hAnsi="Calibri" w:cs="Calibri"/>
                <w:sz w:val="20"/>
              </w:rPr>
              <w:t xml:space="preserve"> Pilot Study includes protocols for QA/QC of all data used to assess AWQ and assimilative </w:t>
            </w:r>
            <w:proofErr w:type="gramStart"/>
            <w:r>
              <w:rPr>
                <w:rFonts w:ascii="Calibri" w:hAnsi="Calibri" w:cs="Calibri"/>
                <w:sz w:val="20"/>
              </w:rPr>
              <w:t>capacity, and</w:t>
            </w:r>
            <w:proofErr w:type="gramEnd"/>
            <w:r>
              <w:rPr>
                <w:rFonts w:ascii="Calibri" w:hAnsi="Calibri" w:cs="Calibri"/>
                <w:sz w:val="20"/>
              </w:rPr>
              <w:t xml:space="preserve"> provides for establishing </w:t>
            </w:r>
            <w:r w:rsidR="00EF650C">
              <w:rPr>
                <w:rFonts w:ascii="Calibri" w:hAnsi="Calibri" w:cs="Calibri"/>
                <w:sz w:val="20"/>
              </w:rPr>
              <w:t xml:space="preserve">long-term methods </w:t>
            </w:r>
            <w:r w:rsidR="00EB7787">
              <w:rPr>
                <w:rFonts w:ascii="Calibri" w:hAnsi="Calibri" w:cs="Calibri"/>
                <w:sz w:val="20"/>
              </w:rPr>
              <w:t xml:space="preserve">to manage data </w:t>
            </w:r>
            <w:r w:rsidR="00EF650C">
              <w:rPr>
                <w:rFonts w:ascii="Calibri" w:hAnsi="Calibri" w:cs="Calibri"/>
                <w:sz w:val="20"/>
              </w:rPr>
              <w:t xml:space="preserve">that will include QA/QC protocols. The 2021 AWQ Pilot Study is described in Section 4 of this Report. </w:t>
            </w:r>
          </w:p>
        </w:tc>
      </w:tr>
      <w:tr w:rsidR="006179CB" w14:paraId="669BC413" w14:textId="77777777" w:rsidTr="00EF650C">
        <w:trPr>
          <w:trHeight w:val="675"/>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1DF267B3" w14:textId="77777777" w:rsidR="006179CB" w:rsidRDefault="006179CB" w:rsidP="00BF0CF1">
            <w:pPr>
              <w:spacing w:after="120"/>
              <w:jc w:val="left"/>
              <w:rPr>
                <w:rFonts w:ascii="Calibri" w:hAnsi="Calibri" w:cs="Calibri"/>
                <w:sz w:val="20"/>
              </w:rPr>
            </w:pPr>
            <w:r>
              <w:rPr>
                <w:rFonts w:ascii="Calibri" w:hAnsi="Calibri" w:cs="Calibri"/>
                <w:sz w:val="20"/>
              </w:rPr>
              <w:lastRenderedPageBreak/>
              <w:t> </w:t>
            </w: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77810BA6" w14:textId="77777777" w:rsidR="006179CB" w:rsidRDefault="006179CB" w:rsidP="00BF0CF1">
            <w:pPr>
              <w:spacing w:after="120"/>
              <w:jc w:val="left"/>
              <w:rPr>
                <w:rFonts w:ascii="Calibri" w:hAnsi="Calibri" w:cs="Calibri"/>
                <w:sz w:val="20"/>
              </w:rPr>
            </w:pPr>
            <w:r>
              <w:rPr>
                <w:rFonts w:ascii="Calibri" w:hAnsi="Calibri" w:cs="Calibri"/>
                <w:sz w:val="20"/>
              </w:rPr>
              <w:t>Database management</w:t>
            </w:r>
          </w:p>
        </w:tc>
        <w:tc>
          <w:tcPr>
            <w:tcW w:w="4860" w:type="dxa"/>
            <w:tcBorders>
              <w:top w:val="single" w:sz="4" w:space="0" w:color="A2AAAD" w:themeColor="accent5"/>
              <w:left w:val="nil"/>
              <w:bottom w:val="nil"/>
              <w:right w:val="single" w:sz="4" w:space="0" w:color="5B6770"/>
            </w:tcBorders>
            <w:shd w:val="clear" w:color="auto" w:fill="auto"/>
            <w:tcMar>
              <w:top w:w="15" w:type="dxa"/>
              <w:left w:w="15" w:type="dxa"/>
              <w:bottom w:w="0" w:type="dxa"/>
              <w:right w:w="15" w:type="dxa"/>
            </w:tcMar>
            <w:hideMark/>
          </w:tcPr>
          <w:p w14:paraId="008181D3" w14:textId="3379888B" w:rsidR="00EF650C" w:rsidRDefault="006179CB" w:rsidP="00133081">
            <w:pPr>
              <w:pStyle w:val="ListParagraph"/>
              <w:numPr>
                <w:ilvl w:val="0"/>
                <w:numId w:val="28"/>
              </w:numPr>
              <w:spacing w:after="120"/>
              <w:jc w:val="left"/>
              <w:rPr>
                <w:rFonts w:ascii="Calibri" w:hAnsi="Calibri" w:cs="Calibri"/>
                <w:sz w:val="20"/>
              </w:rPr>
            </w:pPr>
            <w:r>
              <w:rPr>
                <w:rFonts w:ascii="Calibri" w:hAnsi="Calibri" w:cs="Calibri"/>
                <w:sz w:val="20"/>
              </w:rPr>
              <w:t> </w:t>
            </w:r>
            <w:r w:rsidR="00EF650C" w:rsidRPr="00C213A2">
              <w:rPr>
                <w:rFonts w:ascii="Calibri" w:hAnsi="Calibri" w:cs="Calibri"/>
                <w:sz w:val="20"/>
              </w:rPr>
              <w:t xml:space="preserve">The deliverable for the 2021 </w:t>
            </w:r>
            <w:r w:rsidR="00EF650C">
              <w:rPr>
                <w:rFonts w:ascii="Calibri" w:hAnsi="Calibri" w:cs="Calibri"/>
                <w:sz w:val="20"/>
              </w:rPr>
              <w:t>AWQ</w:t>
            </w:r>
            <w:r w:rsidR="00EF650C" w:rsidRPr="00C213A2">
              <w:rPr>
                <w:rFonts w:ascii="Calibri" w:hAnsi="Calibri" w:cs="Calibri"/>
                <w:sz w:val="20"/>
              </w:rPr>
              <w:t xml:space="preserve"> Pilot Study will include a </w:t>
            </w:r>
            <w:r w:rsidR="00E8365A">
              <w:rPr>
                <w:rFonts w:ascii="Calibri" w:hAnsi="Calibri" w:cs="Calibri"/>
                <w:sz w:val="20"/>
              </w:rPr>
              <w:t>scope</w:t>
            </w:r>
            <w:r w:rsidR="00E8365A" w:rsidRPr="00C213A2">
              <w:rPr>
                <w:rFonts w:ascii="Calibri" w:hAnsi="Calibri" w:cs="Calibri"/>
                <w:sz w:val="20"/>
              </w:rPr>
              <w:t xml:space="preserve"> </w:t>
            </w:r>
            <w:r w:rsidR="00EF650C" w:rsidRPr="00C213A2">
              <w:rPr>
                <w:rFonts w:ascii="Calibri" w:hAnsi="Calibri" w:cs="Calibri"/>
                <w:sz w:val="20"/>
              </w:rPr>
              <w:t xml:space="preserve">of work that the Task Force will perform to comply with the Basin Plan SNMP through Fiscal Year 2029. </w:t>
            </w:r>
            <w:r w:rsidR="00EF650C">
              <w:rPr>
                <w:rFonts w:ascii="Calibri" w:hAnsi="Calibri" w:cs="Calibri"/>
                <w:sz w:val="20"/>
              </w:rPr>
              <w:t xml:space="preserve">The 2021 AWQ Pilot Study is described in Section 4 of this Report. It </w:t>
            </w:r>
            <w:r w:rsidR="00EF650C" w:rsidRPr="00EF650C">
              <w:rPr>
                <w:rFonts w:ascii="Calibri" w:hAnsi="Calibri" w:cs="Calibri"/>
                <w:sz w:val="20"/>
              </w:rPr>
              <w:t>will include a plan to annual</w:t>
            </w:r>
            <w:r w:rsidR="00EF650C">
              <w:rPr>
                <w:rFonts w:ascii="Calibri" w:hAnsi="Calibri" w:cs="Calibri"/>
                <w:sz w:val="20"/>
              </w:rPr>
              <w:t>ly</w:t>
            </w:r>
            <w:r w:rsidR="00EF650C" w:rsidRPr="00EF650C">
              <w:rPr>
                <w:rFonts w:ascii="Calibri" w:hAnsi="Calibri" w:cs="Calibri"/>
                <w:sz w:val="20"/>
              </w:rPr>
              <w:t xml:space="preserve"> collect the monitoring data</w:t>
            </w:r>
            <w:r w:rsidR="00EF650C">
              <w:rPr>
                <w:rFonts w:ascii="Calibri" w:hAnsi="Calibri" w:cs="Calibri"/>
                <w:sz w:val="20"/>
              </w:rPr>
              <w:t xml:space="preserve"> and manage it in a da</w:t>
            </w:r>
            <w:r w:rsidR="00361389">
              <w:rPr>
                <w:rFonts w:ascii="Calibri" w:hAnsi="Calibri" w:cs="Calibri"/>
                <w:sz w:val="20"/>
              </w:rPr>
              <w:t>ta</w:t>
            </w:r>
            <w:r w:rsidR="00EF650C">
              <w:rPr>
                <w:rFonts w:ascii="Calibri" w:hAnsi="Calibri" w:cs="Calibri"/>
                <w:sz w:val="20"/>
              </w:rPr>
              <w:t>base</w:t>
            </w:r>
            <w:r w:rsidR="00EF650C" w:rsidRPr="00EF650C">
              <w:rPr>
                <w:rFonts w:ascii="Calibri" w:hAnsi="Calibri" w:cs="Calibri"/>
                <w:sz w:val="20"/>
              </w:rPr>
              <w:t xml:space="preserve">. </w:t>
            </w:r>
          </w:p>
          <w:p w14:paraId="2CA8E667" w14:textId="035E25D7" w:rsidR="006179CB" w:rsidRPr="00EF650C" w:rsidRDefault="00EF650C" w:rsidP="00133081">
            <w:pPr>
              <w:pStyle w:val="ListParagraph"/>
              <w:numPr>
                <w:ilvl w:val="0"/>
                <w:numId w:val="28"/>
              </w:numPr>
              <w:spacing w:after="120"/>
              <w:jc w:val="left"/>
              <w:rPr>
                <w:rFonts w:ascii="Calibri" w:hAnsi="Calibri" w:cs="Calibri"/>
                <w:sz w:val="20"/>
              </w:rPr>
            </w:pPr>
            <w:r w:rsidRPr="00EF650C">
              <w:rPr>
                <w:rFonts w:ascii="Calibri" w:hAnsi="Calibri" w:cs="Calibri"/>
                <w:sz w:val="20"/>
              </w:rPr>
              <w:t>The preliminary schedule for starting annual data compilation is June 2025, following completion of the first five-year assessment of the Basin Plan SNMP. The preliminary schedule is shown in Table 5-1.</w:t>
            </w:r>
          </w:p>
        </w:tc>
      </w:tr>
      <w:tr w:rsidR="006179CB" w14:paraId="3193469F" w14:textId="77777777" w:rsidTr="00826C56">
        <w:trPr>
          <w:trHeight w:val="675"/>
        </w:trPr>
        <w:tc>
          <w:tcPr>
            <w:tcW w:w="355" w:type="dxa"/>
            <w:tcBorders>
              <w:top w:val="nil"/>
              <w:left w:val="single" w:sz="4" w:space="0" w:color="5B6770"/>
              <w:bottom w:val="single" w:sz="4" w:space="0" w:color="5B6770"/>
              <w:right w:val="nil"/>
            </w:tcBorders>
            <w:shd w:val="clear" w:color="auto" w:fill="auto"/>
            <w:tcMar>
              <w:top w:w="15" w:type="dxa"/>
              <w:left w:w="15" w:type="dxa"/>
              <w:bottom w:w="0" w:type="dxa"/>
              <w:right w:w="15" w:type="dxa"/>
            </w:tcMar>
            <w:hideMark/>
          </w:tcPr>
          <w:p w14:paraId="00BDF1C3" w14:textId="77777777" w:rsidR="006179CB" w:rsidRDefault="006179CB" w:rsidP="00BF0CF1">
            <w:pPr>
              <w:spacing w:after="120"/>
              <w:jc w:val="left"/>
              <w:rPr>
                <w:rFonts w:ascii="Calibri" w:hAnsi="Calibri" w:cs="Calibri"/>
                <w:sz w:val="20"/>
              </w:rPr>
            </w:pPr>
            <w:r>
              <w:rPr>
                <w:rFonts w:ascii="Calibri" w:hAnsi="Calibri" w:cs="Calibri"/>
                <w:sz w:val="20"/>
              </w:rPr>
              <w:t> </w:t>
            </w:r>
          </w:p>
        </w:tc>
        <w:tc>
          <w:tcPr>
            <w:tcW w:w="4050" w:type="dxa"/>
            <w:tcBorders>
              <w:top w:val="nil"/>
              <w:left w:val="nil"/>
              <w:bottom w:val="single" w:sz="4" w:space="0" w:color="5B6770"/>
              <w:right w:val="single" w:sz="4" w:space="0" w:color="5B6770"/>
            </w:tcBorders>
            <w:shd w:val="clear" w:color="auto" w:fill="auto"/>
            <w:tcMar>
              <w:top w:w="15" w:type="dxa"/>
              <w:left w:w="15" w:type="dxa"/>
              <w:bottom w:w="0" w:type="dxa"/>
              <w:right w:w="15" w:type="dxa"/>
            </w:tcMar>
            <w:hideMark/>
          </w:tcPr>
          <w:p w14:paraId="11F065B0" w14:textId="77777777" w:rsidR="006179CB" w:rsidRDefault="006179CB" w:rsidP="00BF0CF1">
            <w:pPr>
              <w:spacing w:after="120"/>
              <w:jc w:val="left"/>
              <w:rPr>
                <w:rFonts w:ascii="Calibri" w:hAnsi="Calibri" w:cs="Calibri"/>
                <w:sz w:val="20"/>
              </w:rPr>
            </w:pPr>
            <w:r>
              <w:rPr>
                <w:rFonts w:ascii="Calibri" w:hAnsi="Calibri" w:cs="Calibri"/>
                <w:sz w:val="20"/>
              </w:rPr>
              <w:t>Data analysis and reporting</w:t>
            </w:r>
          </w:p>
        </w:tc>
        <w:tc>
          <w:tcPr>
            <w:tcW w:w="4860" w:type="dxa"/>
            <w:tcBorders>
              <w:top w:val="single" w:sz="4" w:space="0" w:color="5B6770"/>
              <w:left w:val="nil"/>
              <w:bottom w:val="single" w:sz="4" w:space="0" w:color="5B6770"/>
              <w:right w:val="single" w:sz="4" w:space="0" w:color="5B6770"/>
            </w:tcBorders>
            <w:shd w:val="clear" w:color="auto" w:fill="auto"/>
            <w:tcMar>
              <w:top w:w="15" w:type="dxa"/>
              <w:left w:w="15" w:type="dxa"/>
              <w:bottom w:w="0" w:type="dxa"/>
              <w:right w:w="15" w:type="dxa"/>
            </w:tcMar>
            <w:hideMark/>
          </w:tcPr>
          <w:p w14:paraId="1F069948" w14:textId="2139C2FB" w:rsidR="00EF650C" w:rsidRDefault="00EF650C" w:rsidP="00133081">
            <w:pPr>
              <w:pStyle w:val="ListParagraph"/>
              <w:numPr>
                <w:ilvl w:val="0"/>
                <w:numId w:val="29"/>
              </w:numPr>
              <w:spacing w:after="120"/>
              <w:jc w:val="left"/>
              <w:rPr>
                <w:rFonts w:ascii="Calibri" w:hAnsi="Calibri" w:cs="Calibri"/>
                <w:sz w:val="20"/>
              </w:rPr>
            </w:pPr>
            <w:r>
              <w:rPr>
                <w:rFonts w:ascii="Calibri" w:hAnsi="Calibri" w:cs="Calibri"/>
                <w:sz w:val="20"/>
              </w:rPr>
              <w:t xml:space="preserve">Section 4 of this report describes the </w:t>
            </w:r>
            <w:r w:rsidRPr="00C213A2">
              <w:rPr>
                <w:rFonts w:ascii="Calibri" w:hAnsi="Calibri" w:cs="Calibri"/>
                <w:sz w:val="20"/>
              </w:rPr>
              <w:t xml:space="preserve">2021 </w:t>
            </w:r>
            <w:r>
              <w:rPr>
                <w:rFonts w:ascii="Calibri" w:hAnsi="Calibri" w:cs="Calibri"/>
                <w:sz w:val="20"/>
              </w:rPr>
              <w:t>AWQ</w:t>
            </w:r>
            <w:r w:rsidRPr="00C213A2">
              <w:rPr>
                <w:rFonts w:ascii="Calibri" w:hAnsi="Calibri" w:cs="Calibri"/>
                <w:sz w:val="20"/>
              </w:rPr>
              <w:t xml:space="preserve"> Pilot Study</w:t>
            </w:r>
            <w:r>
              <w:rPr>
                <w:rFonts w:ascii="Calibri" w:hAnsi="Calibri" w:cs="Calibri"/>
                <w:sz w:val="20"/>
              </w:rPr>
              <w:t xml:space="preserve">, which includes the analysis and reporting of AWQ and assimilative capacity. </w:t>
            </w:r>
          </w:p>
          <w:p w14:paraId="4E79CBFB" w14:textId="752E9C05" w:rsidR="006179CB" w:rsidRPr="00EF650C" w:rsidRDefault="00EF650C" w:rsidP="00133081">
            <w:pPr>
              <w:pStyle w:val="ListParagraph"/>
              <w:numPr>
                <w:ilvl w:val="0"/>
                <w:numId w:val="29"/>
              </w:numPr>
              <w:spacing w:after="120"/>
              <w:jc w:val="left"/>
              <w:rPr>
                <w:rFonts w:ascii="Calibri" w:hAnsi="Calibri" w:cs="Calibri"/>
                <w:sz w:val="20"/>
              </w:rPr>
            </w:pPr>
            <w:r>
              <w:rPr>
                <w:rFonts w:ascii="Calibri" w:hAnsi="Calibri" w:cs="Calibri"/>
                <w:sz w:val="20"/>
              </w:rPr>
              <w:t xml:space="preserve">Section 5 of this report summarizes the tasks and schedule for data analysis and reporting tasks through Fiscal Year 2029. The work tasks and schedule will be refined as part of the </w:t>
            </w:r>
            <w:r w:rsidRPr="00C213A2">
              <w:rPr>
                <w:rFonts w:ascii="Calibri" w:hAnsi="Calibri" w:cs="Calibri"/>
                <w:sz w:val="20"/>
              </w:rPr>
              <w:t xml:space="preserve">2021 </w:t>
            </w:r>
            <w:r>
              <w:rPr>
                <w:rFonts w:ascii="Calibri" w:hAnsi="Calibri" w:cs="Calibri"/>
                <w:sz w:val="20"/>
              </w:rPr>
              <w:t>AWQ</w:t>
            </w:r>
            <w:r w:rsidRPr="00C213A2">
              <w:rPr>
                <w:rFonts w:ascii="Calibri" w:hAnsi="Calibri" w:cs="Calibri"/>
                <w:sz w:val="20"/>
              </w:rPr>
              <w:t xml:space="preserve"> Pilot Study</w:t>
            </w:r>
            <w:r>
              <w:rPr>
                <w:rFonts w:ascii="Calibri" w:hAnsi="Calibri" w:cs="Calibri"/>
                <w:sz w:val="20"/>
              </w:rPr>
              <w:t>.</w:t>
            </w:r>
          </w:p>
        </w:tc>
      </w:tr>
    </w:tbl>
    <w:p w14:paraId="6D50D4BE" w14:textId="5D6CE970" w:rsidR="00D35940" w:rsidRDefault="006179CB">
      <w:pPr>
        <w:spacing w:after="0"/>
        <w:jc w:val="left"/>
      </w:pPr>
      <w:r>
        <w:t xml:space="preserve"> </w:t>
      </w:r>
    </w:p>
    <w:p w14:paraId="748AEF60" w14:textId="1A48D7C9" w:rsidR="00BA328A" w:rsidRPr="00934432" w:rsidRDefault="0071062D" w:rsidP="00BA328A">
      <w:pPr>
        <w:pStyle w:val="Heading3"/>
      </w:pPr>
      <w:bookmarkStart w:id="25" w:name="_Toc117719783"/>
      <w:r>
        <w:t xml:space="preserve">2022 </w:t>
      </w:r>
      <w:r w:rsidR="00897F65" w:rsidRPr="00934432">
        <w:t>GMP</w:t>
      </w:r>
      <w:r w:rsidR="00B5091B" w:rsidRPr="00934432">
        <w:t xml:space="preserve"> Goals</w:t>
      </w:r>
      <w:bookmarkEnd w:id="25"/>
    </w:p>
    <w:p w14:paraId="36EECF44" w14:textId="761BEDC7" w:rsidR="00345AF9" w:rsidRPr="00D3003B" w:rsidRDefault="00345AF9" w:rsidP="00345AF9">
      <w:pPr>
        <w:pStyle w:val="paragraph"/>
        <w:spacing w:before="120" w:beforeAutospacing="0" w:after="120" w:afterAutospacing="0"/>
        <w:jc w:val="both"/>
        <w:textAlignment w:val="baseline"/>
        <w:rPr>
          <w:rFonts w:asciiTheme="minorHAnsi" w:hAnsiTheme="minorHAnsi" w:cstheme="minorHAnsi"/>
          <w:color w:val="000000"/>
          <w:sz w:val="22"/>
          <w:szCs w:val="22"/>
        </w:rPr>
      </w:pPr>
      <w:r w:rsidRPr="00934432">
        <w:rPr>
          <w:rFonts w:asciiTheme="minorHAnsi" w:hAnsiTheme="minorHAnsi" w:cstheme="minorHAnsi"/>
          <w:color w:val="000000"/>
          <w:sz w:val="22"/>
          <w:szCs w:val="22"/>
        </w:rPr>
        <w:t xml:space="preserve">It has been 27 years since the Task Force was formed and 18 years since the adoption of the current Basin Plan SNMP. Since 2004, </w:t>
      </w:r>
      <w:r w:rsidR="00CF0B52">
        <w:rPr>
          <w:rFonts w:asciiTheme="minorHAnsi" w:hAnsiTheme="minorHAnsi" w:cstheme="minorHAnsi"/>
          <w:color w:val="000000"/>
          <w:sz w:val="22"/>
          <w:szCs w:val="22"/>
        </w:rPr>
        <w:t>AWQ</w:t>
      </w:r>
      <w:r w:rsidRPr="00934432">
        <w:rPr>
          <w:rFonts w:asciiTheme="minorHAnsi" w:hAnsiTheme="minorHAnsi" w:cstheme="minorHAnsi"/>
          <w:color w:val="000000"/>
          <w:sz w:val="22"/>
          <w:szCs w:val="22"/>
        </w:rPr>
        <w:t xml:space="preserve"> has been recomputed six times. The last 1</w:t>
      </w:r>
      <w:r w:rsidR="00942AFE" w:rsidRPr="00934432">
        <w:rPr>
          <w:rFonts w:asciiTheme="minorHAnsi" w:hAnsiTheme="minorHAnsi" w:cstheme="minorHAnsi"/>
          <w:color w:val="000000"/>
          <w:sz w:val="22"/>
          <w:szCs w:val="22"/>
        </w:rPr>
        <w:t xml:space="preserve">8 </w:t>
      </w:r>
      <w:r w:rsidRPr="00934432">
        <w:rPr>
          <w:rFonts w:asciiTheme="minorHAnsi" w:hAnsiTheme="minorHAnsi" w:cstheme="minorHAnsi"/>
          <w:color w:val="000000"/>
          <w:sz w:val="22"/>
          <w:szCs w:val="22"/>
        </w:rPr>
        <w:t>years of implementation of the Basin Plan SNMP have led to a better understanding of water quality,</w:t>
      </w:r>
      <w:r w:rsidRPr="00D3003B">
        <w:rPr>
          <w:rFonts w:asciiTheme="minorHAnsi" w:hAnsiTheme="minorHAnsi" w:cstheme="minorHAnsi"/>
          <w:color w:val="000000"/>
          <w:sz w:val="22"/>
          <w:szCs w:val="22"/>
        </w:rPr>
        <w:t xml:space="preserve"> how TDS and </w:t>
      </w:r>
      <w:r w:rsidRPr="00457736">
        <w:rPr>
          <w:rFonts w:asciiTheme="minorHAnsi" w:hAnsiTheme="minorHAnsi" w:cstheme="minorHAnsi"/>
          <w:color w:val="000000"/>
          <w:sz w:val="22"/>
          <w:szCs w:val="22"/>
        </w:rPr>
        <w:t>nitrate</w:t>
      </w:r>
      <w:r w:rsidRPr="00D3003B">
        <w:rPr>
          <w:rFonts w:asciiTheme="minorHAnsi" w:hAnsiTheme="minorHAnsi" w:cstheme="minorHAnsi"/>
          <w:color w:val="000000"/>
          <w:sz w:val="22"/>
          <w:szCs w:val="22"/>
        </w:rPr>
        <w:t xml:space="preserve"> concentrations are changing in GMZs, an</w:t>
      </w:r>
      <w:r w:rsidR="00942AFE">
        <w:rPr>
          <w:rFonts w:asciiTheme="minorHAnsi" w:hAnsiTheme="minorHAnsi" w:cstheme="minorHAnsi"/>
          <w:color w:val="000000"/>
          <w:sz w:val="22"/>
          <w:szCs w:val="22"/>
        </w:rPr>
        <w:t>d</w:t>
      </w:r>
      <w:r w:rsidRPr="00D3003B">
        <w:rPr>
          <w:rFonts w:asciiTheme="minorHAnsi" w:hAnsiTheme="minorHAnsi" w:cstheme="minorHAnsi"/>
          <w:color w:val="000000"/>
          <w:sz w:val="22"/>
          <w:szCs w:val="22"/>
        </w:rPr>
        <w:t xml:space="preserve"> the factors that are driving those changes. For example, in many </w:t>
      </w:r>
      <w:r w:rsidR="00942AFE">
        <w:rPr>
          <w:rFonts w:asciiTheme="minorHAnsi" w:hAnsiTheme="minorHAnsi" w:cstheme="minorHAnsi"/>
          <w:color w:val="000000"/>
          <w:sz w:val="22"/>
          <w:szCs w:val="22"/>
        </w:rPr>
        <w:t>GMZs</w:t>
      </w:r>
      <w:r w:rsidRPr="00D3003B">
        <w:rPr>
          <w:rFonts w:asciiTheme="minorHAnsi" w:hAnsiTheme="minorHAnsi" w:cstheme="minorHAnsi"/>
          <w:color w:val="000000"/>
          <w:sz w:val="22"/>
          <w:szCs w:val="22"/>
        </w:rPr>
        <w:t xml:space="preserve">, the </w:t>
      </w:r>
      <w:r w:rsidR="00CF0B52">
        <w:rPr>
          <w:rFonts w:asciiTheme="minorHAnsi" w:hAnsiTheme="minorHAnsi" w:cstheme="minorHAnsi"/>
          <w:color w:val="000000"/>
          <w:sz w:val="22"/>
          <w:szCs w:val="22"/>
        </w:rPr>
        <w:t>AWQ</w:t>
      </w:r>
      <w:r w:rsidRPr="00D3003B">
        <w:rPr>
          <w:rFonts w:asciiTheme="minorHAnsi" w:hAnsiTheme="minorHAnsi" w:cstheme="minorHAnsi"/>
          <w:color w:val="000000"/>
          <w:sz w:val="22"/>
          <w:szCs w:val="22"/>
        </w:rPr>
        <w:t xml:space="preserve"> has exceeded the </w:t>
      </w:r>
      <w:r w:rsidR="00942AFE">
        <w:rPr>
          <w:rFonts w:asciiTheme="minorHAnsi" w:hAnsiTheme="minorHAnsi" w:cstheme="minorHAnsi"/>
          <w:color w:val="000000"/>
          <w:sz w:val="22"/>
          <w:szCs w:val="22"/>
        </w:rPr>
        <w:t>B</w:t>
      </w:r>
      <w:r w:rsidRPr="00D3003B">
        <w:rPr>
          <w:rFonts w:asciiTheme="minorHAnsi" w:hAnsiTheme="minorHAnsi" w:cstheme="minorHAnsi"/>
          <w:color w:val="000000"/>
          <w:sz w:val="22"/>
          <w:szCs w:val="22"/>
        </w:rPr>
        <w:t xml:space="preserve">asin </w:t>
      </w:r>
      <w:r w:rsidR="00942AFE">
        <w:rPr>
          <w:rFonts w:asciiTheme="minorHAnsi" w:hAnsiTheme="minorHAnsi" w:cstheme="minorHAnsi"/>
          <w:color w:val="000000"/>
          <w:sz w:val="22"/>
          <w:szCs w:val="22"/>
        </w:rPr>
        <w:t>P</w:t>
      </w:r>
      <w:r w:rsidRPr="00D3003B">
        <w:rPr>
          <w:rFonts w:asciiTheme="minorHAnsi" w:hAnsiTheme="minorHAnsi" w:cstheme="minorHAnsi"/>
          <w:color w:val="000000"/>
          <w:sz w:val="22"/>
          <w:szCs w:val="22"/>
        </w:rPr>
        <w:t xml:space="preserve">lan </w:t>
      </w:r>
      <w:r w:rsidR="00942AFE">
        <w:rPr>
          <w:rFonts w:asciiTheme="minorHAnsi" w:hAnsiTheme="minorHAnsi" w:cstheme="minorHAnsi"/>
          <w:color w:val="000000"/>
          <w:sz w:val="22"/>
          <w:szCs w:val="22"/>
        </w:rPr>
        <w:t>Antidegradation O</w:t>
      </w:r>
      <w:r w:rsidRPr="00D3003B">
        <w:rPr>
          <w:rFonts w:asciiTheme="minorHAnsi" w:hAnsiTheme="minorHAnsi" w:cstheme="minorHAnsi"/>
          <w:color w:val="000000"/>
          <w:sz w:val="22"/>
          <w:szCs w:val="22"/>
        </w:rPr>
        <w:t xml:space="preserve">bjectives </w:t>
      </w:r>
      <w:r w:rsidR="00942AFE">
        <w:rPr>
          <w:rFonts w:asciiTheme="minorHAnsi" w:hAnsiTheme="minorHAnsi" w:cstheme="minorHAnsi"/>
          <w:color w:val="000000"/>
          <w:sz w:val="22"/>
          <w:szCs w:val="22"/>
        </w:rPr>
        <w:t>since 2004</w:t>
      </w:r>
      <w:r w:rsidRPr="00D3003B">
        <w:rPr>
          <w:rFonts w:asciiTheme="minorHAnsi" w:hAnsiTheme="minorHAnsi" w:cstheme="minorHAnsi"/>
          <w:color w:val="000000"/>
          <w:sz w:val="22"/>
          <w:szCs w:val="22"/>
        </w:rPr>
        <w:t xml:space="preserve"> (</w:t>
      </w:r>
      <w:r w:rsidR="00457736">
        <w:rPr>
          <w:rFonts w:asciiTheme="minorHAnsi" w:hAnsiTheme="minorHAnsi" w:cstheme="minorHAnsi"/>
          <w:color w:val="000000"/>
          <w:sz w:val="22"/>
          <w:szCs w:val="22"/>
        </w:rPr>
        <w:t>examples</w:t>
      </w:r>
      <w:r w:rsidRPr="00D3003B">
        <w:rPr>
          <w:rFonts w:asciiTheme="minorHAnsi" w:hAnsiTheme="minorHAnsi" w:cstheme="minorHAnsi"/>
          <w:color w:val="000000"/>
          <w:sz w:val="22"/>
          <w:szCs w:val="22"/>
        </w:rPr>
        <w:t>: Menifee, Perris-South</w:t>
      </w:r>
      <w:r w:rsidR="00942AFE">
        <w:rPr>
          <w:rFonts w:asciiTheme="minorHAnsi" w:hAnsiTheme="minorHAnsi" w:cstheme="minorHAnsi"/>
          <w:color w:val="000000"/>
          <w:sz w:val="22"/>
          <w:szCs w:val="22"/>
        </w:rPr>
        <w:t>,</w:t>
      </w:r>
      <w:r w:rsidRPr="00D3003B">
        <w:rPr>
          <w:rFonts w:asciiTheme="minorHAnsi" w:hAnsiTheme="minorHAnsi" w:cstheme="minorHAnsi"/>
          <w:color w:val="000000"/>
          <w:sz w:val="22"/>
          <w:szCs w:val="22"/>
        </w:rPr>
        <w:t xml:space="preserve"> and Chino-South</w:t>
      </w:r>
      <w:r w:rsidR="00942AFE">
        <w:rPr>
          <w:rFonts w:asciiTheme="minorHAnsi" w:hAnsiTheme="minorHAnsi" w:cstheme="minorHAnsi"/>
          <w:color w:val="000000"/>
          <w:sz w:val="22"/>
          <w:szCs w:val="22"/>
        </w:rPr>
        <w:t xml:space="preserve"> GMZs</w:t>
      </w:r>
      <w:r w:rsidRPr="00D3003B">
        <w:rPr>
          <w:rFonts w:asciiTheme="minorHAnsi" w:hAnsiTheme="minorHAnsi" w:cstheme="minorHAnsi"/>
          <w:color w:val="000000"/>
          <w:sz w:val="22"/>
          <w:szCs w:val="22"/>
        </w:rPr>
        <w:t xml:space="preserve">) and very few of these </w:t>
      </w:r>
      <w:r w:rsidR="00942AFE">
        <w:rPr>
          <w:rFonts w:asciiTheme="minorHAnsi" w:hAnsiTheme="minorHAnsi" w:cstheme="minorHAnsi"/>
          <w:color w:val="000000"/>
          <w:sz w:val="22"/>
          <w:szCs w:val="22"/>
        </w:rPr>
        <w:t>GMZs</w:t>
      </w:r>
      <w:r w:rsidRPr="00D3003B">
        <w:rPr>
          <w:rFonts w:asciiTheme="minorHAnsi" w:hAnsiTheme="minorHAnsi" w:cstheme="minorHAnsi"/>
          <w:color w:val="000000"/>
          <w:sz w:val="22"/>
          <w:szCs w:val="22"/>
        </w:rPr>
        <w:t xml:space="preserve"> have </w:t>
      </w:r>
      <w:r w:rsidR="00942AFE">
        <w:rPr>
          <w:rFonts w:asciiTheme="minorHAnsi" w:hAnsiTheme="minorHAnsi" w:cstheme="minorHAnsi"/>
          <w:color w:val="000000"/>
          <w:sz w:val="22"/>
          <w:szCs w:val="22"/>
        </w:rPr>
        <w:t xml:space="preserve">overall </w:t>
      </w:r>
      <w:r w:rsidRPr="00D3003B">
        <w:rPr>
          <w:rFonts w:asciiTheme="minorHAnsi" w:hAnsiTheme="minorHAnsi" w:cstheme="minorHAnsi"/>
          <w:color w:val="000000"/>
          <w:sz w:val="22"/>
          <w:szCs w:val="22"/>
        </w:rPr>
        <w:t xml:space="preserve">water quality trends that suggest assimilative capacity </w:t>
      </w:r>
      <w:r w:rsidR="00E80094">
        <w:rPr>
          <w:rFonts w:asciiTheme="minorHAnsi" w:hAnsiTheme="minorHAnsi" w:cstheme="minorHAnsi"/>
          <w:color w:val="000000"/>
          <w:sz w:val="22"/>
          <w:szCs w:val="22"/>
        </w:rPr>
        <w:t xml:space="preserve">can </w:t>
      </w:r>
      <w:r w:rsidRPr="00D3003B">
        <w:rPr>
          <w:rFonts w:asciiTheme="minorHAnsi" w:hAnsiTheme="minorHAnsi" w:cstheme="minorHAnsi"/>
          <w:color w:val="000000"/>
          <w:sz w:val="22"/>
          <w:szCs w:val="22"/>
        </w:rPr>
        <w:t>be achieved</w:t>
      </w:r>
      <w:r w:rsidR="00942AFE">
        <w:rPr>
          <w:rFonts w:asciiTheme="minorHAnsi" w:hAnsiTheme="minorHAnsi" w:cstheme="minorHAnsi"/>
          <w:color w:val="000000"/>
          <w:sz w:val="22"/>
          <w:szCs w:val="22"/>
        </w:rPr>
        <w:t xml:space="preserve"> in the near-term</w:t>
      </w:r>
      <w:r w:rsidRPr="00D3003B">
        <w:rPr>
          <w:rFonts w:asciiTheme="minorHAnsi" w:hAnsiTheme="minorHAnsi" w:cstheme="minorHAnsi"/>
          <w:color w:val="000000"/>
          <w:sz w:val="22"/>
          <w:szCs w:val="22"/>
        </w:rPr>
        <w:t>.</w:t>
      </w:r>
      <w:r w:rsidR="00942AFE">
        <w:rPr>
          <w:rFonts w:asciiTheme="minorHAnsi" w:hAnsiTheme="minorHAnsi" w:cstheme="minorHAnsi"/>
          <w:color w:val="000000"/>
          <w:sz w:val="22"/>
          <w:szCs w:val="22"/>
        </w:rPr>
        <w:t xml:space="preserve"> At this stage of implementation of the Basin Plan SNMP, </w:t>
      </w:r>
      <w:r w:rsidR="0071062D">
        <w:rPr>
          <w:rFonts w:asciiTheme="minorHAnsi" w:hAnsiTheme="minorHAnsi" w:cstheme="minorHAnsi"/>
          <w:color w:val="000000"/>
          <w:sz w:val="22"/>
          <w:szCs w:val="22"/>
        </w:rPr>
        <w:t xml:space="preserve">and in consideration of the 2019 Recycled Water Policy requirements and guidelines, </w:t>
      </w:r>
      <w:r w:rsidR="00942AFE">
        <w:rPr>
          <w:rFonts w:asciiTheme="minorHAnsi" w:hAnsiTheme="minorHAnsi" w:cstheme="minorHAnsi"/>
          <w:color w:val="000000"/>
          <w:sz w:val="22"/>
          <w:szCs w:val="22"/>
        </w:rPr>
        <w:t xml:space="preserve">it is appropriate to look back at what the Task Force has learned in implementing the 2005 GMP and leverage the lessons into developing a more efficient, yet robust, approach to the 2022 GMP.  </w:t>
      </w:r>
      <w:r w:rsidR="0071062D">
        <w:rPr>
          <w:rFonts w:asciiTheme="minorHAnsi" w:hAnsiTheme="minorHAnsi" w:cstheme="minorHAnsi"/>
          <w:color w:val="000000"/>
          <w:sz w:val="22"/>
          <w:szCs w:val="22"/>
        </w:rPr>
        <w:t>Accordingly, the goals of the 2022 GMP are to:</w:t>
      </w:r>
    </w:p>
    <w:p w14:paraId="00A4C2D7" w14:textId="1AD847AA" w:rsidR="0071062D" w:rsidRDefault="0071062D" w:rsidP="00133081">
      <w:pPr>
        <w:pStyle w:val="ListParagraph"/>
        <w:numPr>
          <w:ilvl w:val="0"/>
          <w:numId w:val="22"/>
        </w:numPr>
        <w:spacing w:after="80"/>
        <w:contextualSpacing w:val="0"/>
        <w:jc w:val="left"/>
      </w:pPr>
      <w:r>
        <w:t>Document the groundwater monitoring network in each of the 35 GMZs</w:t>
      </w:r>
    </w:p>
    <w:p w14:paraId="0FBF2291" w14:textId="77777777" w:rsidR="0071062D" w:rsidRDefault="0071062D" w:rsidP="00133081">
      <w:pPr>
        <w:pStyle w:val="ListParagraph"/>
        <w:numPr>
          <w:ilvl w:val="0"/>
          <w:numId w:val="22"/>
        </w:numPr>
        <w:spacing w:after="80"/>
        <w:contextualSpacing w:val="0"/>
        <w:jc w:val="left"/>
      </w:pPr>
      <w:r>
        <w:t>Address potential data gaps, including:</w:t>
      </w:r>
    </w:p>
    <w:p w14:paraId="5883CC87" w14:textId="4E8998FE" w:rsidR="0071062D" w:rsidRDefault="0071062D" w:rsidP="00133081">
      <w:pPr>
        <w:pStyle w:val="ListParagraph"/>
        <w:numPr>
          <w:ilvl w:val="1"/>
          <w:numId w:val="22"/>
        </w:numPr>
        <w:spacing w:after="80"/>
        <w:contextualSpacing w:val="0"/>
        <w:jc w:val="left"/>
      </w:pPr>
      <w:r>
        <w:t xml:space="preserve">Assess each GMZ monitoring network to identify potential data gaps </w:t>
      </w:r>
    </w:p>
    <w:p w14:paraId="4BD36D86" w14:textId="0F5E9A45" w:rsidR="0071062D" w:rsidRDefault="0071062D" w:rsidP="00133081">
      <w:pPr>
        <w:pStyle w:val="ListParagraph"/>
        <w:numPr>
          <w:ilvl w:val="1"/>
          <w:numId w:val="22"/>
        </w:numPr>
        <w:spacing w:after="80"/>
        <w:contextualSpacing w:val="0"/>
        <w:jc w:val="left"/>
      </w:pPr>
      <w:r>
        <w:t xml:space="preserve">Define the additional information needs to </w:t>
      </w:r>
      <w:r w:rsidR="00E80094">
        <w:t>confirm</w:t>
      </w:r>
      <w:r>
        <w:t xml:space="preserve"> data gaps in the GMZ monitoring networks</w:t>
      </w:r>
    </w:p>
    <w:p w14:paraId="091D8919" w14:textId="0F038D17" w:rsidR="0071062D" w:rsidRDefault="0071062D" w:rsidP="00133081">
      <w:pPr>
        <w:pStyle w:val="ListParagraph"/>
        <w:numPr>
          <w:ilvl w:val="1"/>
          <w:numId w:val="22"/>
        </w:numPr>
        <w:spacing w:after="80"/>
        <w:contextualSpacing w:val="0"/>
        <w:jc w:val="left"/>
      </w:pPr>
      <w:r>
        <w:t>Define a process and schedule to obtain the information and fill any data gaps</w:t>
      </w:r>
    </w:p>
    <w:p w14:paraId="00C8AF04" w14:textId="7F6773FC" w:rsidR="0071062D" w:rsidRDefault="0071062D" w:rsidP="00133081">
      <w:pPr>
        <w:pStyle w:val="ListParagraph"/>
        <w:numPr>
          <w:ilvl w:val="0"/>
          <w:numId w:val="22"/>
        </w:numPr>
        <w:spacing w:after="80"/>
        <w:contextualSpacing w:val="0"/>
        <w:jc w:val="left"/>
      </w:pPr>
      <w:r>
        <w:lastRenderedPageBreak/>
        <w:t xml:space="preserve">Identify potential modifications to the technical methods used to compute </w:t>
      </w:r>
      <w:r w:rsidR="00CF0B52">
        <w:t>AWQ</w:t>
      </w:r>
      <w:r>
        <w:t xml:space="preserve"> and assimilative capacity</w:t>
      </w:r>
      <w:r w:rsidR="00FE7614">
        <w:t xml:space="preserve"> and a plan to pilot them and formalize the ongoing technical methods</w:t>
      </w:r>
      <w:r>
        <w:t>, including:</w:t>
      </w:r>
    </w:p>
    <w:p w14:paraId="238CBA00" w14:textId="35135E4F" w:rsidR="00FE7614" w:rsidRDefault="00FE7614" w:rsidP="00133081">
      <w:pPr>
        <w:pStyle w:val="ListParagraph"/>
        <w:numPr>
          <w:ilvl w:val="1"/>
          <w:numId w:val="22"/>
        </w:numPr>
        <w:spacing w:after="80"/>
        <w:contextualSpacing w:val="0"/>
        <w:jc w:val="left"/>
      </w:pPr>
      <w:r>
        <w:t>Document the key lessons learned from past technical work</w:t>
      </w:r>
    </w:p>
    <w:p w14:paraId="164871A4" w14:textId="742FEEE6" w:rsidR="0071062D" w:rsidRDefault="00FE7614" w:rsidP="00133081">
      <w:pPr>
        <w:pStyle w:val="ListParagraph"/>
        <w:numPr>
          <w:ilvl w:val="1"/>
          <w:numId w:val="22"/>
        </w:numPr>
        <w:spacing w:after="80"/>
        <w:contextualSpacing w:val="0"/>
        <w:jc w:val="left"/>
      </w:pPr>
      <w:r>
        <w:t>Document stakeholder input on the improved and/or alternative methods that should be considered</w:t>
      </w:r>
    </w:p>
    <w:p w14:paraId="4D2133BC" w14:textId="79CFD8F1" w:rsidR="0071062D" w:rsidRDefault="00FE7614" w:rsidP="00133081">
      <w:pPr>
        <w:pStyle w:val="ListParagraph"/>
        <w:numPr>
          <w:ilvl w:val="1"/>
          <w:numId w:val="22"/>
        </w:numPr>
        <w:spacing w:after="80"/>
        <w:contextualSpacing w:val="0"/>
        <w:jc w:val="left"/>
      </w:pPr>
      <w:r>
        <w:t>Define</w:t>
      </w:r>
      <w:r w:rsidR="0071062D">
        <w:t xml:space="preserve"> the scope of work to perform a</w:t>
      </w:r>
      <w:r>
        <w:t xml:space="preserve"> pilot study of the potential methodologic and process improvements (</w:t>
      </w:r>
      <w:r w:rsidR="00E80094">
        <w:t>AWQ Pilot Study</w:t>
      </w:r>
      <w:r w:rsidR="00457736">
        <w:t>)</w:t>
      </w:r>
    </w:p>
    <w:p w14:paraId="321E2213" w14:textId="2579DC3D" w:rsidR="00B2249C" w:rsidRDefault="00FE7614" w:rsidP="00133081">
      <w:pPr>
        <w:pStyle w:val="ListParagraph"/>
        <w:numPr>
          <w:ilvl w:val="0"/>
          <w:numId w:val="22"/>
        </w:numPr>
        <w:jc w:val="left"/>
      </w:pPr>
      <w:r>
        <w:t>Identify the</w:t>
      </w:r>
      <w:r w:rsidR="0071062D">
        <w:t xml:space="preserve"> work </w:t>
      </w:r>
      <w:r>
        <w:t xml:space="preserve">the Task Force will need to </w:t>
      </w:r>
      <w:r w:rsidR="0071062D">
        <w:t xml:space="preserve">perform </w:t>
      </w:r>
      <w:r>
        <w:t xml:space="preserve">to comply with the SNMP (including anticipated amendments to conform with the 2019 Recycled Water Policy) and to support the </w:t>
      </w:r>
      <w:r w:rsidR="00E80094">
        <w:t>Santa Ana Water</w:t>
      </w:r>
      <w:r>
        <w:t xml:space="preserve"> Board’s 5-year SNMP assessments that are due in April 2024 and April 2029</w:t>
      </w:r>
    </w:p>
    <w:p w14:paraId="54F9BEB8" w14:textId="77777777" w:rsidR="00B2249C" w:rsidRDefault="00B2249C">
      <w:pPr>
        <w:spacing w:after="0"/>
        <w:jc w:val="left"/>
      </w:pPr>
    </w:p>
    <w:p w14:paraId="23639CD6" w14:textId="77777777" w:rsidR="00B2249C" w:rsidRDefault="00B2249C">
      <w:pPr>
        <w:spacing w:after="0"/>
        <w:jc w:val="left"/>
      </w:pPr>
    </w:p>
    <w:p w14:paraId="4E597540" w14:textId="48F2B517" w:rsidR="00451A48" w:rsidRDefault="00451A48" w:rsidP="00451A48"/>
    <w:p w14:paraId="39905E35" w14:textId="17CE13B0" w:rsidR="00BA328A" w:rsidRDefault="00BA328A">
      <w:pPr>
        <w:spacing w:after="0"/>
        <w:jc w:val="left"/>
      </w:pPr>
      <w:r>
        <w:br w:type="page"/>
      </w:r>
    </w:p>
    <w:p w14:paraId="6799CE18" w14:textId="71CF88F0" w:rsidR="00457736" w:rsidRDefault="00457736" w:rsidP="00457736">
      <w:pPr>
        <w:pStyle w:val="Heading1"/>
      </w:pPr>
      <w:bookmarkStart w:id="26" w:name="_Toc117719784"/>
      <w:r>
        <w:lastRenderedPageBreak/>
        <w:t xml:space="preserve">Groundwater </w:t>
      </w:r>
      <w:r w:rsidR="00717E74">
        <w:t xml:space="preserve">Monitoring </w:t>
      </w:r>
      <w:r>
        <w:t xml:space="preserve">Program </w:t>
      </w:r>
      <w:r w:rsidRPr="00284C58">
        <w:t>Review</w:t>
      </w:r>
      <w:bookmarkEnd w:id="26"/>
    </w:p>
    <w:p w14:paraId="10B8DE16" w14:textId="6AC8CE9C" w:rsidR="00457736" w:rsidRDefault="00457736" w:rsidP="00457736">
      <w:r>
        <w:t xml:space="preserve">This section describes </w:t>
      </w:r>
      <w:r w:rsidR="002B1B5B">
        <w:t>(</w:t>
      </w:r>
      <w:proofErr w:type="spellStart"/>
      <w:r w:rsidR="002B1B5B">
        <w:t>i</w:t>
      </w:r>
      <w:proofErr w:type="spellEnd"/>
      <w:r w:rsidR="002B1B5B">
        <w:t xml:space="preserve">) </w:t>
      </w:r>
      <w:r>
        <w:t>the</w:t>
      </w:r>
      <w:r w:rsidR="002B1B5B">
        <w:t xml:space="preserve"> approach</w:t>
      </w:r>
      <w:r>
        <w:t xml:space="preserve"> that was implemented to </w:t>
      </w:r>
      <w:r w:rsidR="00DE6BB6">
        <w:t>educate</w:t>
      </w:r>
      <w:r>
        <w:t xml:space="preserve"> the Task Force members </w:t>
      </w:r>
      <w:r w:rsidR="002B1B5B">
        <w:t>and solicit input and feedback to inform the 2022 GMP, (ii) the data review and analysis that was performed to support the Task Force workshops and GMP update, (iii) the key findings and lessons learned over the history of implementing the 2005 GMP, and (iv) the stakeholder</w:t>
      </w:r>
      <w:r>
        <w:t xml:space="preserve"> feedback </w:t>
      </w:r>
      <w:r w:rsidR="002B1B5B">
        <w:t xml:space="preserve">received and relied on to prepare the </w:t>
      </w:r>
      <w:r>
        <w:t>2022 GMP.</w:t>
      </w:r>
    </w:p>
    <w:p w14:paraId="1F2CABEA" w14:textId="3C0729A6" w:rsidR="00457736" w:rsidRDefault="00457736" w:rsidP="00457736">
      <w:pPr>
        <w:pStyle w:val="Heading2"/>
      </w:pPr>
      <w:bookmarkStart w:id="27" w:name="_Toc117719785"/>
      <w:r>
        <w:t>Approach</w:t>
      </w:r>
      <w:r w:rsidR="000F7245">
        <w:t xml:space="preserve"> to Obtain Task Force Inpu</w:t>
      </w:r>
      <w:r w:rsidR="00F833F4">
        <w:t>t</w:t>
      </w:r>
      <w:bookmarkEnd w:id="27"/>
    </w:p>
    <w:p w14:paraId="33DF5CD4" w14:textId="708420A6" w:rsidR="003D73F0" w:rsidRDefault="00457736" w:rsidP="003D73F0">
      <w:r>
        <w:t xml:space="preserve">The current technical methods utilized to collect data and compute </w:t>
      </w:r>
      <w:proofErr w:type="gramStart"/>
      <w:r w:rsidR="00CF0B52">
        <w:t>AWQ</w:t>
      </w:r>
      <w:proofErr w:type="gramEnd"/>
      <w:r>
        <w:t xml:space="preserve"> and assimilative capacity were developed through a collaborative </w:t>
      </w:r>
      <w:r w:rsidR="00DA65ED">
        <w:t xml:space="preserve">stakeholder </w:t>
      </w:r>
      <w:r>
        <w:t xml:space="preserve">process </w:t>
      </w:r>
      <w:r w:rsidR="00DA65ED">
        <w:t xml:space="preserve">with </w:t>
      </w:r>
      <w:r>
        <w:t>the Task Force</w:t>
      </w:r>
      <w:r w:rsidR="00DE6BB6">
        <w:t xml:space="preserve"> that culminated in the 2004 Basin Plan amendment (see Section 1.4 of this Report)</w:t>
      </w:r>
      <w:r>
        <w:t xml:space="preserve">. To </w:t>
      </w:r>
      <w:r w:rsidR="00DA65ED">
        <w:t>prepare the</w:t>
      </w:r>
      <w:r>
        <w:t xml:space="preserve"> 2022 GMP, it was </w:t>
      </w:r>
      <w:r w:rsidR="000F7245">
        <w:t>important</w:t>
      </w:r>
      <w:r>
        <w:t xml:space="preserve"> to rely on a similar </w:t>
      </w:r>
      <w:r w:rsidR="00DE6BB6">
        <w:t xml:space="preserve">collaborative </w:t>
      </w:r>
      <w:r>
        <w:t xml:space="preserve">approach to obtain feedback from the Task Force members on </w:t>
      </w:r>
      <w:r w:rsidR="003D73F0">
        <w:t>potential adaptations to</w:t>
      </w:r>
      <w:r>
        <w:t xml:space="preserve"> </w:t>
      </w:r>
      <w:r w:rsidR="003D73F0">
        <w:t>the current program in a manner that will</w:t>
      </w:r>
      <w:r w:rsidR="00DA65ED">
        <w:t xml:space="preserve"> meet the requirements and goals of the 2022 GMP</w:t>
      </w:r>
      <w:r>
        <w:t xml:space="preserve">. From August 2021 through October 2022, West Yost led a series of workshops to educate the Task Force members and solicit questions and input on the </w:t>
      </w:r>
      <w:r w:rsidR="00D35929">
        <w:t xml:space="preserve">groundwater </w:t>
      </w:r>
      <w:r>
        <w:t>monitoring networks</w:t>
      </w:r>
      <w:r w:rsidR="003D73F0">
        <w:t xml:space="preserve">, </w:t>
      </w:r>
      <w:r w:rsidR="00D35929">
        <w:t xml:space="preserve">how to address potential data gaps, </w:t>
      </w:r>
      <w:r w:rsidR="003D73F0">
        <w:t xml:space="preserve">the </w:t>
      </w:r>
      <w:r>
        <w:t xml:space="preserve">technical approach to performing the </w:t>
      </w:r>
      <w:r w:rsidR="00CF0B52">
        <w:t>AWQ</w:t>
      </w:r>
      <w:r w:rsidR="003D73F0">
        <w:t xml:space="preserve">, and the work to be performed by the Task Force over the next </w:t>
      </w:r>
      <w:r w:rsidR="00DE6BB6">
        <w:t>seven</w:t>
      </w:r>
      <w:r w:rsidR="003D73F0">
        <w:t xml:space="preserve"> years</w:t>
      </w:r>
      <w:r w:rsidR="00DE6BB6">
        <w:t xml:space="preserve"> to comply with the Basin Plan SNMP</w:t>
      </w:r>
      <w:r>
        <w:t xml:space="preserve">. </w:t>
      </w:r>
      <w:r w:rsidR="003D73F0">
        <w:t xml:space="preserve">The workshop presentations covered a range of regulatory, policy, and technical topics. The content for the workshops was derived from existing reports, regulatory documents, and new data characterizations utilizing information from the recent 2018 </w:t>
      </w:r>
      <w:r w:rsidR="00EF650C">
        <w:t>AWQ</w:t>
      </w:r>
      <w:r w:rsidR="003D73F0">
        <w:t xml:space="preserve"> </w:t>
      </w:r>
      <w:proofErr w:type="spellStart"/>
      <w:r w:rsidR="003D73F0">
        <w:t>Recomputation</w:t>
      </w:r>
      <w:proofErr w:type="spellEnd"/>
      <w:r w:rsidR="003D73F0">
        <w:t xml:space="preserve"> (WSC, 2020). </w:t>
      </w:r>
    </w:p>
    <w:p w14:paraId="40967AEB" w14:textId="1AF90B75" w:rsidR="0002419B" w:rsidRDefault="00457736" w:rsidP="00457736">
      <w:r>
        <w:t>Table 2-1 lists the meeting dates, presentation ti</w:t>
      </w:r>
      <w:r w:rsidR="003D73F0">
        <w:t>t</w:t>
      </w:r>
      <w:r>
        <w:t>le</w:t>
      </w:r>
      <w:r w:rsidR="003D73F0">
        <w:t>s</w:t>
      </w:r>
      <w:r>
        <w:t>, and a</w:t>
      </w:r>
      <w:r w:rsidR="003D73F0">
        <w:t xml:space="preserve"> brief</w:t>
      </w:r>
      <w:r w:rsidR="0002419B">
        <w:t xml:space="preserve"> explanation of the main </w:t>
      </w:r>
      <w:r>
        <w:t>presentation content.</w:t>
      </w:r>
      <w:r w:rsidR="0002419B">
        <w:t xml:space="preserve"> Appendix D of this report contains the presentation materials from each workshop (if applicable).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Description w:val="Example table"/>
      </w:tblPr>
      <w:tblGrid>
        <w:gridCol w:w="2065"/>
        <w:gridCol w:w="3420"/>
        <w:gridCol w:w="3870"/>
      </w:tblGrid>
      <w:tr w:rsidR="00DE6BB6" w:rsidRPr="00117F75" w14:paraId="61A72B3D" w14:textId="77777777">
        <w:trPr>
          <w:trHeight w:val="570"/>
          <w:tblHeader/>
        </w:trPr>
        <w:tc>
          <w:tcPr>
            <w:tcW w:w="9355" w:type="dxa"/>
            <w:gridSpan w:val="3"/>
            <w:tcBorders>
              <w:bottom w:val="single" w:sz="4" w:space="0" w:color="FFFFFF"/>
            </w:tcBorders>
            <w:vAlign w:val="center"/>
            <w:hideMark/>
          </w:tcPr>
          <w:p w14:paraId="77250113" w14:textId="77777777" w:rsidR="00DE6BB6" w:rsidRPr="00792E01" w:rsidRDefault="00DE6BB6">
            <w:pPr>
              <w:keepNext/>
              <w:spacing w:before="120" w:after="120"/>
              <w:jc w:val="center"/>
              <w:rPr>
                <w:rFonts w:ascii="Calibri" w:hAnsi="Calibri" w:cs="Calibri"/>
                <w:b/>
                <w:szCs w:val="28"/>
              </w:rPr>
            </w:pPr>
            <w:bookmarkStart w:id="28" w:name="_Hlk117706039"/>
            <w:r w:rsidRPr="00117F75">
              <w:rPr>
                <w:rFonts w:ascii="Calibri" w:hAnsi="Calibri" w:cs="Calibri"/>
                <w:b/>
                <w:szCs w:val="28"/>
              </w:rPr>
              <w:t>Table 2-1. Task Force Workshops to Support Development of the 2022 GMP</w:t>
            </w:r>
            <w:bookmarkEnd w:id="28"/>
          </w:p>
        </w:tc>
      </w:tr>
      <w:tr w:rsidR="00DE6BB6" w:rsidRPr="00117F75" w14:paraId="3EFAFBA4" w14:textId="77777777" w:rsidTr="00134F52">
        <w:trPr>
          <w:trHeight w:val="125"/>
          <w:tblHeader/>
        </w:trPr>
        <w:tc>
          <w:tcPr>
            <w:tcW w:w="2065" w:type="dxa"/>
            <w:tcBorders>
              <w:top w:val="single" w:sz="4" w:space="0" w:color="FFFFFF"/>
              <w:left w:val="single" w:sz="4" w:space="0" w:color="5B6770"/>
              <w:bottom w:val="single" w:sz="4" w:space="0" w:color="FFFFFF"/>
              <w:right w:val="single" w:sz="4" w:space="0" w:color="FFFFFF"/>
            </w:tcBorders>
            <w:shd w:val="clear" w:color="auto" w:fill="001489"/>
            <w:vAlign w:val="bottom"/>
            <w:hideMark/>
          </w:tcPr>
          <w:p w14:paraId="6532AE61" w14:textId="77777777" w:rsidR="00DE6BB6" w:rsidRPr="00117F75" w:rsidRDefault="00DE6BB6">
            <w:pPr>
              <w:spacing w:before="30" w:after="30"/>
              <w:jc w:val="center"/>
              <w:rPr>
                <w:rFonts w:ascii="Calibri" w:hAnsi="Calibri" w:cs="Calibri"/>
                <w:color w:val="FFFFFF"/>
                <w:sz w:val="20"/>
              </w:rPr>
            </w:pPr>
            <w:r w:rsidRPr="00117F75">
              <w:rPr>
                <w:rFonts w:ascii="Calibri" w:hAnsi="Calibri"/>
                <w:sz w:val="20"/>
              </w:rPr>
              <w:t>Date</w:t>
            </w:r>
          </w:p>
        </w:tc>
        <w:tc>
          <w:tcPr>
            <w:tcW w:w="3420" w:type="dxa"/>
            <w:tcBorders>
              <w:top w:val="single" w:sz="4" w:space="0" w:color="FFFFFF"/>
              <w:left w:val="single" w:sz="4" w:space="0" w:color="FFFFFF"/>
              <w:bottom w:val="single" w:sz="4" w:space="0" w:color="FFFFFF"/>
              <w:right w:val="single" w:sz="4" w:space="0" w:color="FFFFFF"/>
            </w:tcBorders>
            <w:shd w:val="clear" w:color="auto" w:fill="001489"/>
            <w:vAlign w:val="bottom"/>
            <w:hideMark/>
          </w:tcPr>
          <w:p w14:paraId="6458BCAB" w14:textId="77777777" w:rsidR="00DE6BB6" w:rsidRPr="00117F75" w:rsidRDefault="00DE6BB6">
            <w:pPr>
              <w:spacing w:before="30" w:after="30"/>
              <w:jc w:val="center"/>
              <w:rPr>
                <w:rFonts w:ascii="Calibri" w:hAnsi="Calibri" w:cs="Calibri"/>
                <w:color w:val="FFFFFF"/>
                <w:sz w:val="20"/>
              </w:rPr>
            </w:pPr>
            <w:r w:rsidRPr="00117F75">
              <w:rPr>
                <w:rFonts w:ascii="Calibri" w:hAnsi="Calibri"/>
                <w:sz w:val="20"/>
              </w:rPr>
              <w:t>Presentation Title</w:t>
            </w:r>
          </w:p>
        </w:tc>
        <w:tc>
          <w:tcPr>
            <w:tcW w:w="3870" w:type="dxa"/>
            <w:tcBorders>
              <w:top w:val="single" w:sz="4" w:space="0" w:color="FFFFFF"/>
              <w:left w:val="single" w:sz="4" w:space="0" w:color="FFFFFF"/>
              <w:bottom w:val="single" w:sz="4" w:space="0" w:color="FFFFFF"/>
              <w:right w:val="single" w:sz="4" w:space="0" w:color="auto"/>
            </w:tcBorders>
            <w:shd w:val="clear" w:color="auto" w:fill="001489"/>
            <w:vAlign w:val="bottom"/>
            <w:hideMark/>
          </w:tcPr>
          <w:p w14:paraId="3B4AC882" w14:textId="77777777" w:rsidR="00DE6BB6" w:rsidRPr="00117F75" w:rsidRDefault="00DE6BB6">
            <w:pPr>
              <w:spacing w:before="30" w:after="30"/>
              <w:jc w:val="center"/>
              <w:rPr>
                <w:rFonts w:ascii="Calibri" w:hAnsi="Calibri" w:cs="Calibri"/>
                <w:color w:val="FFFFFF"/>
                <w:sz w:val="20"/>
              </w:rPr>
            </w:pPr>
            <w:r w:rsidRPr="00117F75">
              <w:rPr>
                <w:rFonts w:ascii="Calibri" w:hAnsi="Calibri"/>
                <w:sz w:val="20"/>
              </w:rPr>
              <w:t>Presentation Contents</w:t>
            </w:r>
          </w:p>
        </w:tc>
      </w:tr>
      <w:tr w:rsidR="00DE6BB6" w:rsidRPr="00117F75" w14:paraId="4BBEC491" w14:textId="77777777" w:rsidTr="00134F52">
        <w:trPr>
          <w:trHeight w:val="300"/>
        </w:trPr>
        <w:tc>
          <w:tcPr>
            <w:tcW w:w="2065" w:type="dxa"/>
            <w:vAlign w:val="center"/>
          </w:tcPr>
          <w:p w14:paraId="3D94A94E" w14:textId="662A3B25" w:rsidR="00DE6BB6" w:rsidRPr="00117F75" w:rsidRDefault="00DE6BB6">
            <w:pPr>
              <w:spacing w:before="30" w:after="30"/>
              <w:rPr>
                <w:rFonts w:ascii="Calibri" w:hAnsi="Calibri" w:cs="Calibri"/>
                <w:color w:val="000000"/>
                <w:sz w:val="20"/>
              </w:rPr>
            </w:pPr>
            <w:r w:rsidRPr="00117F75">
              <w:rPr>
                <w:rFonts w:ascii="Calibri" w:hAnsi="Calibri" w:cs="Calibri"/>
                <w:sz w:val="20"/>
              </w:rPr>
              <w:t>August 24, 2021</w:t>
            </w:r>
            <w:r w:rsidR="00134F52" w:rsidRPr="00CC2641">
              <w:rPr>
                <w:rFonts w:ascii="Calibri" w:hAnsi="Calibri" w:cs="Calibri"/>
                <w:sz w:val="20"/>
                <w:vertAlign w:val="superscript"/>
              </w:rPr>
              <w:t>(a)</w:t>
            </w:r>
          </w:p>
        </w:tc>
        <w:tc>
          <w:tcPr>
            <w:tcW w:w="3420" w:type="dxa"/>
            <w:vAlign w:val="center"/>
          </w:tcPr>
          <w:p w14:paraId="0B2FF04D" w14:textId="77777777" w:rsidR="00DE6BB6" w:rsidRPr="00117F75" w:rsidRDefault="00DE6BB6">
            <w:pPr>
              <w:spacing w:before="30" w:after="30"/>
              <w:jc w:val="center"/>
              <w:rPr>
                <w:rFonts w:ascii="Calibri" w:hAnsi="Calibri" w:cs="Calibri"/>
                <w:color w:val="000000"/>
                <w:sz w:val="20"/>
              </w:rPr>
            </w:pPr>
            <w:r w:rsidRPr="00117F75">
              <w:rPr>
                <w:rFonts w:ascii="Calibri" w:hAnsi="Calibri" w:cs="Calibri"/>
                <w:sz w:val="20"/>
              </w:rPr>
              <w:t>Recycled Water Policy and How Does Santa Ana River Salt &amp; Nutrient Management Plan Measure Up?</w:t>
            </w:r>
          </w:p>
        </w:tc>
        <w:tc>
          <w:tcPr>
            <w:tcW w:w="3870" w:type="dxa"/>
            <w:vAlign w:val="center"/>
          </w:tcPr>
          <w:p w14:paraId="49228114" w14:textId="07E20F37" w:rsidR="00DE6BB6" w:rsidRPr="00117F75" w:rsidRDefault="00DE6BB6" w:rsidP="00E170DC">
            <w:pPr>
              <w:spacing w:before="30" w:after="30"/>
              <w:jc w:val="left"/>
              <w:rPr>
                <w:rFonts w:ascii="Calibri" w:hAnsi="Calibri" w:cs="Calibri"/>
                <w:color w:val="000000"/>
                <w:sz w:val="20"/>
              </w:rPr>
            </w:pPr>
            <w:r w:rsidRPr="00117F75">
              <w:rPr>
                <w:rFonts w:ascii="Calibri" w:hAnsi="Calibri" w:cs="Calibri"/>
                <w:sz w:val="20"/>
              </w:rPr>
              <w:t xml:space="preserve">Presented on the </w:t>
            </w:r>
            <w:r w:rsidR="00134F52">
              <w:rPr>
                <w:rFonts w:ascii="Calibri" w:hAnsi="Calibri" w:cs="Calibri"/>
                <w:sz w:val="20"/>
              </w:rPr>
              <w:t xml:space="preserve">Santa Ana Water Board </w:t>
            </w:r>
            <w:r w:rsidRPr="00117F75">
              <w:rPr>
                <w:rFonts w:ascii="Calibri" w:hAnsi="Calibri" w:cs="Calibri"/>
                <w:sz w:val="20"/>
              </w:rPr>
              <w:t>requirement</w:t>
            </w:r>
            <w:r w:rsidR="00134F52">
              <w:rPr>
                <w:rFonts w:ascii="Calibri" w:hAnsi="Calibri" w:cs="Calibri"/>
                <w:sz w:val="20"/>
              </w:rPr>
              <w:t xml:space="preserve"> to prepare the 2022 GMP, </w:t>
            </w:r>
            <w:r w:rsidRPr="00117F75">
              <w:rPr>
                <w:rFonts w:ascii="Calibri" w:hAnsi="Calibri" w:cs="Calibri"/>
                <w:sz w:val="20"/>
              </w:rPr>
              <w:t>the 2019 Recycled Water Policy</w:t>
            </w:r>
            <w:r w:rsidR="00134F52">
              <w:rPr>
                <w:rFonts w:ascii="Calibri" w:hAnsi="Calibri" w:cs="Calibri"/>
                <w:sz w:val="20"/>
              </w:rPr>
              <w:t>, and an overview of how the current Basin Plan SNMP aligns with the Recycled Water Policy requirements</w:t>
            </w:r>
          </w:p>
        </w:tc>
      </w:tr>
      <w:tr w:rsidR="00DE6BB6" w:rsidRPr="00117F75" w14:paraId="0A73F5B4" w14:textId="77777777" w:rsidTr="00134F52">
        <w:trPr>
          <w:trHeight w:val="300"/>
        </w:trPr>
        <w:tc>
          <w:tcPr>
            <w:tcW w:w="2065" w:type="dxa"/>
            <w:vAlign w:val="center"/>
          </w:tcPr>
          <w:p w14:paraId="7087C285" w14:textId="1CCF7339" w:rsidR="00DE6BB6" w:rsidRPr="00117F75" w:rsidRDefault="00DE6BB6" w:rsidP="00134F52">
            <w:pPr>
              <w:spacing w:before="30" w:after="30"/>
              <w:jc w:val="left"/>
              <w:rPr>
                <w:rFonts w:ascii="Calibri" w:hAnsi="Calibri" w:cs="Calibri"/>
                <w:iCs/>
                <w:sz w:val="20"/>
              </w:rPr>
            </w:pPr>
            <w:r w:rsidRPr="005058D0">
              <w:rPr>
                <w:rFonts w:ascii="Calibri" w:hAnsi="Calibri" w:cs="Calibri"/>
                <w:iCs/>
                <w:sz w:val="20"/>
              </w:rPr>
              <w:t>September 23, 2021</w:t>
            </w:r>
            <w:r w:rsidR="00134F52" w:rsidRPr="00CC2641">
              <w:rPr>
                <w:rFonts w:ascii="Calibri" w:hAnsi="Calibri" w:cs="Calibri"/>
                <w:sz w:val="20"/>
                <w:vertAlign w:val="superscript"/>
              </w:rPr>
              <w:t>(b)</w:t>
            </w:r>
          </w:p>
        </w:tc>
        <w:tc>
          <w:tcPr>
            <w:tcW w:w="3420" w:type="dxa"/>
            <w:vAlign w:val="center"/>
          </w:tcPr>
          <w:p w14:paraId="233E4BF9" w14:textId="4979A459" w:rsidR="00DE6BB6" w:rsidRPr="00117F75" w:rsidRDefault="00DE6BB6">
            <w:pPr>
              <w:spacing w:before="30" w:after="30"/>
              <w:jc w:val="center"/>
              <w:rPr>
                <w:rFonts w:ascii="Calibri" w:hAnsi="Calibri" w:cs="Calibri"/>
                <w:iCs/>
                <w:sz w:val="20"/>
              </w:rPr>
            </w:pPr>
            <w:r w:rsidRPr="005058D0">
              <w:rPr>
                <w:rFonts w:ascii="Calibri" w:hAnsi="Calibri" w:cs="Calibri"/>
                <w:iCs/>
                <w:sz w:val="20"/>
              </w:rPr>
              <w:t xml:space="preserve">Data Request </w:t>
            </w:r>
          </w:p>
        </w:tc>
        <w:tc>
          <w:tcPr>
            <w:tcW w:w="3870" w:type="dxa"/>
            <w:vAlign w:val="center"/>
          </w:tcPr>
          <w:p w14:paraId="27F5596A" w14:textId="28171D5A" w:rsidR="00DE6BB6" w:rsidRPr="00A36CD3" w:rsidRDefault="00DE6BB6" w:rsidP="00E170DC">
            <w:pPr>
              <w:spacing w:before="30" w:after="30"/>
              <w:jc w:val="left"/>
              <w:rPr>
                <w:rFonts w:ascii="Calibri" w:hAnsi="Calibri"/>
                <w:sz w:val="20"/>
              </w:rPr>
            </w:pPr>
            <w:r w:rsidRPr="00A36CD3">
              <w:rPr>
                <w:rFonts w:ascii="Calibri" w:hAnsi="Calibri" w:cs="Calibri"/>
                <w:sz w:val="20"/>
              </w:rPr>
              <w:t xml:space="preserve">Provided </w:t>
            </w:r>
            <w:r w:rsidR="00134F52">
              <w:rPr>
                <w:rFonts w:ascii="Calibri" w:hAnsi="Calibri" w:cs="Calibri"/>
                <w:sz w:val="20"/>
              </w:rPr>
              <w:t>an overview of the data request that will be sent</w:t>
            </w:r>
            <w:r w:rsidRPr="00A36CD3">
              <w:rPr>
                <w:rFonts w:ascii="Calibri" w:hAnsi="Calibri" w:cs="Calibri"/>
                <w:sz w:val="20"/>
              </w:rPr>
              <w:t xml:space="preserve"> </w:t>
            </w:r>
            <w:r w:rsidR="00134F52">
              <w:rPr>
                <w:rFonts w:ascii="Calibri" w:hAnsi="Calibri" w:cs="Calibri"/>
                <w:sz w:val="20"/>
              </w:rPr>
              <w:t xml:space="preserve">to the Task Force members to compile information about their ongoing monitoring efforts </w:t>
            </w:r>
          </w:p>
        </w:tc>
      </w:tr>
      <w:tr w:rsidR="00DE6BB6" w:rsidRPr="00117F75" w14:paraId="7DDAD845" w14:textId="77777777" w:rsidTr="00134F52">
        <w:trPr>
          <w:trHeight w:val="300"/>
        </w:trPr>
        <w:tc>
          <w:tcPr>
            <w:tcW w:w="2065" w:type="dxa"/>
            <w:tcBorders>
              <w:bottom w:val="single" w:sz="4" w:space="0" w:color="auto"/>
            </w:tcBorders>
            <w:vAlign w:val="center"/>
          </w:tcPr>
          <w:p w14:paraId="1DA5A4BA" w14:textId="58B74A82" w:rsidR="00DE6BB6" w:rsidRPr="00117F75" w:rsidRDefault="00DE6BB6">
            <w:pPr>
              <w:spacing w:before="30" w:after="30"/>
              <w:rPr>
                <w:rFonts w:ascii="Calibri" w:hAnsi="Calibri" w:cs="Calibri"/>
                <w:color w:val="000000"/>
                <w:sz w:val="20"/>
              </w:rPr>
            </w:pPr>
            <w:r w:rsidRPr="005058D0">
              <w:rPr>
                <w:rFonts w:ascii="Calibri" w:hAnsi="Calibri" w:cs="Calibri"/>
                <w:color w:val="000000"/>
                <w:sz w:val="20"/>
              </w:rPr>
              <w:t>October 28, 2021</w:t>
            </w:r>
            <w:r w:rsidR="00134F52" w:rsidRPr="00CC2641">
              <w:rPr>
                <w:rFonts w:ascii="Calibri" w:hAnsi="Calibri" w:cs="Calibri"/>
                <w:sz w:val="20"/>
                <w:vertAlign w:val="superscript"/>
              </w:rPr>
              <w:t>(a)</w:t>
            </w:r>
          </w:p>
        </w:tc>
        <w:tc>
          <w:tcPr>
            <w:tcW w:w="3420" w:type="dxa"/>
            <w:tcBorders>
              <w:bottom w:val="single" w:sz="4" w:space="0" w:color="auto"/>
            </w:tcBorders>
            <w:vAlign w:val="center"/>
          </w:tcPr>
          <w:p w14:paraId="76AD3F18" w14:textId="77777777" w:rsidR="00DE6BB6" w:rsidRPr="00117F75" w:rsidRDefault="00DE6BB6">
            <w:pPr>
              <w:spacing w:before="30" w:after="30"/>
              <w:jc w:val="center"/>
              <w:rPr>
                <w:rFonts w:ascii="Calibri" w:hAnsi="Calibri" w:cs="Calibri"/>
                <w:color w:val="000000"/>
                <w:sz w:val="20"/>
              </w:rPr>
            </w:pPr>
            <w:r w:rsidRPr="005058D0">
              <w:rPr>
                <w:rFonts w:ascii="Calibri" w:hAnsi="Calibri" w:cs="Calibri"/>
                <w:color w:val="000000"/>
                <w:sz w:val="20"/>
              </w:rPr>
              <w:t>Critical Analysis of SAR SNMP Ambient Water Quality and Alternative Methods to Comply Pt. 1: What Have We Learned in 17 Years of Implementation?</w:t>
            </w:r>
          </w:p>
        </w:tc>
        <w:tc>
          <w:tcPr>
            <w:tcW w:w="3870" w:type="dxa"/>
            <w:tcBorders>
              <w:bottom w:val="single" w:sz="4" w:space="0" w:color="auto"/>
            </w:tcBorders>
            <w:vAlign w:val="center"/>
          </w:tcPr>
          <w:p w14:paraId="6F5A7F84" w14:textId="5A0FB1F1" w:rsidR="00DE6BB6" w:rsidRPr="00117F75" w:rsidRDefault="00134F52" w:rsidP="00E170DC">
            <w:pPr>
              <w:spacing w:before="30" w:after="30"/>
              <w:jc w:val="left"/>
              <w:rPr>
                <w:rFonts w:ascii="Calibri" w:hAnsi="Calibri" w:cs="Calibri"/>
                <w:color w:val="000000"/>
                <w:sz w:val="20"/>
              </w:rPr>
            </w:pPr>
            <w:r>
              <w:rPr>
                <w:rFonts w:ascii="Calibri" w:hAnsi="Calibri" w:cs="Calibri"/>
                <w:sz w:val="20"/>
              </w:rPr>
              <w:t>Provided an overview of</w:t>
            </w:r>
            <w:r w:rsidR="00DE6BB6" w:rsidRPr="005058D0">
              <w:rPr>
                <w:rFonts w:ascii="Calibri" w:hAnsi="Calibri" w:cs="Calibri"/>
                <w:sz w:val="20"/>
              </w:rPr>
              <w:t xml:space="preserve"> the </w:t>
            </w:r>
            <w:r>
              <w:rPr>
                <w:rFonts w:ascii="Calibri" w:hAnsi="Calibri" w:cs="Calibri"/>
                <w:sz w:val="20"/>
              </w:rPr>
              <w:t xml:space="preserve">technical </w:t>
            </w:r>
            <w:r w:rsidR="00DE6BB6" w:rsidRPr="005058D0">
              <w:rPr>
                <w:rFonts w:ascii="Calibri" w:hAnsi="Calibri" w:cs="Calibri"/>
                <w:sz w:val="20"/>
              </w:rPr>
              <w:t xml:space="preserve">methodology </w:t>
            </w:r>
            <w:r>
              <w:rPr>
                <w:rFonts w:ascii="Calibri" w:hAnsi="Calibri" w:cs="Calibri"/>
                <w:sz w:val="20"/>
              </w:rPr>
              <w:t>utilized to compute</w:t>
            </w:r>
            <w:r w:rsidR="00DE6BB6" w:rsidRPr="005058D0">
              <w:rPr>
                <w:rFonts w:ascii="Calibri" w:hAnsi="Calibri" w:cs="Calibri"/>
                <w:sz w:val="20"/>
              </w:rPr>
              <w:t xml:space="preserve"> </w:t>
            </w:r>
            <w:r w:rsidR="00CF0B52">
              <w:rPr>
                <w:rFonts w:ascii="Calibri" w:hAnsi="Calibri" w:cs="Calibri"/>
                <w:sz w:val="20"/>
              </w:rPr>
              <w:t>AWQ</w:t>
            </w:r>
            <w:r>
              <w:rPr>
                <w:rFonts w:ascii="Calibri" w:hAnsi="Calibri" w:cs="Calibri"/>
                <w:sz w:val="20"/>
              </w:rPr>
              <w:t xml:space="preserve">, the lessons learned about the methods and state of water quality in the Watershed, </w:t>
            </w:r>
            <w:r w:rsidRPr="005058D0">
              <w:rPr>
                <w:rFonts w:ascii="Calibri" w:hAnsi="Calibri" w:cs="Calibri"/>
                <w:sz w:val="20"/>
              </w:rPr>
              <w:t>highlighted the areas that the current program does well</w:t>
            </w:r>
            <w:r>
              <w:rPr>
                <w:rFonts w:ascii="Calibri" w:hAnsi="Calibri" w:cs="Calibri"/>
                <w:sz w:val="20"/>
              </w:rPr>
              <w:t>,</w:t>
            </w:r>
            <w:r w:rsidRPr="005058D0">
              <w:rPr>
                <w:rFonts w:ascii="Calibri" w:hAnsi="Calibri" w:cs="Calibri"/>
                <w:sz w:val="20"/>
              </w:rPr>
              <w:t xml:space="preserve"> </w:t>
            </w:r>
            <w:r w:rsidR="00DE6BB6" w:rsidRPr="005058D0">
              <w:rPr>
                <w:rFonts w:ascii="Calibri" w:hAnsi="Calibri" w:cs="Calibri"/>
                <w:sz w:val="20"/>
              </w:rPr>
              <w:t xml:space="preserve">and </w:t>
            </w:r>
            <w:r>
              <w:rPr>
                <w:rFonts w:ascii="Calibri" w:hAnsi="Calibri" w:cs="Calibri"/>
                <w:sz w:val="20"/>
              </w:rPr>
              <w:t xml:space="preserve">recommended features of the methods </w:t>
            </w:r>
            <w:r w:rsidR="00DE6BB6" w:rsidRPr="005058D0">
              <w:rPr>
                <w:rFonts w:ascii="Calibri" w:hAnsi="Calibri" w:cs="Calibri"/>
                <w:sz w:val="20"/>
              </w:rPr>
              <w:t xml:space="preserve">that </w:t>
            </w:r>
            <w:r>
              <w:rPr>
                <w:rFonts w:ascii="Calibri" w:hAnsi="Calibri" w:cs="Calibri"/>
                <w:sz w:val="20"/>
              </w:rPr>
              <w:t>could</w:t>
            </w:r>
            <w:r w:rsidR="00DE6BB6" w:rsidRPr="005058D0">
              <w:rPr>
                <w:rFonts w:ascii="Calibri" w:hAnsi="Calibri" w:cs="Calibri"/>
                <w:sz w:val="20"/>
              </w:rPr>
              <w:t xml:space="preserve"> be</w:t>
            </w:r>
            <w:r>
              <w:rPr>
                <w:rFonts w:ascii="Calibri" w:hAnsi="Calibri" w:cs="Calibri"/>
                <w:sz w:val="20"/>
              </w:rPr>
              <w:t xml:space="preserve"> updated and improved</w:t>
            </w:r>
          </w:p>
        </w:tc>
      </w:tr>
      <w:tr w:rsidR="00DE6BB6" w:rsidRPr="00117F75" w14:paraId="18EA1B9D" w14:textId="77777777" w:rsidTr="00F4416D">
        <w:trPr>
          <w:cantSplit/>
          <w:trHeight w:val="300"/>
        </w:trPr>
        <w:tc>
          <w:tcPr>
            <w:tcW w:w="2065" w:type="dxa"/>
            <w:tcBorders>
              <w:bottom w:val="single" w:sz="4" w:space="0" w:color="auto"/>
            </w:tcBorders>
            <w:vAlign w:val="center"/>
          </w:tcPr>
          <w:p w14:paraId="4FA7CFDE" w14:textId="54EFC335" w:rsidR="00DE6BB6" w:rsidRPr="00117F75" w:rsidRDefault="00DE6BB6">
            <w:pPr>
              <w:spacing w:before="30" w:after="30"/>
              <w:rPr>
                <w:rFonts w:ascii="Calibri" w:hAnsi="Calibri" w:cs="Calibri"/>
                <w:color w:val="000000"/>
                <w:sz w:val="20"/>
              </w:rPr>
            </w:pPr>
            <w:r w:rsidRPr="00491DFF">
              <w:rPr>
                <w:rFonts w:ascii="Calibri" w:hAnsi="Calibri" w:cs="Calibri"/>
                <w:color w:val="000000"/>
                <w:sz w:val="20"/>
              </w:rPr>
              <w:lastRenderedPageBreak/>
              <w:t>December 13, 2021</w:t>
            </w:r>
            <w:r w:rsidR="00134F52" w:rsidRPr="00CC2641">
              <w:rPr>
                <w:rFonts w:ascii="Calibri" w:hAnsi="Calibri" w:cs="Calibri"/>
                <w:sz w:val="20"/>
                <w:vertAlign w:val="superscript"/>
              </w:rPr>
              <w:t>(a)</w:t>
            </w:r>
          </w:p>
        </w:tc>
        <w:tc>
          <w:tcPr>
            <w:tcW w:w="3420" w:type="dxa"/>
            <w:tcBorders>
              <w:bottom w:val="single" w:sz="4" w:space="0" w:color="auto"/>
            </w:tcBorders>
            <w:vAlign w:val="center"/>
          </w:tcPr>
          <w:p w14:paraId="73DE5AC7" w14:textId="77777777" w:rsidR="00DE6BB6" w:rsidRPr="00117F75" w:rsidRDefault="00DE6BB6">
            <w:pPr>
              <w:spacing w:before="30" w:after="30"/>
              <w:jc w:val="center"/>
              <w:rPr>
                <w:rFonts w:ascii="Calibri" w:hAnsi="Calibri" w:cs="Calibri"/>
                <w:color w:val="000000"/>
                <w:sz w:val="20"/>
              </w:rPr>
            </w:pPr>
            <w:r w:rsidRPr="00491DFF">
              <w:rPr>
                <w:rFonts w:ascii="Calibri" w:hAnsi="Calibri" w:cs="Calibri"/>
                <w:color w:val="000000"/>
                <w:sz w:val="20"/>
              </w:rPr>
              <w:t>Critical Analysis of SAR SNMP Ambient Water Quality and Alternative Methods to Comply Pt. 2: Consideration of Alternative Methods</w:t>
            </w:r>
          </w:p>
        </w:tc>
        <w:tc>
          <w:tcPr>
            <w:tcW w:w="3870" w:type="dxa"/>
            <w:tcBorders>
              <w:bottom w:val="single" w:sz="4" w:space="0" w:color="auto"/>
            </w:tcBorders>
            <w:shd w:val="clear" w:color="auto" w:fill="auto"/>
          </w:tcPr>
          <w:p w14:paraId="344D6A0C" w14:textId="277B83F1" w:rsidR="00DE6BB6" w:rsidRPr="00491DFF" w:rsidRDefault="00DE6BB6" w:rsidP="00F4416D">
            <w:pPr>
              <w:spacing w:before="30" w:after="30"/>
              <w:jc w:val="left"/>
              <w:rPr>
                <w:rFonts w:ascii="Calibri" w:hAnsi="Calibri" w:cs="Calibri"/>
                <w:color w:val="000000"/>
                <w:sz w:val="20"/>
              </w:rPr>
            </w:pPr>
            <w:r w:rsidRPr="00491DFF">
              <w:rPr>
                <w:rFonts w:ascii="Calibri" w:hAnsi="Calibri" w:cs="Calibri"/>
                <w:sz w:val="20"/>
              </w:rPr>
              <w:t xml:space="preserve">Continuation of previous </w:t>
            </w:r>
            <w:r w:rsidR="00134F52">
              <w:rPr>
                <w:rFonts w:ascii="Calibri" w:hAnsi="Calibri" w:cs="Calibri"/>
                <w:sz w:val="20"/>
              </w:rPr>
              <w:t xml:space="preserve">topic where an overview of detailed questions for consideration in updating the ongoing methods and data collection process were reviewed with the Task Force to elicit feedback, citing specific examples </w:t>
            </w:r>
            <w:r w:rsidR="008A79BD">
              <w:rPr>
                <w:rFonts w:ascii="Calibri" w:hAnsi="Calibri" w:cs="Calibri"/>
                <w:sz w:val="20"/>
              </w:rPr>
              <w:t>of data and results to support obtaining feedback</w:t>
            </w:r>
          </w:p>
        </w:tc>
      </w:tr>
      <w:tr w:rsidR="00DE6BB6" w:rsidRPr="00117F75" w14:paraId="3BFE4F58" w14:textId="77777777" w:rsidTr="00F4416D">
        <w:trPr>
          <w:trHeight w:val="300"/>
        </w:trPr>
        <w:tc>
          <w:tcPr>
            <w:tcW w:w="2065" w:type="dxa"/>
            <w:tcBorders>
              <w:bottom w:val="single" w:sz="4" w:space="0" w:color="auto"/>
            </w:tcBorders>
            <w:vAlign w:val="center"/>
          </w:tcPr>
          <w:p w14:paraId="683213EC" w14:textId="7BC352B4" w:rsidR="00DE6BB6" w:rsidRPr="00117F75" w:rsidRDefault="00DE6BB6">
            <w:pPr>
              <w:spacing w:before="30" w:after="30"/>
              <w:rPr>
                <w:rFonts w:ascii="Calibri" w:hAnsi="Calibri" w:cs="Calibri"/>
                <w:color w:val="000000"/>
                <w:sz w:val="20"/>
              </w:rPr>
            </w:pPr>
            <w:r w:rsidRPr="00B320BA">
              <w:rPr>
                <w:rFonts w:ascii="Calibri" w:hAnsi="Calibri" w:cs="Calibri"/>
                <w:color w:val="000000"/>
                <w:sz w:val="20"/>
              </w:rPr>
              <w:t>January 27, 2022</w:t>
            </w:r>
            <w:r w:rsidR="008A79BD" w:rsidRPr="00CC2641">
              <w:rPr>
                <w:rFonts w:ascii="Calibri" w:hAnsi="Calibri" w:cs="Calibri"/>
                <w:color w:val="000000"/>
                <w:sz w:val="20"/>
                <w:vertAlign w:val="superscript"/>
              </w:rPr>
              <w:t>(b)</w:t>
            </w:r>
          </w:p>
        </w:tc>
        <w:tc>
          <w:tcPr>
            <w:tcW w:w="3420" w:type="dxa"/>
            <w:tcBorders>
              <w:bottom w:val="single" w:sz="4" w:space="0" w:color="auto"/>
            </w:tcBorders>
            <w:vAlign w:val="center"/>
          </w:tcPr>
          <w:p w14:paraId="64334649" w14:textId="58D2FD5F" w:rsidR="00DE6BB6" w:rsidRPr="00117F75" w:rsidRDefault="00DE6BB6">
            <w:pPr>
              <w:spacing w:before="30" w:after="30"/>
              <w:jc w:val="center"/>
              <w:rPr>
                <w:rFonts w:ascii="Calibri" w:hAnsi="Calibri" w:cs="Calibri"/>
                <w:color w:val="000000"/>
                <w:sz w:val="20"/>
              </w:rPr>
            </w:pPr>
            <w:r w:rsidRPr="00B320BA">
              <w:rPr>
                <w:rFonts w:ascii="Calibri" w:hAnsi="Calibri" w:cs="Calibri"/>
                <w:color w:val="000000"/>
                <w:sz w:val="20"/>
              </w:rPr>
              <w:t xml:space="preserve">Task 2 of the BMPTF 2021-2022 Planning Priorities, Progress and Next Steps </w:t>
            </w:r>
          </w:p>
        </w:tc>
        <w:tc>
          <w:tcPr>
            <w:tcW w:w="3870" w:type="dxa"/>
            <w:tcBorders>
              <w:bottom w:val="single" w:sz="4" w:space="0" w:color="auto"/>
            </w:tcBorders>
            <w:shd w:val="clear" w:color="auto" w:fill="auto"/>
          </w:tcPr>
          <w:p w14:paraId="1E1C3A89" w14:textId="219FDA2C" w:rsidR="00DE6BB6" w:rsidRPr="00117F75" w:rsidRDefault="00DE6BB6" w:rsidP="00F4416D">
            <w:pPr>
              <w:spacing w:before="30" w:after="30"/>
              <w:jc w:val="left"/>
              <w:rPr>
                <w:rFonts w:ascii="Calibri" w:hAnsi="Calibri" w:cs="Calibri"/>
                <w:color w:val="000000"/>
                <w:sz w:val="20"/>
              </w:rPr>
            </w:pPr>
            <w:r w:rsidRPr="00B320BA">
              <w:rPr>
                <w:rFonts w:ascii="Calibri" w:hAnsi="Calibri" w:cs="Calibri"/>
                <w:color w:val="000000"/>
                <w:sz w:val="20"/>
              </w:rPr>
              <w:t xml:space="preserve">Provided </w:t>
            </w:r>
            <w:r w:rsidR="008A79BD">
              <w:rPr>
                <w:rFonts w:ascii="Calibri" w:hAnsi="Calibri" w:cs="Calibri"/>
                <w:color w:val="000000"/>
                <w:sz w:val="20"/>
              </w:rPr>
              <w:t xml:space="preserve">an </w:t>
            </w:r>
            <w:r w:rsidRPr="00B320BA">
              <w:rPr>
                <w:rFonts w:ascii="Calibri" w:hAnsi="Calibri" w:cs="Calibri"/>
                <w:color w:val="000000"/>
                <w:sz w:val="20"/>
              </w:rPr>
              <w:t xml:space="preserve">update on the </w:t>
            </w:r>
            <w:r w:rsidR="008A79BD">
              <w:rPr>
                <w:rFonts w:ascii="Calibri" w:hAnsi="Calibri" w:cs="Calibri"/>
                <w:color w:val="000000"/>
                <w:sz w:val="20"/>
              </w:rPr>
              <w:t>status of collecting data and information from the Task Force members on the current monitoring efforts and reminded members to schedule meetings to discuss input and feedback on the information presented to date</w:t>
            </w:r>
          </w:p>
        </w:tc>
      </w:tr>
      <w:tr w:rsidR="00DE6BB6" w:rsidRPr="00117F75" w14:paraId="54FD4676" w14:textId="77777777" w:rsidTr="00F4416D">
        <w:trPr>
          <w:trHeight w:val="300"/>
        </w:trPr>
        <w:tc>
          <w:tcPr>
            <w:tcW w:w="2065" w:type="dxa"/>
            <w:vAlign w:val="center"/>
          </w:tcPr>
          <w:p w14:paraId="2636B7F0" w14:textId="6B836D33" w:rsidR="00DE6BB6" w:rsidRPr="00117F75" w:rsidRDefault="00DE6BB6">
            <w:pPr>
              <w:spacing w:before="30" w:after="30"/>
              <w:rPr>
                <w:rFonts w:ascii="Calibri" w:hAnsi="Calibri" w:cs="Calibri"/>
                <w:color w:val="000000"/>
                <w:sz w:val="20"/>
              </w:rPr>
            </w:pPr>
            <w:r w:rsidRPr="00B320BA">
              <w:rPr>
                <w:rFonts w:ascii="Calibri" w:hAnsi="Calibri" w:cs="Calibri"/>
                <w:color w:val="000000"/>
                <w:sz w:val="20"/>
              </w:rPr>
              <w:t>February 22, 2022</w:t>
            </w:r>
            <w:r w:rsidR="008A79BD" w:rsidRPr="00CC2641">
              <w:rPr>
                <w:rFonts w:ascii="Calibri" w:hAnsi="Calibri" w:cs="Calibri"/>
                <w:color w:val="000000"/>
                <w:sz w:val="20"/>
                <w:vertAlign w:val="superscript"/>
              </w:rPr>
              <w:t>(a)</w:t>
            </w:r>
          </w:p>
        </w:tc>
        <w:tc>
          <w:tcPr>
            <w:tcW w:w="3420" w:type="dxa"/>
            <w:vAlign w:val="center"/>
          </w:tcPr>
          <w:p w14:paraId="1C3B4B48" w14:textId="77777777" w:rsidR="00DE6BB6" w:rsidRPr="00117F75" w:rsidRDefault="00DE6BB6">
            <w:pPr>
              <w:spacing w:before="30" w:after="30"/>
              <w:jc w:val="center"/>
              <w:rPr>
                <w:rFonts w:ascii="Calibri" w:hAnsi="Calibri" w:cs="Calibri"/>
                <w:color w:val="000000"/>
                <w:sz w:val="20"/>
              </w:rPr>
            </w:pPr>
            <w:r w:rsidRPr="00B320BA">
              <w:rPr>
                <w:rFonts w:ascii="Calibri" w:hAnsi="Calibri" w:cs="Calibri"/>
                <w:color w:val="000000"/>
                <w:sz w:val="20"/>
              </w:rPr>
              <w:t>Task 2 of the BMP TF 2021-2022 Planning Priorities, Progress and Next Steps</w:t>
            </w:r>
          </w:p>
        </w:tc>
        <w:tc>
          <w:tcPr>
            <w:tcW w:w="3870" w:type="dxa"/>
            <w:shd w:val="clear" w:color="auto" w:fill="auto"/>
          </w:tcPr>
          <w:p w14:paraId="29C3BB82" w14:textId="15F6D0FA" w:rsidR="00DE6BB6" w:rsidRPr="00117F75" w:rsidRDefault="008A79BD" w:rsidP="00F4416D">
            <w:pPr>
              <w:spacing w:before="30" w:after="30"/>
              <w:jc w:val="left"/>
              <w:rPr>
                <w:rFonts w:ascii="Calibri" w:hAnsi="Calibri" w:cs="Calibri"/>
                <w:color w:val="000000"/>
                <w:sz w:val="20"/>
              </w:rPr>
            </w:pPr>
            <w:r w:rsidRPr="00B320BA">
              <w:rPr>
                <w:rFonts w:ascii="Calibri" w:hAnsi="Calibri" w:cs="Calibri"/>
                <w:color w:val="000000"/>
                <w:sz w:val="20"/>
              </w:rPr>
              <w:t xml:space="preserve">Provided </w:t>
            </w:r>
            <w:r>
              <w:rPr>
                <w:rFonts w:ascii="Calibri" w:hAnsi="Calibri" w:cs="Calibri"/>
                <w:color w:val="000000"/>
                <w:sz w:val="20"/>
              </w:rPr>
              <w:t xml:space="preserve">an </w:t>
            </w:r>
            <w:r w:rsidRPr="00B320BA">
              <w:rPr>
                <w:rFonts w:ascii="Calibri" w:hAnsi="Calibri" w:cs="Calibri"/>
                <w:color w:val="000000"/>
                <w:sz w:val="20"/>
              </w:rPr>
              <w:t xml:space="preserve">update on the </w:t>
            </w:r>
            <w:r>
              <w:rPr>
                <w:rFonts w:ascii="Calibri" w:hAnsi="Calibri" w:cs="Calibri"/>
                <w:color w:val="000000"/>
                <w:sz w:val="20"/>
              </w:rPr>
              <w:t>status of collecting data and information from the Task Force members on the current monitoring efforts and reminded members to schedule meetings to discuss input and feedback on the information presented to date</w:t>
            </w:r>
          </w:p>
        </w:tc>
      </w:tr>
      <w:tr w:rsidR="00DE6BB6" w:rsidRPr="00117F75" w14:paraId="6036A362" w14:textId="77777777" w:rsidTr="00F4416D">
        <w:trPr>
          <w:trHeight w:val="300"/>
        </w:trPr>
        <w:tc>
          <w:tcPr>
            <w:tcW w:w="2065" w:type="dxa"/>
            <w:tcBorders>
              <w:bottom w:val="single" w:sz="4" w:space="0" w:color="auto"/>
            </w:tcBorders>
            <w:vAlign w:val="center"/>
          </w:tcPr>
          <w:p w14:paraId="13850DB6" w14:textId="2C012E5F" w:rsidR="00DE6BB6" w:rsidRPr="00117F75" w:rsidRDefault="00DE6BB6">
            <w:pPr>
              <w:spacing w:before="30" w:after="30"/>
              <w:rPr>
                <w:rFonts w:ascii="Calibri" w:hAnsi="Calibri" w:cs="Calibri"/>
                <w:color w:val="000000"/>
                <w:sz w:val="20"/>
              </w:rPr>
            </w:pPr>
            <w:r w:rsidRPr="00B320BA">
              <w:rPr>
                <w:rFonts w:ascii="Calibri" w:hAnsi="Calibri" w:cs="Calibri"/>
                <w:color w:val="000000"/>
                <w:sz w:val="20"/>
              </w:rPr>
              <w:t>April 11, 2022</w:t>
            </w:r>
            <w:r w:rsidR="008A79BD" w:rsidRPr="00CC2641">
              <w:rPr>
                <w:rFonts w:ascii="Calibri" w:hAnsi="Calibri" w:cs="Calibri"/>
                <w:color w:val="000000"/>
                <w:sz w:val="20"/>
                <w:vertAlign w:val="superscript"/>
              </w:rPr>
              <w:t>(a)</w:t>
            </w:r>
          </w:p>
        </w:tc>
        <w:tc>
          <w:tcPr>
            <w:tcW w:w="3420" w:type="dxa"/>
            <w:tcBorders>
              <w:bottom w:val="single" w:sz="4" w:space="0" w:color="auto"/>
            </w:tcBorders>
            <w:shd w:val="clear" w:color="auto" w:fill="auto"/>
            <w:vAlign w:val="center"/>
          </w:tcPr>
          <w:p w14:paraId="726BC7B8" w14:textId="77777777" w:rsidR="00DE6BB6" w:rsidRPr="00117F75" w:rsidRDefault="00DE6BB6">
            <w:pPr>
              <w:spacing w:before="30" w:after="30"/>
              <w:jc w:val="center"/>
              <w:rPr>
                <w:rFonts w:ascii="Calibri" w:hAnsi="Calibri" w:cs="Calibri"/>
                <w:color w:val="000000"/>
                <w:sz w:val="20"/>
              </w:rPr>
            </w:pPr>
            <w:r w:rsidRPr="00B320BA">
              <w:rPr>
                <w:rFonts w:ascii="Calibri" w:hAnsi="Calibri" w:cs="Calibri"/>
                <w:color w:val="000000"/>
                <w:sz w:val="20"/>
              </w:rPr>
              <w:t>Critical Analysis of AWQ Methods – Pt. 3 The Case for Prioritization</w:t>
            </w:r>
          </w:p>
        </w:tc>
        <w:tc>
          <w:tcPr>
            <w:tcW w:w="3870" w:type="dxa"/>
            <w:tcBorders>
              <w:bottom w:val="single" w:sz="4" w:space="0" w:color="auto"/>
            </w:tcBorders>
            <w:shd w:val="clear" w:color="auto" w:fill="auto"/>
          </w:tcPr>
          <w:p w14:paraId="2139655D" w14:textId="1C94163C" w:rsidR="008A79BD" w:rsidRDefault="008A79BD" w:rsidP="00F4416D">
            <w:pPr>
              <w:spacing w:before="30" w:after="30"/>
              <w:jc w:val="left"/>
              <w:rPr>
                <w:rFonts w:ascii="Calibri" w:hAnsi="Calibri" w:cs="Calibri"/>
                <w:color w:val="000000"/>
                <w:sz w:val="20"/>
              </w:rPr>
            </w:pPr>
            <w:r>
              <w:rPr>
                <w:rFonts w:ascii="Calibri" w:hAnsi="Calibri" w:cs="Calibri"/>
                <w:color w:val="000000"/>
                <w:sz w:val="20"/>
              </w:rPr>
              <w:t xml:space="preserve">(1) Provided an overview of the feedback received to date on the considerations for updating the data collection and </w:t>
            </w:r>
            <w:r w:rsidR="00CF0B52">
              <w:rPr>
                <w:rFonts w:ascii="Calibri" w:hAnsi="Calibri" w:cs="Calibri"/>
                <w:color w:val="000000"/>
                <w:sz w:val="20"/>
              </w:rPr>
              <w:t>AWQ</w:t>
            </w:r>
            <w:r>
              <w:rPr>
                <w:rFonts w:ascii="Calibri" w:hAnsi="Calibri" w:cs="Calibri"/>
                <w:color w:val="000000"/>
                <w:sz w:val="20"/>
              </w:rPr>
              <w:t xml:space="preserve"> methods and </w:t>
            </w:r>
          </w:p>
          <w:p w14:paraId="2BD9DE6C" w14:textId="59FB3401" w:rsidR="00DE6BB6" w:rsidRPr="00117F75" w:rsidRDefault="008A79BD" w:rsidP="00F4416D">
            <w:pPr>
              <w:spacing w:before="30" w:after="30"/>
              <w:jc w:val="left"/>
              <w:rPr>
                <w:rFonts w:ascii="Calibri" w:hAnsi="Calibri" w:cs="Calibri"/>
                <w:color w:val="000000"/>
                <w:sz w:val="20"/>
              </w:rPr>
            </w:pPr>
            <w:r>
              <w:rPr>
                <w:rFonts w:ascii="Calibri" w:hAnsi="Calibri" w:cs="Calibri"/>
                <w:color w:val="000000"/>
                <w:sz w:val="20"/>
              </w:rPr>
              <w:t xml:space="preserve">(2) presented data and evidence to support methodological/process updates that could improve the </w:t>
            </w:r>
            <w:r w:rsidR="007861F8">
              <w:rPr>
                <w:rFonts w:ascii="Calibri" w:hAnsi="Calibri" w:cs="Calibri"/>
                <w:color w:val="000000"/>
                <w:sz w:val="20"/>
              </w:rPr>
              <w:t>workflow</w:t>
            </w:r>
            <w:r>
              <w:rPr>
                <w:rFonts w:ascii="Calibri" w:hAnsi="Calibri" w:cs="Calibri"/>
                <w:color w:val="000000"/>
                <w:sz w:val="20"/>
              </w:rPr>
              <w:t xml:space="preserve"> of the </w:t>
            </w:r>
            <w:r w:rsidR="00CF0B52">
              <w:rPr>
                <w:rFonts w:ascii="Calibri" w:hAnsi="Calibri" w:cs="Calibri"/>
                <w:color w:val="000000"/>
                <w:sz w:val="20"/>
              </w:rPr>
              <w:t>AWQ</w:t>
            </w:r>
            <w:r>
              <w:rPr>
                <w:rFonts w:ascii="Calibri" w:hAnsi="Calibri" w:cs="Calibri"/>
                <w:color w:val="000000"/>
                <w:sz w:val="20"/>
              </w:rPr>
              <w:t xml:space="preserve"> process through prioritization of analytical efforts, including concepts for piloting these ideas for the 2021 AWQ </w:t>
            </w:r>
            <w:proofErr w:type="spellStart"/>
            <w:r>
              <w:rPr>
                <w:rFonts w:ascii="Calibri" w:hAnsi="Calibri" w:cs="Calibri"/>
                <w:color w:val="000000"/>
                <w:sz w:val="20"/>
              </w:rPr>
              <w:t>recomputation</w:t>
            </w:r>
            <w:proofErr w:type="spellEnd"/>
          </w:p>
        </w:tc>
      </w:tr>
      <w:tr w:rsidR="00DE6BB6" w:rsidRPr="00117F75" w14:paraId="5746A4A5" w14:textId="77777777" w:rsidTr="00F4416D">
        <w:trPr>
          <w:trHeight w:val="300"/>
        </w:trPr>
        <w:tc>
          <w:tcPr>
            <w:tcW w:w="2065" w:type="dxa"/>
            <w:tcBorders>
              <w:bottom w:val="single" w:sz="4" w:space="0" w:color="auto"/>
            </w:tcBorders>
            <w:vAlign w:val="center"/>
          </w:tcPr>
          <w:p w14:paraId="2B26D1C0" w14:textId="445CBB44" w:rsidR="00DE6BB6" w:rsidRPr="00117F75" w:rsidRDefault="00DE6BB6">
            <w:pPr>
              <w:spacing w:before="30" w:after="30"/>
              <w:rPr>
                <w:rFonts w:ascii="Calibri" w:hAnsi="Calibri" w:cs="Calibri"/>
                <w:color w:val="000000"/>
                <w:sz w:val="20"/>
              </w:rPr>
            </w:pPr>
            <w:r w:rsidRPr="00475AFC">
              <w:rPr>
                <w:rFonts w:ascii="Calibri" w:hAnsi="Calibri" w:cs="Calibri"/>
                <w:color w:val="000000"/>
                <w:sz w:val="20"/>
              </w:rPr>
              <w:t>May 24, 2022</w:t>
            </w:r>
            <w:r w:rsidR="008A79BD" w:rsidRPr="00CC2641">
              <w:rPr>
                <w:rFonts w:ascii="Calibri" w:hAnsi="Calibri" w:cs="Calibri"/>
                <w:color w:val="000000"/>
                <w:sz w:val="20"/>
                <w:vertAlign w:val="superscript"/>
              </w:rPr>
              <w:t>(a)</w:t>
            </w:r>
          </w:p>
        </w:tc>
        <w:tc>
          <w:tcPr>
            <w:tcW w:w="3420" w:type="dxa"/>
            <w:tcBorders>
              <w:bottom w:val="single" w:sz="4" w:space="0" w:color="auto"/>
            </w:tcBorders>
            <w:shd w:val="clear" w:color="auto" w:fill="auto"/>
            <w:vAlign w:val="center"/>
          </w:tcPr>
          <w:p w14:paraId="0B4982DA" w14:textId="77777777" w:rsidR="00DE6BB6" w:rsidRPr="00117F75" w:rsidRDefault="00DE6BB6">
            <w:pPr>
              <w:spacing w:before="30" w:after="30"/>
              <w:jc w:val="center"/>
              <w:rPr>
                <w:rFonts w:ascii="Calibri" w:hAnsi="Calibri" w:cs="Calibri"/>
                <w:color w:val="000000"/>
                <w:sz w:val="20"/>
              </w:rPr>
            </w:pPr>
            <w:r w:rsidRPr="00475AFC">
              <w:rPr>
                <w:rFonts w:ascii="Calibri" w:hAnsi="Calibri" w:cs="Calibri"/>
                <w:color w:val="000000"/>
                <w:sz w:val="20"/>
              </w:rPr>
              <w:t>Groundwater Monitoring Plan and AWQ Methods – Status Update</w:t>
            </w:r>
          </w:p>
        </w:tc>
        <w:tc>
          <w:tcPr>
            <w:tcW w:w="3870" w:type="dxa"/>
            <w:tcBorders>
              <w:bottom w:val="single" w:sz="4" w:space="0" w:color="auto"/>
            </w:tcBorders>
            <w:shd w:val="clear" w:color="auto" w:fill="auto"/>
          </w:tcPr>
          <w:p w14:paraId="1E2D9F58" w14:textId="066E5A45" w:rsidR="00DE6BB6" w:rsidRPr="00117F75" w:rsidRDefault="00DE6BB6" w:rsidP="00F4416D">
            <w:pPr>
              <w:spacing w:before="30" w:after="30"/>
              <w:jc w:val="left"/>
              <w:rPr>
                <w:rFonts w:ascii="Calibri" w:hAnsi="Calibri" w:cs="Calibri"/>
                <w:color w:val="000000"/>
                <w:sz w:val="20"/>
              </w:rPr>
            </w:pPr>
            <w:r w:rsidRPr="00475AFC">
              <w:rPr>
                <w:rFonts w:ascii="Calibri" w:hAnsi="Calibri" w:cs="Calibri"/>
                <w:color w:val="000000"/>
                <w:sz w:val="20"/>
              </w:rPr>
              <w:t xml:space="preserve">Presented on </w:t>
            </w:r>
            <w:r w:rsidR="008A79BD">
              <w:rPr>
                <w:rFonts w:ascii="Calibri" w:hAnsi="Calibri" w:cs="Calibri"/>
                <w:color w:val="000000"/>
                <w:sz w:val="20"/>
              </w:rPr>
              <w:t xml:space="preserve">(1) </w:t>
            </w:r>
            <w:r w:rsidRPr="00475AFC">
              <w:rPr>
                <w:rFonts w:ascii="Calibri" w:hAnsi="Calibri" w:cs="Calibri"/>
                <w:color w:val="000000"/>
                <w:sz w:val="20"/>
              </w:rPr>
              <w:t xml:space="preserve">the </w:t>
            </w:r>
            <w:r w:rsidR="008A79BD">
              <w:rPr>
                <w:rFonts w:ascii="Calibri" w:hAnsi="Calibri" w:cs="Calibri"/>
                <w:color w:val="000000"/>
                <w:sz w:val="20"/>
              </w:rPr>
              <w:t xml:space="preserve">proposed outline of the 2022 GMP, (2) the </w:t>
            </w:r>
            <w:r w:rsidR="007861F8">
              <w:rPr>
                <w:rFonts w:ascii="Calibri" w:hAnsi="Calibri" w:cs="Calibri"/>
                <w:color w:val="000000"/>
                <w:sz w:val="20"/>
              </w:rPr>
              <w:t>next step</w:t>
            </w:r>
            <w:r w:rsidR="008A79BD">
              <w:rPr>
                <w:rFonts w:ascii="Calibri" w:hAnsi="Calibri" w:cs="Calibri"/>
                <w:color w:val="000000"/>
                <w:sz w:val="20"/>
              </w:rPr>
              <w:t xml:space="preserve"> for identifying potential data gaps in GMZs</w:t>
            </w:r>
            <w:r w:rsidR="007861F8">
              <w:rPr>
                <w:rFonts w:ascii="Calibri" w:hAnsi="Calibri" w:cs="Calibri"/>
                <w:color w:val="000000"/>
                <w:sz w:val="20"/>
              </w:rPr>
              <w:t xml:space="preserve"> now that all the Task Force monitoring information is collected and deemed complete</w:t>
            </w:r>
            <w:r w:rsidR="008A79BD">
              <w:rPr>
                <w:rFonts w:ascii="Calibri" w:hAnsi="Calibri" w:cs="Calibri"/>
                <w:color w:val="000000"/>
                <w:sz w:val="20"/>
              </w:rPr>
              <w:t>, and (3</w:t>
            </w:r>
            <w:r w:rsidRPr="00475AFC">
              <w:rPr>
                <w:rFonts w:ascii="Calibri" w:hAnsi="Calibri" w:cs="Calibri"/>
                <w:color w:val="000000"/>
                <w:sz w:val="20"/>
              </w:rPr>
              <w:t xml:space="preserve">) </w:t>
            </w:r>
            <w:r w:rsidR="007861F8">
              <w:rPr>
                <w:rFonts w:ascii="Calibri" w:hAnsi="Calibri" w:cs="Calibri"/>
                <w:color w:val="000000"/>
                <w:sz w:val="20"/>
              </w:rPr>
              <w:t>the</w:t>
            </w:r>
            <w:r w:rsidR="008A79BD">
              <w:rPr>
                <w:rFonts w:ascii="Calibri" w:hAnsi="Calibri" w:cs="Calibri"/>
                <w:color w:val="000000"/>
                <w:sz w:val="20"/>
              </w:rPr>
              <w:t xml:space="preserve"> draft concept</w:t>
            </w:r>
            <w:r w:rsidR="007861F8">
              <w:rPr>
                <w:rFonts w:ascii="Calibri" w:hAnsi="Calibri" w:cs="Calibri"/>
                <w:color w:val="000000"/>
                <w:sz w:val="20"/>
              </w:rPr>
              <w:t>ual</w:t>
            </w:r>
            <w:r w:rsidR="008A79BD">
              <w:rPr>
                <w:rFonts w:ascii="Calibri" w:hAnsi="Calibri" w:cs="Calibri"/>
                <w:color w:val="000000"/>
                <w:sz w:val="20"/>
              </w:rPr>
              <w:t xml:space="preserve"> scope </w:t>
            </w:r>
            <w:r w:rsidR="007861F8">
              <w:rPr>
                <w:rFonts w:ascii="Calibri" w:hAnsi="Calibri" w:cs="Calibri"/>
                <w:color w:val="000000"/>
                <w:sz w:val="20"/>
              </w:rPr>
              <w:t xml:space="preserve">of work </w:t>
            </w:r>
            <w:r w:rsidR="008A79BD">
              <w:rPr>
                <w:rFonts w:ascii="Calibri" w:hAnsi="Calibri" w:cs="Calibri"/>
                <w:color w:val="000000"/>
                <w:sz w:val="20"/>
              </w:rPr>
              <w:t>for the 2021 AWQ Pilot Study</w:t>
            </w:r>
          </w:p>
        </w:tc>
      </w:tr>
      <w:tr w:rsidR="00DE6BB6" w:rsidRPr="00117F75" w14:paraId="6625DEE9" w14:textId="77777777" w:rsidTr="00F4416D">
        <w:trPr>
          <w:trHeight w:val="300"/>
        </w:trPr>
        <w:tc>
          <w:tcPr>
            <w:tcW w:w="2065" w:type="dxa"/>
            <w:tcBorders>
              <w:bottom w:val="single" w:sz="4" w:space="0" w:color="auto"/>
            </w:tcBorders>
            <w:vAlign w:val="center"/>
          </w:tcPr>
          <w:p w14:paraId="4C273830" w14:textId="348907DB" w:rsidR="00DE6BB6" w:rsidRPr="00117F75" w:rsidRDefault="00DE6BB6">
            <w:pPr>
              <w:spacing w:before="30" w:after="30"/>
              <w:rPr>
                <w:rFonts w:ascii="Calibri" w:hAnsi="Calibri" w:cs="Calibri"/>
                <w:color w:val="000000"/>
                <w:sz w:val="20"/>
              </w:rPr>
            </w:pPr>
            <w:r w:rsidRPr="00475AFC">
              <w:rPr>
                <w:rFonts w:ascii="Calibri" w:hAnsi="Calibri" w:cs="Calibri"/>
                <w:color w:val="000000"/>
                <w:sz w:val="20"/>
              </w:rPr>
              <w:t>June 22, 2022</w:t>
            </w:r>
            <w:r w:rsidR="008A79BD" w:rsidRPr="00CC2641">
              <w:rPr>
                <w:rFonts w:ascii="Calibri" w:hAnsi="Calibri" w:cs="Calibri"/>
                <w:color w:val="000000"/>
                <w:sz w:val="20"/>
                <w:vertAlign w:val="superscript"/>
              </w:rPr>
              <w:t>(a)</w:t>
            </w:r>
          </w:p>
        </w:tc>
        <w:tc>
          <w:tcPr>
            <w:tcW w:w="3420" w:type="dxa"/>
            <w:tcBorders>
              <w:bottom w:val="single" w:sz="4" w:space="0" w:color="auto"/>
            </w:tcBorders>
            <w:shd w:val="clear" w:color="auto" w:fill="auto"/>
            <w:vAlign w:val="center"/>
          </w:tcPr>
          <w:p w14:paraId="17A37902" w14:textId="77777777" w:rsidR="00DE6BB6" w:rsidRPr="00117F75" w:rsidRDefault="00DE6BB6">
            <w:pPr>
              <w:spacing w:before="30" w:after="30"/>
              <w:jc w:val="center"/>
              <w:rPr>
                <w:rFonts w:ascii="Calibri" w:hAnsi="Calibri" w:cs="Calibri"/>
                <w:color w:val="000000"/>
                <w:sz w:val="20"/>
              </w:rPr>
            </w:pPr>
            <w:r w:rsidRPr="00475AFC">
              <w:rPr>
                <w:rFonts w:ascii="Calibri" w:hAnsi="Calibri" w:cs="Calibri"/>
                <w:color w:val="000000"/>
                <w:sz w:val="20"/>
              </w:rPr>
              <w:t>Groundwater Monitoring Plan and AWQ Methods – Status Update</w:t>
            </w:r>
          </w:p>
        </w:tc>
        <w:tc>
          <w:tcPr>
            <w:tcW w:w="3870" w:type="dxa"/>
            <w:tcBorders>
              <w:bottom w:val="single" w:sz="4" w:space="0" w:color="auto"/>
            </w:tcBorders>
            <w:shd w:val="clear" w:color="auto" w:fill="auto"/>
          </w:tcPr>
          <w:p w14:paraId="756606F5" w14:textId="619A7C24" w:rsidR="00DE6BB6" w:rsidRPr="00117F75" w:rsidRDefault="00DE6BB6" w:rsidP="00F4416D">
            <w:pPr>
              <w:spacing w:before="30" w:after="30"/>
              <w:jc w:val="left"/>
              <w:rPr>
                <w:rFonts w:ascii="Calibri" w:hAnsi="Calibri" w:cs="Calibri"/>
                <w:color w:val="000000"/>
                <w:sz w:val="20"/>
              </w:rPr>
            </w:pPr>
            <w:r w:rsidRPr="00475AFC">
              <w:rPr>
                <w:rFonts w:ascii="Calibri" w:hAnsi="Calibri" w:cs="Calibri"/>
                <w:color w:val="000000"/>
                <w:sz w:val="20"/>
              </w:rPr>
              <w:t xml:space="preserve">Presented on the </w:t>
            </w:r>
            <w:r w:rsidR="008A79BD">
              <w:rPr>
                <w:rFonts w:ascii="Calibri" w:hAnsi="Calibri" w:cs="Calibri"/>
                <w:color w:val="000000"/>
                <w:sz w:val="20"/>
              </w:rPr>
              <w:t xml:space="preserve">remaining work to do to complete </w:t>
            </w:r>
            <w:r w:rsidR="007861F8">
              <w:rPr>
                <w:rFonts w:ascii="Calibri" w:hAnsi="Calibri" w:cs="Calibri"/>
                <w:color w:val="000000"/>
                <w:sz w:val="20"/>
              </w:rPr>
              <w:t xml:space="preserve">development of the 2022 GMP and provided a brief overview of how potential data gaps are being identified </w:t>
            </w:r>
          </w:p>
        </w:tc>
      </w:tr>
      <w:tr w:rsidR="00DE6BB6" w:rsidRPr="00117F75" w14:paraId="5422672C" w14:textId="77777777" w:rsidTr="00F4416D">
        <w:trPr>
          <w:trHeight w:val="300"/>
        </w:trPr>
        <w:tc>
          <w:tcPr>
            <w:tcW w:w="2065" w:type="dxa"/>
            <w:tcBorders>
              <w:bottom w:val="single" w:sz="4" w:space="0" w:color="auto"/>
            </w:tcBorders>
            <w:vAlign w:val="center"/>
          </w:tcPr>
          <w:p w14:paraId="55E57EDD" w14:textId="07FF2278" w:rsidR="00DE6BB6" w:rsidRPr="00117F75" w:rsidRDefault="00DE6BB6">
            <w:pPr>
              <w:spacing w:before="30" w:after="30"/>
              <w:rPr>
                <w:rFonts w:ascii="Calibri" w:hAnsi="Calibri" w:cs="Calibri"/>
                <w:color w:val="000000"/>
                <w:sz w:val="20"/>
              </w:rPr>
            </w:pPr>
            <w:r w:rsidRPr="00475AFC">
              <w:rPr>
                <w:rFonts w:ascii="Calibri" w:hAnsi="Calibri" w:cs="Calibri"/>
                <w:color w:val="000000"/>
                <w:sz w:val="20"/>
              </w:rPr>
              <w:t>August 30, 2022</w:t>
            </w:r>
            <w:r w:rsidR="008A79BD" w:rsidRPr="00CC2641">
              <w:rPr>
                <w:rFonts w:ascii="Calibri" w:hAnsi="Calibri" w:cs="Calibri"/>
                <w:color w:val="000000"/>
                <w:sz w:val="20"/>
                <w:vertAlign w:val="superscript"/>
              </w:rPr>
              <w:t>(a)</w:t>
            </w:r>
          </w:p>
        </w:tc>
        <w:tc>
          <w:tcPr>
            <w:tcW w:w="3420" w:type="dxa"/>
            <w:tcBorders>
              <w:bottom w:val="single" w:sz="4" w:space="0" w:color="auto"/>
            </w:tcBorders>
            <w:shd w:val="clear" w:color="auto" w:fill="auto"/>
            <w:vAlign w:val="center"/>
          </w:tcPr>
          <w:p w14:paraId="6040C58A" w14:textId="77777777" w:rsidR="00DE6BB6" w:rsidRPr="00117F75" w:rsidRDefault="00DE6BB6">
            <w:pPr>
              <w:spacing w:before="30" w:after="30"/>
              <w:jc w:val="center"/>
              <w:rPr>
                <w:rFonts w:ascii="Calibri" w:hAnsi="Calibri" w:cs="Calibri"/>
                <w:color w:val="000000"/>
                <w:sz w:val="20"/>
              </w:rPr>
            </w:pPr>
            <w:r w:rsidRPr="00475AFC">
              <w:rPr>
                <w:rFonts w:ascii="Calibri" w:hAnsi="Calibri" w:cs="Calibri"/>
                <w:color w:val="000000"/>
                <w:sz w:val="20"/>
              </w:rPr>
              <w:t>Groundwater Monitoring Program Data Gaps</w:t>
            </w:r>
          </w:p>
        </w:tc>
        <w:tc>
          <w:tcPr>
            <w:tcW w:w="3870" w:type="dxa"/>
            <w:tcBorders>
              <w:bottom w:val="single" w:sz="4" w:space="0" w:color="auto"/>
            </w:tcBorders>
            <w:shd w:val="clear" w:color="auto" w:fill="auto"/>
          </w:tcPr>
          <w:p w14:paraId="2FE7367F" w14:textId="5A6CF394" w:rsidR="00DE6BB6" w:rsidRPr="00117F75" w:rsidRDefault="00DE6BB6" w:rsidP="00F4416D">
            <w:pPr>
              <w:spacing w:before="30" w:after="30"/>
              <w:jc w:val="left"/>
              <w:rPr>
                <w:rFonts w:ascii="Calibri" w:hAnsi="Calibri" w:cs="Calibri"/>
                <w:color w:val="000000"/>
                <w:sz w:val="20"/>
              </w:rPr>
            </w:pPr>
            <w:r w:rsidRPr="00475AFC">
              <w:rPr>
                <w:rFonts w:ascii="Calibri" w:hAnsi="Calibri" w:cs="Calibri"/>
                <w:color w:val="000000"/>
                <w:sz w:val="20"/>
              </w:rPr>
              <w:t xml:space="preserve">Presented on the process of identify areas of </w:t>
            </w:r>
            <w:r w:rsidR="007861F8">
              <w:rPr>
                <w:rFonts w:ascii="Calibri" w:hAnsi="Calibri" w:cs="Calibri"/>
                <w:color w:val="000000"/>
                <w:sz w:val="20"/>
              </w:rPr>
              <w:t xml:space="preserve">potential </w:t>
            </w:r>
            <w:r w:rsidRPr="00475AFC">
              <w:rPr>
                <w:rFonts w:ascii="Calibri" w:hAnsi="Calibri" w:cs="Calibri"/>
                <w:color w:val="000000"/>
                <w:sz w:val="20"/>
              </w:rPr>
              <w:t xml:space="preserve">data gaps </w:t>
            </w:r>
            <w:r w:rsidR="007861F8">
              <w:rPr>
                <w:rFonts w:ascii="Calibri" w:hAnsi="Calibri" w:cs="Calibri"/>
                <w:color w:val="000000"/>
                <w:sz w:val="20"/>
              </w:rPr>
              <w:t>in the GMZs, the draft process for addressing potential data gaps, and the draft matrix of responsible parties</w:t>
            </w:r>
          </w:p>
        </w:tc>
      </w:tr>
      <w:tr w:rsidR="00DE6BB6" w:rsidRPr="00117F75" w14:paraId="0C45E8AA" w14:textId="77777777" w:rsidTr="00F4416D">
        <w:trPr>
          <w:trHeight w:val="300"/>
        </w:trPr>
        <w:tc>
          <w:tcPr>
            <w:tcW w:w="2065" w:type="dxa"/>
            <w:tcBorders>
              <w:bottom w:val="single" w:sz="4" w:space="0" w:color="auto"/>
            </w:tcBorders>
            <w:vAlign w:val="center"/>
          </w:tcPr>
          <w:p w14:paraId="46DCF64D" w14:textId="61DA1B20" w:rsidR="00DE6BB6" w:rsidRPr="00117F75" w:rsidRDefault="00DE6BB6">
            <w:pPr>
              <w:spacing w:before="30" w:after="30"/>
              <w:rPr>
                <w:rFonts w:ascii="Calibri" w:hAnsi="Calibri" w:cs="Calibri"/>
                <w:color w:val="000000"/>
                <w:sz w:val="20"/>
              </w:rPr>
            </w:pPr>
            <w:r w:rsidRPr="00475AFC">
              <w:rPr>
                <w:rFonts w:ascii="Calibri" w:hAnsi="Calibri" w:cs="Calibri"/>
                <w:color w:val="000000"/>
                <w:sz w:val="20"/>
              </w:rPr>
              <w:lastRenderedPageBreak/>
              <w:t>September 27, 2022</w:t>
            </w:r>
            <w:r w:rsidR="008A79BD" w:rsidRPr="00CC2641">
              <w:rPr>
                <w:rFonts w:ascii="Calibri" w:hAnsi="Calibri" w:cs="Calibri"/>
                <w:color w:val="000000"/>
                <w:sz w:val="20"/>
                <w:vertAlign w:val="superscript"/>
              </w:rPr>
              <w:t>(a)</w:t>
            </w:r>
          </w:p>
        </w:tc>
        <w:tc>
          <w:tcPr>
            <w:tcW w:w="3420" w:type="dxa"/>
            <w:tcBorders>
              <w:bottom w:val="single" w:sz="4" w:space="0" w:color="auto"/>
            </w:tcBorders>
            <w:shd w:val="clear" w:color="auto" w:fill="auto"/>
            <w:vAlign w:val="center"/>
          </w:tcPr>
          <w:p w14:paraId="25E1B05B" w14:textId="77777777" w:rsidR="00DE6BB6" w:rsidRPr="00117F75" w:rsidRDefault="00DE6BB6">
            <w:pPr>
              <w:spacing w:before="30" w:after="30"/>
              <w:jc w:val="center"/>
              <w:rPr>
                <w:rFonts w:ascii="Calibri" w:hAnsi="Calibri" w:cs="Calibri"/>
                <w:color w:val="000000"/>
                <w:sz w:val="20"/>
              </w:rPr>
            </w:pPr>
            <w:r w:rsidRPr="00475AFC">
              <w:rPr>
                <w:rFonts w:ascii="Calibri" w:hAnsi="Calibri" w:cs="Calibri"/>
                <w:color w:val="000000"/>
                <w:sz w:val="20"/>
              </w:rPr>
              <w:t>Recap and Recommended 2021 Ambient Water Quality Pilot Study</w:t>
            </w:r>
          </w:p>
        </w:tc>
        <w:tc>
          <w:tcPr>
            <w:tcW w:w="3870" w:type="dxa"/>
            <w:tcBorders>
              <w:bottom w:val="single" w:sz="4" w:space="0" w:color="auto"/>
            </w:tcBorders>
            <w:shd w:val="clear" w:color="auto" w:fill="auto"/>
          </w:tcPr>
          <w:p w14:paraId="5E37585E" w14:textId="098E8C9C" w:rsidR="00DE6BB6" w:rsidRPr="00117F75" w:rsidRDefault="007861F8" w:rsidP="00F4416D">
            <w:pPr>
              <w:spacing w:before="30" w:after="30"/>
              <w:jc w:val="left"/>
              <w:rPr>
                <w:rFonts w:ascii="Calibri" w:hAnsi="Calibri" w:cs="Calibri"/>
                <w:color w:val="000000"/>
                <w:sz w:val="20"/>
              </w:rPr>
            </w:pPr>
            <w:r>
              <w:rPr>
                <w:rFonts w:ascii="Calibri" w:hAnsi="Calibri" w:cs="Calibri"/>
                <w:color w:val="000000"/>
                <w:sz w:val="20"/>
              </w:rPr>
              <w:t xml:space="preserve">Provided a recap of the purpose of the project and regulatory requirements, an overview of all Task Force input received, presented a revised draft scope of work for the 2021 AWQ Pilot Study, and presented the vision </w:t>
            </w:r>
            <w:r w:rsidR="00302F6C">
              <w:rPr>
                <w:rFonts w:ascii="Calibri" w:hAnsi="Calibri" w:cs="Calibri"/>
                <w:color w:val="000000"/>
                <w:sz w:val="20"/>
              </w:rPr>
              <w:t xml:space="preserve">of </w:t>
            </w:r>
            <w:r>
              <w:rPr>
                <w:rFonts w:ascii="Calibri" w:hAnsi="Calibri" w:cs="Calibri"/>
                <w:color w:val="000000"/>
                <w:sz w:val="20"/>
              </w:rPr>
              <w:t>the future Task Force work through Fiscal Year 2028/29 to comply with the Basin Plan SNMP</w:t>
            </w:r>
          </w:p>
        </w:tc>
      </w:tr>
      <w:tr w:rsidR="007861F8" w:rsidRPr="00117F75" w14:paraId="77A71C36" w14:textId="77777777" w:rsidTr="00F4416D">
        <w:trPr>
          <w:trHeight w:val="300"/>
        </w:trPr>
        <w:tc>
          <w:tcPr>
            <w:tcW w:w="2065" w:type="dxa"/>
            <w:tcBorders>
              <w:bottom w:val="single" w:sz="4" w:space="0" w:color="auto"/>
            </w:tcBorders>
            <w:vAlign w:val="center"/>
          </w:tcPr>
          <w:p w14:paraId="6019149C" w14:textId="0F3450E9" w:rsidR="007861F8" w:rsidRPr="00475AFC" w:rsidRDefault="007861F8">
            <w:pPr>
              <w:spacing w:before="30" w:after="30"/>
              <w:rPr>
                <w:rFonts w:ascii="Calibri" w:hAnsi="Calibri" w:cs="Calibri"/>
                <w:color w:val="000000"/>
                <w:sz w:val="20"/>
              </w:rPr>
            </w:pPr>
            <w:r>
              <w:rPr>
                <w:rFonts w:ascii="Calibri" w:hAnsi="Calibri" w:cs="Calibri"/>
                <w:color w:val="000000"/>
                <w:sz w:val="20"/>
              </w:rPr>
              <w:t>October</w:t>
            </w:r>
            <w:r w:rsidRPr="00475AFC">
              <w:rPr>
                <w:rFonts w:ascii="Calibri" w:hAnsi="Calibri" w:cs="Calibri"/>
                <w:color w:val="000000"/>
                <w:sz w:val="20"/>
              </w:rPr>
              <w:t xml:space="preserve"> </w:t>
            </w:r>
            <w:r>
              <w:rPr>
                <w:rFonts w:ascii="Calibri" w:hAnsi="Calibri" w:cs="Calibri"/>
                <w:color w:val="000000"/>
                <w:sz w:val="20"/>
              </w:rPr>
              <w:t>31</w:t>
            </w:r>
            <w:r w:rsidRPr="00475AFC">
              <w:rPr>
                <w:rFonts w:ascii="Calibri" w:hAnsi="Calibri" w:cs="Calibri"/>
                <w:color w:val="000000"/>
                <w:sz w:val="20"/>
              </w:rPr>
              <w:t>, 2022</w:t>
            </w:r>
            <w:r w:rsidRPr="00CC2641">
              <w:rPr>
                <w:rFonts w:ascii="Calibri" w:hAnsi="Calibri" w:cs="Calibri"/>
                <w:color w:val="000000"/>
                <w:sz w:val="20"/>
                <w:vertAlign w:val="superscript"/>
              </w:rPr>
              <w:t>(</w:t>
            </w:r>
            <w:r>
              <w:rPr>
                <w:rFonts w:ascii="Calibri" w:hAnsi="Calibri" w:cs="Calibri"/>
                <w:color w:val="000000"/>
                <w:sz w:val="20"/>
                <w:vertAlign w:val="superscript"/>
              </w:rPr>
              <w:t>c</w:t>
            </w:r>
            <w:r w:rsidRPr="00CC2641">
              <w:rPr>
                <w:rFonts w:ascii="Calibri" w:hAnsi="Calibri" w:cs="Calibri"/>
                <w:color w:val="000000"/>
                <w:sz w:val="20"/>
                <w:vertAlign w:val="superscript"/>
              </w:rPr>
              <w:t>)</w:t>
            </w:r>
          </w:p>
        </w:tc>
        <w:tc>
          <w:tcPr>
            <w:tcW w:w="3420" w:type="dxa"/>
            <w:tcBorders>
              <w:bottom w:val="single" w:sz="4" w:space="0" w:color="auto"/>
            </w:tcBorders>
            <w:shd w:val="clear" w:color="auto" w:fill="auto"/>
            <w:vAlign w:val="center"/>
          </w:tcPr>
          <w:p w14:paraId="3D38803C" w14:textId="50FA3FCD" w:rsidR="007861F8" w:rsidRPr="00475AFC" w:rsidRDefault="007861F8">
            <w:pPr>
              <w:spacing w:before="30" w:after="30"/>
              <w:jc w:val="center"/>
              <w:rPr>
                <w:rFonts w:ascii="Calibri" w:hAnsi="Calibri" w:cs="Calibri"/>
                <w:color w:val="000000"/>
                <w:sz w:val="20"/>
              </w:rPr>
            </w:pPr>
            <w:r>
              <w:rPr>
                <w:rFonts w:ascii="Calibri" w:hAnsi="Calibri" w:cs="Calibri"/>
                <w:color w:val="000000"/>
                <w:sz w:val="20"/>
              </w:rPr>
              <w:t>2022 Groundwater Monitoring Program</w:t>
            </w:r>
          </w:p>
        </w:tc>
        <w:tc>
          <w:tcPr>
            <w:tcW w:w="3870" w:type="dxa"/>
            <w:tcBorders>
              <w:bottom w:val="single" w:sz="4" w:space="0" w:color="auto"/>
            </w:tcBorders>
            <w:shd w:val="clear" w:color="auto" w:fill="auto"/>
          </w:tcPr>
          <w:p w14:paraId="3B9C564A" w14:textId="5DE59F26" w:rsidR="007861F8" w:rsidRPr="00475AFC" w:rsidRDefault="007861F8" w:rsidP="00F4416D">
            <w:pPr>
              <w:spacing w:before="30" w:after="30"/>
              <w:jc w:val="left"/>
              <w:rPr>
                <w:rFonts w:ascii="Calibri" w:hAnsi="Calibri" w:cs="Calibri"/>
                <w:color w:val="000000"/>
                <w:sz w:val="20"/>
              </w:rPr>
            </w:pPr>
            <w:r>
              <w:rPr>
                <w:rFonts w:ascii="Calibri" w:hAnsi="Calibri" w:cs="Calibri"/>
                <w:color w:val="000000"/>
                <w:sz w:val="20"/>
              </w:rPr>
              <w:t>Presented an overview of the draft 2022 GMP report and how to provide feedback</w:t>
            </w:r>
          </w:p>
        </w:tc>
      </w:tr>
      <w:tr w:rsidR="00DE6BB6" w:rsidRPr="00117F75" w14:paraId="5FFE3D84" w14:textId="77777777">
        <w:trPr>
          <w:trHeight w:val="494"/>
        </w:trPr>
        <w:tc>
          <w:tcPr>
            <w:tcW w:w="9355" w:type="dxa"/>
            <w:gridSpan w:val="3"/>
            <w:tcBorders>
              <w:top w:val="nil"/>
            </w:tcBorders>
            <w:vAlign w:val="center"/>
            <w:hideMark/>
          </w:tcPr>
          <w:p w14:paraId="70FB856A" w14:textId="77777777" w:rsidR="00DE6BB6" w:rsidRDefault="00DE6BB6">
            <w:pPr>
              <w:spacing w:before="40" w:after="40"/>
              <w:ind w:left="331" w:hanging="331"/>
              <w:rPr>
                <w:rFonts w:ascii="Calibri" w:hAnsi="Calibri"/>
                <w:sz w:val="16"/>
              </w:rPr>
            </w:pPr>
            <w:r w:rsidRPr="00117F75">
              <w:rPr>
                <w:rFonts w:ascii="Calibri" w:hAnsi="Calibri"/>
                <w:sz w:val="16"/>
              </w:rPr>
              <w:t>(a)</w:t>
            </w:r>
            <w:r w:rsidRPr="00117F75">
              <w:rPr>
                <w:rFonts w:ascii="Calibri" w:hAnsi="Calibri"/>
                <w:sz w:val="16"/>
              </w:rPr>
              <w:tab/>
            </w:r>
            <w:r>
              <w:rPr>
                <w:rFonts w:ascii="Calibri" w:hAnsi="Calibri"/>
                <w:sz w:val="16"/>
              </w:rPr>
              <w:t xml:space="preserve">Presentation slides for this workshop are included in Appendix D. </w:t>
            </w:r>
          </w:p>
          <w:p w14:paraId="4C39A9D4" w14:textId="77777777" w:rsidR="00DE6BB6" w:rsidRDefault="00DE6BB6">
            <w:pPr>
              <w:spacing w:before="40" w:after="40"/>
              <w:ind w:left="331" w:hanging="331"/>
              <w:rPr>
                <w:rFonts w:ascii="Calibri" w:hAnsi="Calibri"/>
                <w:sz w:val="16"/>
              </w:rPr>
            </w:pPr>
            <w:r>
              <w:rPr>
                <w:rFonts w:ascii="Calibri" w:hAnsi="Calibri"/>
                <w:sz w:val="16"/>
              </w:rPr>
              <w:t xml:space="preserve">(b)    Verbal update and no slides were presented.  </w:t>
            </w:r>
          </w:p>
          <w:p w14:paraId="7C3A3488" w14:textId="19481DFC" w:rsidR="007861F8" w:rsidRPr="00117F75" w:rsidRDefault="007861F8">
            <w:pPr>
              <w:spacing w:before="40" w:after="40"/>
              <w:ind w:left="331" w:hanging="331"/>
              <w:rPr>
                <w:rFonts w:ascii="Calibri" w:hAnsi="Calibri"/>
                <w:sz w:val="16"/>
              </w:rPr>
            </w:pPr>
            <w:r>
              <w:rPr>
                <w:rFonts w:ascii="Calibri" w:hAnsi="Calibri"/>
                <w:sz w:val="16"/>
              </w:rPr>
              <w:t xml:space="preserve">(c)    Future meeting, presentation to be included in final draft of report. </w:t>
            </w:r>
          </w:p>
        </w:tc>
      </w:tr>
    </w:tbl>
    <w:p w14:paraId="0F294FD0" w14:textId="0E1A573C" w:rsidR="00522E71" w:rsidRDefault="00522E71" w:rsidP="00897F65">
      <w:r>
        <w:t xml:space="preserve"> </w:t>
      </w:r>
    </w:p>
    <w:p w14:paraId="42749AEF" w14:textId="31AF87F3" w:rsidR="0063602B" w:rsidRDefault="003278E7" w:rsidP="00897F65">
      <w:r>
        <w:t xml:space="preserve">During the course of the development of this 2022 GMP, </w:t>
      </w:r>
      <w:r w:rsidR="00C674EC">
        <w:t>West Yost participated in additiona</w:t>
      </w:r>
      <w:r w:rsidR="004973DF">
        <w:t>l</w:t>
      </w:r>
      <w:r>
        <w:t xml:space="preserve"> meetings</w:t>
      </w:r>
      <w:r w:rsidR="005E2104">
        <w:t xml:space="preserve"> </w:t>
      </w:r>
      <w:r w:rsidR="00C674EC">
        <w:t>with SAWPA, the Santa Ana Water Board</w:t>
      </w:r>
      <w:r w:rsidR="004973DF">
        <w:t>,</w:t>
      </w:r>
      <w:r w:rsidR="00C674EC">
        <w:t xml:space="preserve"> and Task Force me</w:t>
      </w:r>
      <w:r w:rsidR="004973DF">
        <w:t>mbers</w:t>
      </w:r>
      <w:r w:rsidR="003A298C">
        <w:t xml:space="preserve"> </w:t>
      </w:r>
      <w:r w:rsidR="0063602B">
        <w:t>to obtain input. Meetings included:</w:t>
      </w:r>
    </w:p>
    <w:p w14:paraId="58252515" w14:textId="30548B15" w:rsidR="001F0018" w:rsidRDefault="00417D0A" w:rsidP="001F0018">
      <w:pPr>
        <w:pStyle w:val="ListParagraph"/>
        <w:numPr>
          <w:ilvl w:val="0"/>
          <w:numId w:val="33"/>
        </w:numPr>
        <w:spacing w:after="80"/>
        <w:contextualSpacing w:val="0"/>
        <w:jc w:val="left"/>
      </w:pPr>
      <w:r>
        <w:t xml:space="preserve">Meetings with Task Force members. West Yost </w:t>
      </w:r>
      <w:r w:rsidR="004876B3">
        <w:t>invited all</w:t>
      </w:r>
      <w:r w:rsidR="00772B95">
        <w:t xml:space="preserve"> </w:t>
      </w:r>
      <w:r w:rsidR="00772B95">
        <w:t>interested Task Force members to discuss input and feedback</w:t>
      </w:r>
      <w:r w:rsidR="004876B3">
        <w:t xml:space="preserve"> into the process</w:t>
      </w:r>
      <w:r w:rsidR="00772B95">
        <w:t>, i</w:t>
      </w:r>
      <w:r w:rsidR="00D95902">
        <w:t xml:space="preserve">n addition to </w:t>
      </w:r>
      <w:r w:rsidR="00B173C1">
        <w:t>discussing the ongoing groundwater monitoring efforts.</w:t>
      </w:r>
    </w:p>
    <w:p w14:paraId="1852837A" w14:textId="6759346A" w:rsidR="00973674" w:rsidRDefault="008F7F61" w:rsidP="00C674EC">
      <w:pPr>
        <w:pStyle w:val="ListParagraph"/>
        <w:numPr>
          <w:ilvl w:val="0"/>
          <w:numId w:val="33"/>
        </w:numPr>
        <w:spacing w:after="80"/>
        <w:contextualSpacing w:val="0"/>
        <w:jc w:val="left"/>
      </w:pPr>
      <w:r>
        <w:t xml:space="preserve">Periodic </w:t>
      </w:r>
      <w:r w:rsidR="0063602B">
        <w:t>Meetings with</w:t>
      </w:r>
      <w:r w:rsidR="005E2104">
        <w:t xml:space="preserve"> the Task Force administrator (Mark Norton), Task Force policy consultant (Tess Dunham, KSC), and </w:t>
      </w:r>
      <w:r w:rsidR="00760684">
        <w:t>Santa Ana Water Board Staff (Cindy Li, Keith Person, and/or Eric Lindberg)</w:t>
      </w:r>
      <w:r w:rsidR="003A298C">
        <w:t>. The purp</w:t>
      </w:r>
      <w:r w:rsidR="00195BF6">
        <w:t>ose of the</w:t>
      </w:r>
      <w:r w:rsidR="001F0018">
        <w:t>se</w:t>
      </w:r>
      <w:r w:rsidR="00195BF6">
        <w:t xml:space="preserve"> </w:t>
      </w:r>
      <w:r w:rsidR="00195BF6">
        <w:t xml:space="preserve">meetings was to ensure that </w:t>
      </w:r>
      <w:r w:rsidR="000B41D0">
        <w:t>any</w:t>
      </w:r>
      <w:r w:rsidR="00195BF6">
        <w:t xml:space="preserve"> </w:t>
      </w:r>
      <w:r w:rsidR="00195BF6">
        <w:t>policy interpretations</w:t>
      </w:r>
      <w:r w:rsidR="000B41D0">
        <w:t xml:space="preserve"> </w:t>
      </w:r>
      <w:r w:rsidR="00195BF6">
        <w:t>were consistent with</w:t>
      </w:r>
      <w:r w:rsidR="00EE3527">
        <w:t xml:space="preserve"> the Santa Ana</w:t>
      </w:r>
      <w:r w:rsidR="00195BF6">
        <w:t xml:space="preserve"> Water Board staff understanding and the 2022 GMP would meet the Santa Ana Water Board’s requirements a</w:t>
      </w:r>
      <w:r w:rsidR="00682A7F">
        <w:t xml:space="preserve">nd expectations. </w:t>
      </w:r>
    </w:p>
    <w:p w14:paraId="7E472AE7" w14:textId="77777777" w:rsidR="004C2B48" w:rsidRDefault="008F7F61" w:rsidP="001F0018">
      <w:pPr>
        <w:pStyle w:val="ListParagraph"/>
        <w:numPr>
          <w:ilvl w:val="0"/>
          <w:numId w:val="33"/>
        </w:numPr>
        <w:jc w:val="left"/>
      </w:pPr>
      <w:r>
        <w:t>One m</w:t>
      </w:r>
      <w:r w:rsidR="00C674EC">
        <w:t>eeting</w:t>
      </w:r>
      <w:r>
        <w:t xml:space="preserve"> with</w:t>
      </w:r>
      <w:r w:rsidR="00682A7F">
        <w:t xml:space="preserve"> </w:t>
      </w:r>
      <w:r w:rsidR="00682A7F">
        <w:t xml:space="preserve">Task Force’s </w:t>
      </w:r>
      <w:r w:rsidR="00E54C37">
        <w:t>S</w:t>
      </w:r>
      <w:r w:rsidR="00682A7F">
        <w:t xml:space="preserve">coping </w:t>
      </w:r>
      <w:r w:rsidR="00E54C37">
        <w:t>C</w:t>
      </w:r>
      <w:r w:rsidR="00682A7F">
        <w:t>ommittee</w:t>
      </w:r>
      <w:r w:rsidR="00F9076F">
        <w:t xml:space="preserve">, including </w:t>
      </w:r>
      <w:r w:rsidR="00364ACB">
        <w:t xml:space="preserve">Santa Ana </w:t>
      </w:r>
      <w:r w:rsidR="00F9076F">
        <w:t>Water Board Staff</w:t>
      </w:r>
      <w:r>
        <w:t>.</w:t>
      </w:r>
      <w:r w:rsidR="00682A7F">
        <w:t xml:space="preserve"> </w:t>
      </w:r>
      <w:r>
        <w:t>The purpose of this meeting was</w:t>
      </w:r>
      <w:r w:rsidR="00682A7F">
        <w:t xml:space="preserve"> to help refine </w:t>
      </w:r>
      <w:r w:rsidR="00F9076F">
        <w:t xml:space="preserve">the scope of work for the 2021 AWQ Pilot Study. </w:t>
      </w:r>
    </w:p>
    <w:p w14:paraId="0EC24175" w14:textId="15FBF733" w:rsidR="003278E7" w:rsidRDefault="00F9076F" w:rsidP="000E1CE5">
      <w:r>
        <w:t>The input received in these meetings was</w:t>
      </w:r>
      <w:r>
        <w:t xml:space="preserve"> </w:t>
      </w:r>
      <w:r>
        <w:t>considered in the development of this plan</w:t>
      </w:r>
      <w:r w:rsidR="0045431D">
        <w:t xml:space="preserve"> together with the feedback from the Task Force workshops and agency meetings</w:t>
      </w:r>
      <w:r>
        <w:t xml:space="preserve">. </w:t>
      </w:r>
    </w:p>
    <w:p w14:paraId="2F686CC4" w14:textId="5904E4B3" w:rsidR="00BA328A" w:rsidRDefault="00A85072" w:rsidP="00BA328A">
      <w:pPr>
        <w:pStyle w:val="Heading2"/>
      </w:pPr>
      <w:bookmarkStart w:id="29" w:name="_Toc117719786"/>
      <w:r>
        <w:t xml:space="preserve">Data </w:t>
      </w:r>
      <w:r w:rsidR="00A41EA2">
        <w:t xml:space="preserve">Collection, </w:t>
      </w:r>
      <w:r w:rsidR="007861F8">
        <w:t>Review</w:t>
      </w:r>
      <w:r w:rsidR="00A41EA2">
        <w:t>,</w:t>
      </w:r>
      <w:r w:rsidR="007861F8">
        <w:t xml:space="preserve"> and </w:t>
      </w:r>
      <w:r>
        <w:t xml:space="preserve">Analysis to Support </w:t>
      </w:r>
      <w:r w:rsidR="007861F8">
        <w:t xml:space="preserve">2022 </w:t>
      </w:r>
      <w:r>
        <w:t>GMP Update</w:t>
      </w:r>
      <w:bookmarkEnd w:id="29"/>
    </w:p>
    <w:p w14:paraId="6AF2EDA0" w14:textId="18A1D874" w:rsidR="008B086E" w:rsidRDefault="00DA65ED" w:rsidP="00BA328A">
      <w:r>
        <w:t xml:space="preserve">Two of the key objectives of this 2022 GMP </w:t>
      </w:r>
      <w:r w:rsidR="006D4935">
        <w:t>were</w:t>
      </w:r>
      <w:r>
        <w:t xml:space="preserve"> to (1) document the ongoing groundwater monitoring that will be performed to support the Basin Plan SNMP and (2) identify the opportunities and approaches for modifying the current </w:t>
      </w:r>
      <w:r w:rsidR="003D73F0">
        <w:t>technical</w:t>
      </w:r>
      <w:r>
        <w:t xml:space="preserve"> approach for the triennial </w:t>
      </w:r>
      <w:proofErr w:type="spellStart"/>
      <w:r>
        <w:t>recomputation</w:t>
      </w:r>
      <w:proofErr w:type="spellEnd"/>
      <w:r>
        <w:t xml:space="preserve"> of </w:t>
      </w:r>
      <w:r w:rsidR="00CF0B52">
        <w:t>AWQ</w:t>
      </w:r>
      <w:r>
        <w:t xml:space="preserve"> and assimilative capacity. </w:t>
      </w:r>
      <w:r w:rsidR="003D73F0">
        <w:t xml:space="preserve">To support these objectives, it was necessary to do a critical review of the data </w:t>
      </w:r>
      <w:r w:rsidR="003D73F0" w:rsidRPr="00A41EA2">
        <w:t xml:space="preserve">collection process, the data used in the analysis, </w:t>
      </w:r>
      <w:r w:rsidR="00286E1E">
        <w:t xml:space="preserve">and </w:t>
      </w:r>
      <w:r w:rsidR="003D73F0" w:rsidRPr="00A41EA2">
        <w:t>the analytical method</w:t>
      </w:r>
      <w:r w:rsidR="009455C5" w:rsidRPr="00A41EA2">
        <w:t>s</w:t>
      </w:r>
      <w:r w:rsidR="003D73F0" w:rsidRPr="00A41EA2">
        <w:t>. The purpose of the review was to</w:t>
      </w:r>
      <w:r w:rsidR="009455C5" w:rsidRPr="00A41EA2">
        <w:t xml:space="preserve"> identify and understand </w:t>
      </w:r>
      <w:r w:rsidR="00902BAE">
        <w:t xml:space="preserve">the opportunities for improving the </w:t>
      </w:r>
      <w:r w:rsidR="009455C5" w:rsidRPr="00A41EA2">
        <w:t>process</w:t>
      </w:r>
      <w:r w:rsidR="00A41EA2" w:rsidRPr="00A41EA2">
        <w:t xml:space="preserve"> and technical methods to better achieve the regulatory objectives and perform the work more efficiently over time.</w:t>
      </w:r>
      <w:r w:rsidR="00A41EA2">
        <w:t xml:space="preserve"> </w:t>
      </w:r>
      <w:r w:rsidR="008B086E">
        <w:t xml:space="preserve">This report </w:t>
      </w:r>
      <w:r w:rsidR="00781E9D">
        <w:t>does</w:t>
      </w:r>
      <w:r w:rsidR="008B086E">
        <w:t xml:space="preserve"> not</w:t>
      </w:r>
      <w:r w:rsidR="008B086E">
        <w:t xml:space="preserve"> provide a detailed overview of the technical method</w:t>
      </w:r>
      <w:r w:rsidR="00A26D4B">
        <w:t>ology</w:t>
      </w:r>
      <w:r w:rsidR="008B086E">
        <w:t xml:space="preserve"> used to compute AWQ. For a detailed understanding of the</w:t>
      </w:r>
      <w:r w:rsidR="002509DB">
        <w:t xml:space="preserve"> current</w:t>
      </w:r>
      <w:r w:rsidR="008B086E">
        <w:t xml:space="preserve"> methods, </w:t>
      </w:r>
      <w:r w:rsidR="001056F1">
        <w:t>refer to</w:t>
      </w:r>
      <w:r w:rsidR="00B62E68">
        <w:t xml:space="preserve"> the 2018 </w:t>
      </w:r>
      <w:proofErr w:type="spellStart"/>
      <w:r w:rsidR="00B62E68">
        <w:t>Recomputation</w:t>
      </w:r>
      <w:proofErr w:type="spellEnd"/>
      <w:r w:rsidR="00B62E68">
        <w:t xml:space="preserve"> of Ambient Water Quality report (</w:t>
      </w:r>
      <w:r w:rsidR="001056F1">
        <w:t>WSC, 2020</w:t>
      </w:r>
      <w:r w:rsidR="00B62E68">
        <w:t>)</w:t>
      </w:r>
      <w:r w:rsidR="001056F1">
        <w:t>.</w:t>
      </w:r>
    </w:p>
    <w:p w14:paraId="542177AA" w14:textId="14ED340F" w:rsidR="00BA328A" w:rsidRDefault="00A61480" w:rsidP="00BA328A">
      <w:r>
        <w:lastRenderedPageBreak/>
        <w:t xml:space="preserve">The </w:t>
      </w:r>
      <w:r w:rsidR="008F2C00">
        <w:t xml:space="preserve">data collection, review, and analysis </w:t>
      </w:r>
      <w:r>
        <w:t>process involved:</w:t>
      </w:r>
    </w:p>
    <w:p w14:paraId="03A11786" w14:textId="40C19CD7" w:rsidR="00BE02C6" w:rsidRDefault="00B526C5" w:rsidP="00133081">
      <w:pPr>
        <w:pStyle w:val="ListParagraph"/>
        <w:numPr>
          <w:ilvl w:val="0"/>
          <w:numId w:val="19"/>
        </w:numPr>
        <w:spacing w:after="80"/>
        <w:contextualSpacing w:val="0"/>
        <w:jc w:val="left"/>
      </w:pPr>
      <w:r>
        <w:t>Reviewing and summarizing</w:t>
      </w:r>
      <w:r w:rsidR="00BE02C6">
        <w:t xml:space="preserve"> the findings </w:t>
      </w:r>
      <w:r w:rsidR="007C3160">
        <w:t xml:space="preserve">and recommendations </w:t>
      </w:r>
      <w:r w:rsidR="00BE02C6">
        <w:t xml:space="preserve">of the </w:t>
      </w:r>
      <w:r w:rsidR="00CF0B52">
        <w:t>AWQ</w:t>
      </w:r>
      <w:r w:rsidR="00BE02C6">
        <w:t xml:space="preserve"> </w:t>
      </w:r>
      <w:proofErr w:type="spellStart"/>
      <w:r w:rsidR="00BE02C6">
        <w:t>recomputations</w:t>
      </w:r>
      <w:proofErr w:type="spellEnd"/>
      <w:r w:rsidR="00BE02C6">
        <w:t xml:space="preserve"> performed to date, including:</w:t>
      </w:r>
    </w:p>
    <w:p w14:paraId="5C4DF59B" w14:textId="44BF5545" w:rsidR="00BE02C6" w:rsidRDefault="00B13AD5" w:rsidP="00133081">
      <w:pPr>
        <w:pStyle w:val="ListParagraph"/>
        <w:numPr>
          <w:ilvl w:val="1"/>
          <w:numId w:val="19"/>
        </w:numPr>
        <w:spacing w:after="80"/>
        <w:contextualSpacing w:val="0"/>
        <w:jc w:val="left"/>
      </w:pPr>
      <w:r>
        <w:t>Assess</w:t>
      </w:r>
      <w:r w:rsidR="00E623AD">
        <w:t>ing AWQ trends and</w:t>
      </w:r>
      <w:r>
        <w:t xml:space="preserve"> the state of assimilative capacity since 2004</w:t>
      </w:r>
    </w:p>
    <w:p w14:paraId="00DBB6EF" w14:textId="2030F754" w:rsidR="00BE02C6" w:rsidRDefault="00D07F24" w:rsidP="00133081">
      <w:pPr>
        <w:pStyle w:val="ListParagraph"/>
        <w:numPr>
          <w:ilvl w:val="1"/>
          <w:numId w:val="19"/>
        </w:numPr>
        <w:spacing w:after="80"/>
        <w:contextualSpacing w:val="0"/>
        <w:jc w:val="left"/>
      </w:pPr>
      <w:r>
        <w:t>Assessing the advancements in the i</w:t>
      </w:r>
      <w:r w:rsidR="00BE02C6">
        <w:t>nterpretive tools</w:t>
      </w:r>
      <w:r>
        <w:t xml:space="preserve"> employed to </w:t>
      </w:r>
      <w:r w:rsidR="0043709A">
        <w:t xml:space="preserve">(1) </w:t>
      </w:r>
      <w:r w:rsidR="003142C3">
        <w:t xml:space="preserve">characterize the </w:t>
      </w:r>
      <w:r w:rsidR="0043709A">
        <w:t>drivers and trends</w:t>
      </w:r>
      <w:r w:rsidR="003142C3">
        <w:t xml:space="preserve"> in water quality over time and </w:t>
      </w:r>
      <w:r w:rsidR="0043709A">
        <w:t xml:space="preserve">(2) </w:t>
      </w:r>
      <w:r w:rsidR="003142C3">
        <w:t xml:space="preserve">assess the longevity of the </w:t>
      </w:r>
      <w:r w:rsidR="00B13AD5">
        <w:t>groundwater monitoring networks</w:t>
      </w:r>
    </w:p>
    <w:p w14:paraId="7BEB29FD" w14:textId="493F8CEF" w:rsidR="00BE02C6" w:rsidRDefault="00BE02C6" w:rsidP="00133081">
      <w:pPr>
        <w:pStyle w:val="ListParagraph"/>
        <w:numPr>
          <w:ilvl w:val="0"/>
          <w:numId w:val="19"/>
        </w:numPr>
        <w:spacing w:after="80"/>
        <w:contextualSpacing w:val="0"/>
        <w:jc w:val="left"/>
      </w:pPr>
      <w:r>
        <w:t>Summariz</w:t>
      </w:r>
      <w:r w:rsidR="00E623AD">
        <w:t>ing</w:t>
      </w:r>
      <w:r>
        <w:t xml:space="preserve"> historical and</w:t>
      </w:r>
      <w:r w:rsidR="00A61480" w:rsidRPr="00BE02C6">
        <w:t xml:space="preserve"> ongoing monitoring efforts</w:t>
      </w:r>
      <w:r>
        <w:t>, including:</w:t>
      </w:r>
    </w:p>
    <w:p w14:paraId="10EE28D7" w14:textId="63734DFE" w:rsidR="00BE02C6" w:rsidRDefault="00BE02C6" w:rsidP="00133081">
      <w:pPr>
        <w:pStyle w:val="ListParagraph"/>
        <w:numPr>
          <w:ilvl w:val="1"/>
          <w:numId w:val="19"/>
        </w:numPr>
        <w:spacing w:after="80"/>
        <w:contextualSpacing w:val="0"/>
        <w:jc w:val="left"/>
      </w:pPr>
      <w:r>
        <w:t>Creating summary tables, by GMZ, of all the wells with data in the 2018 AWQ analysis</w:t>
      </w:r>
    </w:p>
    <w:p w14:paraId="66EFEB55" w14:textId="090179F1" w:rsidR="00A61480" w:rsidRDefault="00A61480" w:rsidP="00133081">
      <w:pPr>
        <w:pStyle w:val="ListParagraph"/>
        <w:numPr>
          <w:ilvl w:val="1"/>
          <w:numId w:val="19"/>
        </w:numPr>
        <w:spacing w:after="80"/>
        <w:contextualSpacing w:val="0"/>
        <w:jc w:val="left"/>
      </w:pPr>
      <w:r>
        <w:t>Coordinat</w:t>
      </w:r>
      <w:r w:rsidR="00A26CB6">
        <w:t>ing</w:t>
      </w:r>
      <w:r>
        <w:t xml:space="preserve"> </w:t>
      </w:r>
      <w:r>
        <w:t xml:space="preserve">with the Task Force members to </w:t>
      </w:r>
      <w:r w:rsidR="00BE02C6">
        <w:t xml:space="preserve">identify </w:t>
      </w:r>
      <w:r>
        <w:t xml:space="preserve">which wells in each GMZ will continue to be monitored into the future, including identifying for each well: who </w:t>
      </w:r>
      <w:proofErr w:type="spellStart"/>
      <w:r>
        <w:t>preforms</w:t>
      </w:r>
      <w:proofErr w:type="spellEnd"/>
      <w:r>
        <w:t xml:space="preserve"> the well sampling, how often TDS and nitrate data are analyzed, and who has been responsible to report the data to SAWPA and the Task Force in prior data collection efforts. This</w:t>
      </w:r>
      <w:r w:rsidR="00EC0C10">
        <w:t xml:space="preserve"> also</w:t>
      </w:r>
      <w:r>
        <w:t xml:space="preserve"> involved outreach to numerous parties that </w:t>
      </w:r>
      <w:r w:rsidR="009927B5">
        <w:t xml:space="preserve">are </w:t>
      </w:r>
      <w:r>
        <w:t xml:space="preserve">well </w:t>
      </w:r>
      <w:proofErr w:type="gramStart"/>
      <w:r>
        <w:t>owners, but</w:t>
      </w:r>
      <w:proofErr w:type="gramEnd"/>
      <w:r>
        <w:t xml:space="preserve"> are not members of the Task Force.</w:t>
      </w:r>
      <w:r w:rsidR="00BE02C6">
        <w:t xml:space="preserve"> The ongoing monitoring efforts </w:t>
      </w:r>
      <w:r w:rsidR="00C71E60">
        <w:t>comprise the groundwater monitoring network that is</w:t>
      </w:r>
      <w:r w:rsidR="00BE02C6">
        <w:t xml:space="preserve"> </w:t>
      </w:r>
      <w:r w:rsidR="00BE02C6">
        <w:t>documented in Section 3 of this Report.</w:t>
      </w:r>
    </w:p>
    <w:p w14:paraId="59EFC1D5" w14:textId="2516F487" w:rsidR="00250E12" w:rsidRDefault="00BE02C6" w:rsidP="00770A08">
      <w:pPr>
        <w:pStyle w:val="ListParagraph"/>
        <w:numPr>
          <w:ilvl w:val="0"/>
          <w:numId w:val="19"/>
        </w:numPr>
        <w:spacing w:after="80"/>
        <w:contextualSpacing w:val="0"/>
        <w:jc w:val="left"/>
      </w:pPr>
      <w:r>
        <w:t>Assessing the spatial distribution of the h</w:t>
      </w:r>
      <w:r w:rsidR="00A61480" w:rsidRPr="00A41EA2">
        <w:t xml:space="preserve">istorical and </w:t>
      </w:r>
      <w:r>
        <w:t>o</w:t>
      </w:r>
      <w:r w:rsidR="00A61480" w:rsidRPr="00A41EA2">
        <w:t xml:space="preserve">ngoing </w:t>
      </w:r>
      <w:r>
        <w:t xml:space="preserve">monitoring network </w:t>
      </w:r>
      <w:r w:rsidR="00770A08">
        <w:t>by</w:t>
      </w:r>
      <w:r w:rsidR="00770A08">
        <w:t xml:space="preserve"> c</w:t>
      </w:r>
      <w:r>
        <w:t>omparing</w:t>
      </w:r>
      <w:r w:rsidR="00223059">
        <w:t xml:space="preserve"> the location of </w:t>
      </w:r>
      <w:r w:rsidR="00C15528">
        <w:t xml:space="preserve">wells with </w:t>
      </w:r>
      <w:r w:rsidR="00C43BF6">
        <w:t>data points used to contour TDS and nitrate relative to</w:t>
      </w:r>
      <w:r w:rsidR="00250E12">
        <w:t>:</w:t>
      </w:r>
    </w:p>
    <w:p w14:paraId="11FE0C20" w14:textId="3CA581C0" w:rsidR="00644817" w:rsidRDefault="00250E12" w:rsidP="00CE655D">
      <w:pPr>
        <w:pStyle w:val="ListParagraph"/>
        <w:numPr>
          <w:ilvl w:val="1"/>
          <w:numId w:val="19"/>
        </w:numPr>
        <w:spacing w:after="80"/>
        <w:contextualSpacing w:val="0"/>
        <w:jc w:val="left"/>
      </w:pPr>
      <w:r>
        <w:t xml:space="preserve">The spatial distribution of </w:t>
      </w:r>
      <w:r w:rsidR="00CE655D">
        <w:t xml:space="preserve">ambient </w:t>
      </w:r>
      <w:r>
        <w:t>T</w:t>
      </w:r>
      <w:r>
        <w:t>DS concentrations</w:t>
      </w:r>
      <w:r w:rsidR="00CE655D">
        <w:t xml:space="preserve"> in the GMZ</w:t>
      </w:r>
    </w:p>
    <w:p w14:paraId="2AB256E5" w14:textId="612A1A71" w:rsidR="00BE02C6" w:rsidRDefault="00644817" w:rsidP="00CE655D">
      <w:pPr>
        <w:pStyle w:val="ListParagraph"/>
        <w:numPr>
          <w:ilvl w:val="1"/>
          <w:numId w:val="19"/>
        </w:numPr>
        <w:spacing w:after="80"/>
        <w:contextualSpacing w:val="0"/>
        <w:jc w:val="left"/>
      </w:pPr>
      <w:r>
        <w:t>T</w:t>
      </w:r>
      <w:r w:rsidR="00BB1F6F">
        <w:t xml:space="preserve">he distribution of </w:t>
      </w:r>
      <w:r>
        <w:t>ground</w:t>
      </w:r>
      <w:r w:rsidR="00BB1F6F">
        <w:t>water in storage w</w:t>
      </w:r>
      <w:r w:rsidR="0066034E">
        <w:t xml:space="preserve">ithin the </w:t>
      </w:r>
      <w:r>
        <w:t>GMZ boundary</w:t>
      </w:r>
      <w:r>
        <w:tab/>
      </w:r>
    </w:p>
    <w:p w14:paraId="2E1A14A0" w14:textId="15EC38A1" w:rsidR="00A61480" w:rsidRDefault="00A03470" w:rsidP="00A03470">
      <w:pPr>
        <w:pStyle w:val="ListParagraph"/>
        <w:numPr>
          <w:ilvl w:val="1"/>
          <w:numId w:val="19"/>
        </w:numPr>
        <w:contextualSpacing w:val="0"/>
        <w:jc w:val="left"/>
      </w:pPr>
      <w:r>
        <w:t xml:space="preserve">The </w:t>
      </w:r>
      <w:r w:rsidR="00250E12">
        <w:t xml:space="preserve">location of </w:t>
      </w:r>
      <w:r>
        <w:t>wells that continue to be monitored</w:t>
      </w:r>
    </w:p>
    <w:p w14:paraId="043A50B4" w14:textId="2D69ACB4" w:rsidR="00740D91" w:rsidRDefault="000D4737" w:rsidP="00ED66C4">
      <w:r>
        <w:t>The key take</w:t>
      </w:r>
      <w:r w:rsidR="00CA5265">
        <w:t>-aways from these reviews are discussed in Section 2.3.</w:t>
      </w:r>
    </w:p>
    <w:p w14:paraId="3964D169" w14:textId="2F2F8FBA" w:rsidR="002D2E27" w:rsidRDefault="002D2E27" w:rsidP="002D2E27">
      <w:pPr>
        <w:pStyle w:val="Heading2"/>
      </w:pPr>
      <w:bookmarkStart w:id="30" w:name="_Toc117719787"/>
      <w:r>
        <w:t xml:space="preserve">Summary of </w:t>
      </w:r>
      <w:r w:rsidR="00212D5E">
        <w:t xml:space="preserve">Key Findings and </w:t>
      </w:r>
      <w:r>
        <w:t>Lessons Learned</w:t>
      </w:r>
      <w:bookmarkEnd w:id="30"/>
    </w:p>
    <w:p w14:paraId="15B5C3AE" w14:textId="724F2F60" w:rsidR="00212D5E" w:rsidRDefault="00212D5E" w:rsidP="00212D5E">
      <w:pPr>
        <w:pStyle w:val="Heading3"/>
      </w:pPr>
      <w:r>
        <w:t xml:space="preserve">Assimilative Capacity </w:t>
      </w:r>
    </w:p>
    <w:p w14:paraId="6A5AC5E8" w14:textId="4C253024" w:rsidR="00FF1AA8" w:rsidRDefault="00B84DB8" w:rsidP="00FF1AA8">
      <w:r>
        <w:t>As of 202</w:t>
      </w:r>
      <w:r w:rsidR="002857C0">
        <w:t>2</w:t>
      </w:r>
      <w:r>
        <w:t>, there are a total of 35 GMZs in the SAR Watershed.</w:t>
      </w:r>
      <w:r>
        <w:rPr>
          <w:rStyle w:val="FootnoteReference"/>
        </w:rPr>
        <w:footnoteReference w:id="7"/>
      </w:r>
      <w:r>
        <w:t xml:space="preserve"> </w:t>
      </w:r>
      <w:r w:rsidR="009666AB">
        <w:t xml:space="preserve">Seven of the GMZs have maximum-benefit based </w:t>
      </w:r>
      <w:r w:rsidR="00B32931">
        <w:t>TDS and nitrate</w:t>
      </w:r>
      <w:r w:rsidR="009666AB">
        <w:t xml:space="preserve"> objectives</w:t>
      </w:r>
      <w:r w:rsidR="00835DD6">
        <w:t>,</w:t>
      </w:r>
      <w:r w:rsidR="00B32931">
        <w:rPr>
          <w:rStyle w:val="FootnoteReference"/>
        </w:rPr>
        <w:footnoteReference w:id="8"/>
      </w:r>
      <w:r w:rsidR="009666AB">
        <w:t xml:space="preserve"> and the rest are regulated via </w:t>
      </w:r>
      <w:r w:rsidR="00B32931">
        <w:t xml:space="preserve">the </w:t>
      </w:r>
      <w:r w:rsidR="009666AB">
        <w:t>antidegradation objectives</w:t>
      </w:r>
      <w:r w:rsidR="00B32931">
        <w:t xml:space="preserve"> established by the 2004 Basin Plan amendment</w:t>
      </w:r>
      <w:r w:rsidR="009666AB">
        <w:t xml:space="preserve">. </w:t>
      </w:r>
      <w:r w:rsidR="00A32648">
        <w:t xml:space="preserve">Figures 2-1 and 2-2 show the state of assimilative capacity for TDS and nitrate, respectively as of 2018. </w:t>
      </w:r>
    </w:p>
    <w:p w14:paraId="4C27371C" w14:textId="1C08B226" w:rsidR="0077362A" w:rsidRDefault="0077362A" w:rsidP="00FF1AA8">
      <w:r>
        <w:t>With respect to TDS (Figure 2-1):</w:t>
      </w:r>
    </w:p>
    <w:p w14:paraId="09CBA136" w14:textId="4C9A636B" w:rsidR="00536248" w:rsidRDefault="002857C0" w:rsidP="0027411B">
      <w:pPr>
        <w:pStyle w:val="Bullet"/>
      </w:pPr>
      <w:r>
        <w:t>Eleven</w:t>
      </w:r>
      <w:r w:rsidR="00536248">
        <w:t xml:space="preserve"> GMZs have assimilative capacity for TDS</w:t>
      </w:r>
      <w:r w:rsidR="00245B98">
        <w:t>.</w:t>
      </w:r>
      <w:r w:rsidR="008356C8">
        <w:t xml:space="preserve"> </w:t>
      </w:r>
      <w:r w:rsidR="00245B98">
        <w:t>Of these,</w:t>
      </w:r>
    </w:p>
    <w:p w14:paraId="3394CE8B" w14:textId="12FC0D7B" w:rsidR="00967098" w:rsidRDefault="00CB72C8" w:rsidP="0027411B">
      <w:pPr>
        <w:pStyle w:val="ListBullet2"/>
      </w:pPr>
      <w:r>
        <w:lastRenderedPageBreak/>
        <w:t>six</w:t>
      </w:r>
      <w:r w:rsidR="00967098">
        <w:t xml:space="preserve"> GMZ are Maximum Benefit GMZs</w:t>
      </w:r>
      <w:r w:rsidR="00BF3D8F">
        <w:t xml:space="preserve"> with alternative objectives that were set to intentionally create assimilative capacity and enable recycled water use.</w:t>
      </w:r>
    </w:p>
    <w:p w14:paraId="6ED22B7B" w14:textId="22FBE1A7" w:rsidR="00A32648" w:rsidRDefault="0077362A" w:rsidP="0027411B">
      <w:pPr>
        <w:pStyle w:val="Bullet"/>
      </w:pPr>
      <w:r>
        <w:t>2</w:t>
      </w:r>
      <w:r w:rsidR="00BD0842">
        <w:t>0</w:t>
      </w:r>
      <w:r>
        <w:t xml:space="preserve"> GMZs have no assimilative capacity for TDS</w:t>
      </w:r>
      <w:r w:rsidR="00B82BEF">
        <w:t>. Of these,</w:t>
      </w:r>
    </w:p>
    <w:p w14:paraId="32A81DD3" w14:textId="3F3576E9" w:rsidR="00090FF9" w:rsidRDefault="00090FF9" w:rsidP="0027411B">
      <w:pPr>
        <w:pStyle w:val="ListBullet2"/>
      </w:pPr>
      <w:r>
        <w:t>14</w:t>
      </w:r>
      <w:r w:rsidR="00245573">
        <w:t xml:space="preserve"> GMZs</w:t>
      </w:r>
      <w:r>
        <w:t xml:space="preserve"> have had no assimilative capacity since the 2003 AWQ </w:t>
      </w:r>
      <w:proofErr w:type="spellStart"/>
      <w:r>
        <w:t>recomputation</w:t>
      </w:r>
      <w:proofErr w:type="spellEnd"/>
    </w:p>
    <w:p w14:paraId="488BF597" w14:textId="2292A65C" w:rsidR="00D357CD" w:rsidRDefault="006A1C32" w:rsidP="0027411B">
      <w:pPr>
        <w:pStyle w:val="ListBullet2"/>
      </w:pPr>
      <w:r>
        <w:t>Six</w:t>
      </w:r>
      <w:r w:rsidR="004A7B8A">
        <w:t xml:space="preserve"> GMZs lost assimilative capacity</w:t>
      </w:r>
      <w:r w:rsidR="004A7B8A">
        <w:t xml:space="preserve"> </w:t>
      </w:r>
      <w:r w:rsidR="00636661">
        <w:t>between</w:t>
      </w:r>
      <w:r w:rsidR="004A7B8A">
        <w:t xml:space="preserve"> the 200</w:t>
      </w:r>
      <w:r w:rsidR="00636661">
        <w:t>6 and 2018</w:t>
      </w:r>
      <w:r w:rsidR="004A7B8A">
        <w:t xml:space="preserve"> AWQ </w:t>
      </w:r>
      <w:proofErr w:type="spellStart"/>
      <w:r w:rsidR="004A7B8A">
        <w:t>recomputation</w:t>
      </w:r>
      <w:proofErr w:type="spellEnd"/>
    </w:p>
    <w:p w14:paraId="6D9A667A" w14:textId="11A8C99D" w:rsidR="00BD0842" w:rsidRDefault="0077362A" w:rsidP="00351D07">
      <w:pPr>
        <w:pStyle w:val="Bullet"/>
        <w:spacing w:after="240"/>
      </w:pPr>
      <w:r>
        <w:t>Four GMZ</w:t>
      </w:r>
      <w:r w:rsidR="00090FF9">
        <w:t>s have no assimilative capacity findings due to lack of data</w:t>
      </w:r>
    </w:p>
    <w:p w14:paraId="567FCF0D" w14:textId="77777777" w:rsidR="00B03304" w:rsidRDefault="00B03304" w:rsidP="00B03304">
      <w:r>
        <w:t>With respect to nitrate (Figure 2-2):</w:t>
      </w:r>
    </w:p>
    <w:p w14:paraId="0036F6E0" w14:textId="2EB62D53" w:rsidR="00B03304" w:rsidRDefault="00B03304" w:rsidP="00351D07">
      <w:pPr>
        <w:pStyle w:val="Bullet"/>
      </w:pPr>
      <w:r>
        <w:t>10 GMZs have assimilative capacity for nitrate</w:t>
      </w:r>
      <w:r w:rsidR="00245B98">
        <w:t>.</w:t>
      </w:r>
      <w:r w:rsidR="00245B98" w:rsidRPr="00245B98">
        <w:t xml:space="preserve"> </w:t>
      </w:r>
      <w:r w:rsidR="00245B98">
        <w:t>Of these,</w:t>
      </w:r>
    </w:p>
    <w:p w14:paraId="57A997FC" w14:textId="4F39F021" w:rsidR="00B03304" w:rsidRDefault="00B03304" w:rsidP="00351D07">
      <w:pPr>
        <w:pStyle w:val="ListBullet2"/>
      </w:pPr>
      <w:r>
        <w:t>four GMZs are Maximum Benefit GMZs with alternative objectives that were set to intentionally create assimilative capacity and enable recycled water use.</w:t>
      </w:r>
    </w:p>
    <w:p w14:paraId="203889A0" w14:textId="0A7115E9" w:rsidR="00B03304" w:rsidRDefault="00B03304" w:rsidP="00351D07">
      <w:pPr>
        <w:pStyle w:val="Bullet"/>
      </w:pPr>
      <w:r>
        <w:t>20 GMZs have no assimilative capacity for nitr</w:t>
      </w:r>
      <w:r w:rsidR="009D44AD">
        <w:t>a</w:t>
      </w:r>
      <w:r>
        <w:t>te. Of these,</w:t>
      </w:r>
    </w:p>
    <w:p w14:paraId="34047047" w14:textId="77777777" w:rsidR="00B03304" w:rsidRDefault="00B03304" w:rsidP="00351D07">
      <w:pPr>
        <w:pStyle w:val="ListBullet2"/>
      </w:pPr>
      <w:r>
        <w:t xml:space="preserve">19 GMZs have had no assimilative capacity since the 2003 AWQ </w:t>
      </w:r>
      <w:proofErr w:type="spellStart"/>
      <w:r>
        <w:t>recomputation</w:t>
      </w:r>
      <w:proofErr w:type="spellEnd"/>
    </w:p>
    <w:p w14:paraId="295433A1" w14:textId="473883F8" w:rsidR="00B03304" w:rsidRDefault="00B03304" w:rsidP="00351D07">
      <w:pPr>
        <w:pStyle w:val="ListBullet2"/>
      </w:pPr>
      <w:r>
        <w:t xml:space="preserve">One GMZ lost assimilative capacity </w:t>
      </w:r>
      <w:r w:rsidR="00636661">
        <w:t>between</w:t>
      </w:r>
      <w:r>
        <w:t xml:space="preserve"> the </w:t>
      </w:r>
      <w:r w:rsidR="00636661">
        <w:t>2006 and 2018</w:t>
      </w:r>
      <w:r>
        <w:t xml:space="preserve"> AWQ </w:t>
      </w:r>
      <w:proofErr w:type="spellStart"/>
      <w:r>
        <w:t>recomputation</w:t>
      </w:r>
      <w:proofErr w:type="spellEnd"/>
    </w:p>
    <w:p w14:paraId="4AF45DDE" w14:textId="63AC6C08" w:rsidR="00FD4229" w:rsidRDefault="00B03304" w:rsidP="00351D07">
      <w:pPr>
        <w:pStyle w:val="Bullet"/>
        <w:spacing w:after="240"/>
      </w:pPr>
      <w:r>
        <w:t>Four GMZs have no assimilative capacity findings due to lack of data</w:t>
      </w:r>
    </w:p>
    <w:p w14:paraId="4968181C" w14:textId="77777777" w:rsidR="00341CEA" w:rsidRDefault="008356C8" w:rsidP="00341CEA">
      <w:pPr>
        <w:keepNext/>
        <w:spacing w:after="60"/>
      </w:pPr>
      <w:r>
        <w:rPr>
          <w:noProof/>
        </w:rPr>
        <w:lastRenderedPageBreak/>
        <w:drawing>
          <wp:inline distT="0" distB="0" distL="0" distR="0" wp14:anchorId="34355B6E" wp14:editId="6D942B68">
            <wp:extent cx="5943600" cy="4430395"/>
            <wp:effectExtent l="0" t="0" r="0" b="8255"/>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5"/>
                    <a:stretch>
                      <a:fillRect/>
                    </a:stretch>
                  </pic:blipFill>
                  <pic:spPr>
                    <a:xfrm>
                      <a:off x="0" y="0"/>
                      <a:ext cx="5943600" cy="4430395"/>
                    </a:xfrm>
                    <a:prstGeom prst="rect">
                      <a:avLst/>
                    </a:prstGeom>
                  </pic:spPr>
                </pic:pic>
              </a:graphicData>
            </a:graphic>
          </wp:inline>
        </w:drawing>
      </w:r>
    </w:p>
    <w:p w14:paraId="7862FCDC" w14:textId="1BCD474C" w:rsidR="006A5416" w:rsidRPr="00341CEA" w:rsidRDefault="00341CEA" w:rsidP="00341CEA">
      <w:pPr>
        <w:keepNext/>
        <w:spacing w:before="60"/>
        <w:jc w:val="center"/>
        <w:rPr>
          <w:rFonts w:ascii="Calibri" w:hAnsi="Calibri" w:cs="Calibri"/>
          <w:b/>
          <w:szCs w:val="28"/>
        </w:rPr>
      </w:pPr>
      <w:r w:rsidRPr="00341CEA">
        <w:rPr>
          <w:rFonts w:ascii="Calibri" w:hAnsi="Calibri" w:cs="Calibri"/>
          <w:b/>
          <w:szCs w:val="28"/>
        </w:rPr>
        <w:t xml:space="preserve">Figure </w:t>
      </w:r>
      <w:r w:rsidR="001704A1">
        <w:rPr>
          <w:rFonts w:ascii="Calibri" w:hAnsi="Calibri" w:cs="Calibri"/>
          <w:b/>
          <w:szCs w:val="28"/>
        </w:rPr>
        <w:fldChar w:fldCharType="begin"/>
      </w:r>
      <w:r w:rsidR="001704A1">
        <w:rPr>
          <w:rFonts w:ascii="Calibri" w:hAnsi="Calibri" w:cs="Calibri"/>
          <w:b/>
          <w:szCs w:val="28"/>
        </w:rPr>
        <w:instrText xml:space="preserve"> STYLEREF 1 \s </w:instrText>
      </w:r>
      <w:r w:rsidR="001704A1">
        <w:rPr>
          <w:rFonts w:ascii="Calibri" w:hAnsi="Calibri" w:cs="Calibri"/>
          <w:b/>
          <w:szCs w:val="28"/>
        </w:rPr>
        <w:fldChar w:fldCharType="separate"/>
      </w:r>
      <w:r w:rsidR="00B65193">
        <w:rPr>
          <w:rFonts w:ascii="Calibri" w:hAnsi="Calibri" w:cs="Calibri"/>
          <w:b/>
          <w:noProof/>
          <w:szCs w:val="28"/>
        </w:rPr>
        <w:t>2</w:t>
      </w:r>
      <w:r w:rsidR="001704A1">
        <w:rPr>
          <w:rFonts w:ascii="Calibri" w:hAnsi="Calibri" w:cs="Calibri"/>
          <w:b/>
          <w:szCs w:val="28"/>
        </w:rPr>
        <w:fldChar w:fldCharType="end"/>
      </w:r>
      <w:r w:rsidR="001704A1">
        <w:rPr>
          <w:rFonts w:ascii="Calibri" w:hAnsi="Calibri" w:cs="Calibri"/>
          <w:b/>
          <w:szCs w:val="28"/>
        </w:rPr>
        <w:noBreakHyphen/>
      </w:r>
      <w:r w:rsidR="001704A1">
        <w:rPr>
          <w:rFonts w:ascii="Calibri" w:hAnsi="Calibri" w:cs="Calibri"/>
          <w:b/>
          <w:szCs w:val="28"/>
        </w:rPr>
        <w:fldChar w:fldCharType="begin"/>
      </w:r>
      <w:r w:rsidR="001704A1">
        <w:rPr>
          <w:rFonts w:ascii="Calibri" w:hAnsi="Calibri" w:cs="Calibri"/>
          <w:b/>
          <w:szCs w:val="28"/>
        </w:rPr>
        <w:instrText xml:space="preserve"> SEQ Figure \* ARABIC \s 1 </w:instrText>
      </w:r>
      <w:r w:rsidR="001704A1">
        <w:rPr>
          <w:rFonts w:ascii="Calibri" w:hAnsi="Calibri" w:cs="Calibri"/>
          <w:b/>
          <w:szCs w:val="28"/>
        </w:rPr>
        <w:fldChar w:fldCharType="separate"/>
      </w:r>
      <w:r w:rsidR="00B65193">
        <w:rPr>
          <w:rFonts w:ascii="Calibri" w:hAnsi="Calibri" w:cs="Calibri"/>
          <w:b/>
          <w:noProof/>
          <w:szCs w:val="28"/>
        </w:rPr>
        <w:t>1</w:t>
      </w:r>
      <w:r w:rsidR="001704A1">
        <w:rPr>
          <w:rFonts w:ascii="Calibri" w:hAnsi="Calibri" w:cs="Calibri"/>
          <w:b/>
          <w:szCs w:val="28"/>
        </w:rPr>
        <w:fldChar w:fldCharType="end"/>
      </w:r>
      <w:r w:rsidRPr="00341CEA">
        <w:rPr>
          <w:rFonts w:ascii="Calibri" w:hAnsi="Calibri" w:cs="Calibri"/>
          <w:b/>
          <w:szCs w:val="28"/>
        </w:rPr>
        <w:t xml:space="preserve"> Groundwater Management Zones with Assimilative Capacity for TDS</w:t>
      </w:r>
    </w:p>
    <w:p w14:paraId="4F02A473" w14:textId="77777777" w:rsidR="006A5416" w:rsidRDefault="006A5416" w:rsidP="002D2E27"/>
    <w:p w14:paraId="45FD710F" w14:textId="77777777" w:rsidR="006A5416" w:rsidRDefault="006A5416" w:rsidP="002D2E27"/>
    <w:p w14:paraId="6F2360FA" w14:textId="77777777" w:rsidR="00341CEA" w:rsidRDefault="006A5416" w:rsidP="00341CEA">
      <w:pPr>
        <w:keepNext/>
        <w:spacing w:after="60"/>
      </w:pPr>
      <w:r>
        <w:rPr>
          <w:noProof/>
        </w:rPr>
        <w:lastRenderedPageBreak/>
        <w:drawing>
          <wp:inline distT="0" distB="0" distL="0" distR="0" wp14:anchorId="17AE4C1A" wp14:editId="14AA4931">
            <wp:extent cx="5943600" cy="4418965"/>
            <wp:effectExtent l="0" t="0" r="0" b="635"/>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6"/>
                    <a:stretch>
                      <a:fillRect/>
                    </a:stretch>
                  </pic:blipFill>
                  <pic:spPr>
                    <a:xfrm>
                      <a:off x="0" y="0"/>
                      <a:ext cx="5943600" cy="4418965"/>
                    </a:xfrm>
                    <a:prstGeom prst="rect">
                      <a:avLst/>
                    </a:prstGeom>
                  </pic:spPr>
                </pic:pic>
              </a:graphicData>
            </a:graphic>
          </wp:inline>
        </w:drawing>
      </w:r>
    </w:p>
    <w:p w14:paraId="571960D5" w14:textId="66AE2289" w:rsidR="006A5416" w:rsidRPr="00341CEA" w:rsidRDefault="00341CEA" w:rsidP="00341CEA">
      <w:pPr>
        <w:keepNext/>
        <w:spacing w:before="60"/>
        <w:jc w:val="center"/>
        <w:rPr>
          <w:rFonts w:ascii="Calibri" w:hAnsi="Calibri" w:cs="Calibri"/>
          <w:b/>
          <w:szCs w:val="28"/>
        </w:rPr>
      </w:pPr>
      <w:r w:rsidRPr="00341CEA">
        <w:rPr>
          <w:rFonts w:ascii="Calibri" w:hAnsi="Calibri" w:cs="Calibri"/>
          <w:b/>
          <w:szCs w:val="28"/>
        </w:rPr>
        <w:t xml:space="preserve">Figure </w:t>
      </w:r>
      <w:r w:rsidR="001704A1">
        <w:rPr>
          <w:rFonts w:ascii="Calibri" w:hAnsi="Calibri" w:cs="Calibri"/>
          <w:b/>
          <w:szCs w:val="28"/>
        </w:rPr>
        <w:fldChar w:fldCharType="begin"/>
      </w:r>
      <w:r w:rsidR="001704A1">
        <w:rPr>
          <w:rFonts w:ascii="Calibri" w:hAnsi="Calibri" w:cs="Calibri"/>
          <w:b/>
          <w:szCs w:val="28"/>
        </w:rPr>
        <w:instrText xml:space="preserve"> STYLEREF 1 \s </w:instrText>
      </w:r>
      <w:r w:rsidR="001704A1">
        <w:rPr>
          <w:rFonts w:ascii="Calibri" w:hAnsi="Calibri" w:cs="Calibri"/>
          <w:b/>
          <w:szCs w:val="28"/>
        </w:rPr>
        <w:fldChar w:fldCharType="separate"/>
      </w:r>
      <w:r w:rsidR="00B65193">
        <w:rPr>
          <w:rFonts w:ascii="Calibri" w:hAnsi="Calibri" w:cs="Calibri"/>
          <w:b/>
          <w:noProof/>
          <w:szCs w:val="28"/>
        </w:rPr>
        <w:t>2</w:t>
      </w:r>
      <w:r w:rsidR="001704A1">
        <w:rPr>
          <w:rFonts w:ascii="Calibri" w:hAnsi="Calibri" w:cs="Calibri"/>
          <w:b/>
          <w:szCs w:val="28"/>
        </w:rPr>
        <w:fldChar w:fldCharType="end"/>
      </w:r>
      <w:r w:rsidR="001704A1">
        <w:rPr>
          <w:rFonts w:ascii="Calibri" w:hAnsi="Calibri" w:cs="Calibri"/>
          <w:b/>
          <w:szCs w:val="28"/>
        </w:rPr>
        <w:noBreakHyphen/>
      </w:r>
      <w:r w:rsidR="001704A1">
        <w:rPr>
          <w:rFonts w:ascii="Calibri" w:hAnsi="Calibri" w:cs="Calibri"/>
          <w:b/>
          <w:szCs w:val="28"/>
        </w:rPr>
        <w:fldChar w:fldCharType="begin"/>
      </w:r>
      <w:r w:rsidR="001704A1">
        <w:rPr>
          <w:rFonts w:ascii="Calibri" w:hAnsi="Calibri" w:cs="Calibri"/>
          <w:b/>
          <w:szCs w:val="28"/>
        </w:rPr>
        <w:instrText xml:space="preserve"> SEQ Figure \* ARABIC \s 1 </w:instrText>
      </w:r>
      <w:r w:rsidR="001704A1">
        <w:rPr>
          <w:rFonts w:ascii="Calibri" w:hAnsi="Calibri" w:cs="Calibri"/>
          <w:b/>
          <w:szCs w:val="28"/>
        </w:rPr>
        <w:fldChar w:fldCharType="separate"/>
      </w:r>
      <w:r w:rsidR="00B65193">
        <w:rPr>
          <w:rFonts w:ascii="Calibri" w:hAnsi="Calibri" w:cs="Calibri"/>
          <w:b/>
          <w:noProof/>
          <w:szCs w:val="28"/>
        </w:rPr>
        <w:t>2</w:t>
      </w:r>
      <w:r w:rsidR="001704A1">
        <w:rPr>
          <w:rFonts w:ascii="Calibri" w:hAnsi="Calibri" w:cs="Calibri"/>
          <w:b/>
          <w:szCs w:val="28"/>
        </w:rPr>
        <w:fldChar w:fldCharType="end"/>
      </w:r>
      <w:r w:rsidRPr="00341CEA">
        <w:rPr>
          <w:rFonts w:ascii="Calibri" w:hAnsi="Calibri" w:cs="Calibri"/>
          <w:b/>
          <w:szCs w:val="28"/>
        </w:rPr>
        <w:t>. Groundwater Management Zones with Assimilative Capacity for Nitrate</w:t>
      </w:r>
    </w:p>
    <w:p w14:paraId="1786A2B7" w14:textId="77777777" w:rsidR="00EB7787" w:rsidRDefault="00EB7787" w:rsidP="00EB7787">
      <w:pPr>
        <w:spacing w:after="120"/>
      </w:pPr>
    </w:p>
    <w:p w14:paraId="6DD4415C" w14:textId="14A1A013" w:rsidR="00EB7787" w:rsidRDefault="00EB7787" w:rsidP="00EB7787">
      <w:pPr>
        <w:spacing w:after="120"/>
      </w:pPr>
      <w:r>
        <w:t>The key takeaways from the history of AWQ and assimilative capacity findings are:</w:t>
      </w:r>
    </w:p>
    <w:p w14:paraId="02DC5CAA" w14:textId="77777777" w:rsidR="00EB7787" w:rsidRDefault="00EB7787" w:rsidP="00EB7787">
      <w:pPr>
        <w:pStyle w:val="Bullet"/>
      </w:pPr>
      <w:r>
        <w:t xml:space="preserve">The methods used to compute </w:t>
      </w:r>
      <w:proofErr w:type="gramStart"/>
      <w:r>
        <w:t>AWQ</w:t>
      </w:r>
      <w:proofErr w:type="gramEnd"/>
      <w:r>
        <w:t xml:space="preserve"> and assimilative capacity are producing consistent results over time, and thus</w:t>
      </w:r>
      <w:r w:rsidRPr="0043487C">
        <w:t xml:space="preserve"> </w:t>
      </w:r>
      <w:r>
        <w:t>groundwater quality is well understood across most of the SAR Watershed (e.g. where AWQ is able to be computed)</w:t>
      </w:r>
    </w:p>
    <w:p w14:paraId="5ADB98C8" w14:textId="77777777" w:rsidR="00EB7787" w:rsidRDefault="00EB7787" w:rsidP="00EB7787">
      <w:pPr>
        <w:pStyle w:val="Bullet"/>
      </w:pPr>
      <w:r>
        <w:t>Groundwater quality is relatively stable – although many GMZs do not have assimilative capacity for TDS or nitrate, concentrations are changing slowly</w:t>
      </w:r>
    </w:p>
    <w:p w14:paraId="3581253F" w14:textId="61085F18" w:rsidR="00EB7787" w:rsidRDefault="00EB7787" w:rsidP="00EB7787">
      <w:pPr>
        <w:pStyle w:val="Bullet"/>
        <w:spacing w:after="240"/>
      </w:pPr>
      <w:r>
        <w:t xml:space="preserve">If the TDS and nitrate concentrations and trends remain similar, it would be possible to make a quick qualitative assessment of AWQ for GMZs. For example, </w:t>
      </w:r>
      <w:r w:rsidR="006D2264">
        <w:t xml:space="preserve">Figure 2-3 </w:t>
      </w:r>
      <w:r w:rsidR="006319A8">
        <w:t>shows that</w:t>
      </w:r>
      <w:r>
        <w:t xml:space="preserve"> the Perris South GMZ has never had assimilative capacity for TDS, ambient TDS is significantly above the antidegradation objective, and TDS concentrations have slowly been improving over time. If new data collected at the wells in the Perris-South GMZ continue to show the same magnitude and rate of change in TDS concentrations, it can easily be estimated that there remains no assimilative capacity in the GMZ. The history of information will be potentially very valuable in simplifying the determination of assimilative capacity, at least in some GMZs.</w:t>
      </w:r>
    </w:p>
    <w:p w14:paraId="4C232161" w14:textId="77777777" w:rsidR="00FA408D" w:rsidRDefault="00FA408D" w:rsidP="00FA408D">
      <w:pPr>
        <w:pStyle w:val="Bullet"/>
        <w:numPr>
          <w:ilvl w:val="0"/>
          <w:numId w:val="0"/>
        </w:numPr>
        <w:spacing w:after="240"/>
        <w:ind w:left="1080" w:hanging="360"/>
      </w:pPr>
    </w:p>
    <w:p w14:paraId="10DD2215" w14:textId="77777777" w:rsidR="001704A1" w:rsidRDefault="00480FBC" w:rsidP="001704A1">
      <w:pPr>
        <w:pStyle w:val="Bullet"/>
        <w:keepNext/>
        <w:numPr>
          <w:ilvl w:val="0"/>
          <w:numId w:val="0"/>
        </w:numPr>
        <w:spacing w:after="60"/>
      </w:pPr>
      <w:r>
        <w:rPr>
          <w:noProof/>
        </w:rPr>
        <w:lastRenderedPageBreak/>
        <w:drawing>
          <wp:inline distT="0" distB="0" distL="0" distR="0" wp14:anchorId="7C1091FC" wp14:editId="3134EB45">
            <wp:extent cx="5943600" cy="2886710"/>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86710"/>
                    </a:xfrm>
                    <a:prstGeom prst="rect">
                      <a:avLst/>
                    </a:prstGeom>
                    <a:ln>
                      <a:solidFill>
                        <a:schemeClr val="accent1"/>
                      </a:solidFill>
                    </a:ln>
                  </pic:spPr>
                </pic:pic>
              </a:graphicData>
            </a:graphic>
          </wp:inline>
        </w:drawing>
      </w:r>
    </w:p>
    <w:p w14:paraId="5A9224A1" w14:textId="7D8E0889" w:rsidR="00FA408D" w:rsidRPr="001704A1" w:rsidRDefault="001704A1" w:rsidP="001704A1">
      <w:pPr>
        <w:keepNext/>
        <w:spacing w:before="60"/>
        <w:jc w:val="center"/>
        <w:rPr>
          <w:rFonts w:ascii="Calibri" w:hAnsi="Calibri" w:cs="Calibri"/>
          <w:b/>
          <w:szCs w:val="28"/>
        </w:rPr>
      </w:pPr>
      <w:r w:rsidRPr="001704A1">
        <w:rPr>
          <w:rFonts w:ascii="Calibri" w:hAnsi="Calibri" w:cs="Calibri"/>
          <w:b/>
          <w:szCs w:val="28"/>
        </w:rPr>
        <w:t xml:space="preserve">Figure </w:t>
      </w:r>
      <w:r w:rsidRPr="001704A1">
        <w:rPr>
          <w:rFonts w:ascii="Calibri" w:hAnsi="Calibri" w:cs="Calibri"/>
          <w:b/>
          <w:szCs w:val="28"/>
        </w:rPr>
        <w:fldChar w:fldCharType="begin"/>
      </w:r>
      <w:r w:rsidRPr="001704A1">
        <w:rPr>
          <w:rFonts w:ascii="Calibri" w:hAnsi="Calibri" w:cs="Calibri"/>
          <w:b/>
          <w:szCs w:val="28"/>
        </w:rPr>
        <w:instrText xml:space="preserve"> STYLEREF 1 \s </w:instrText>
      </w:r>
      <w:r w:rsidRPr="001704A1">
        <w:rPr>
          <w:rFonts w:ascii="Calibri" w:hAnsi="Calibri" w:cs="Calibri"/>
          <w:b/>
          <w:szCs w:val="28"/>
        </w:rPr>
        <w:fldChar w:fldCharType="separate"/>
      </w:r>
      <w:r w:rsidR="00B65193">
        <w:rPr>
          <w:rFonts w:ascii="Calibri" w:hAnsi="Calibri" w:cs="Calibri"/>
          <w:b/>
          <w:noProof/>
          <w:szCs w:val="28"/>
        </w:rPr>
        <w:t>2</w:t>
      </w:r>
      <w:r w:rsidRPr="001704A1">
        <w:rPr>
          <w:rFonts w:ascii="Calibri" w:hAnsi="Calibri" w:cs="Calibri"/>
          <w:b/>
          <w:szCs w:val="28"/>
        </w:rPr>
        <w:fldChar w:fldCharType="end"/>
      </w:r>
      <w:r w:rsidRPr="001704A1">
        <w:rPr>
          <w:rFonts w:ascii="Calibri" w:hAnsi="Calibri" w:cs="Calibri"/>
          <w:b/>
          <w:szCs w:val="28"/>
        </w:rPr>
        <w:noBreakHyphen/>
      </w:r>
      <w:r w:rsidRPr="001704A1">
        <w:rPr>
          <w:rFonts w:ascii="Calibri" w:hAnsi="Calibri" w:cs="Calibri"/>
          <w:b/>
          <w:szCs w:val="28"/>
        </w:rPr>
        <w:fldChar w:fldCharType="begin"/>
      </w:r>
      <w:r w:rsidRPr="001704A1">
        <w:rPr>
          <w:rFonts w:ascii="Calibri" w:hAnsi="Calibri" w:cs="Calibri"/>
          <w:b/>
          <w:szCs w:val="28"/>
        </w:rPr>
        <w:instrText xml:space="preserve"> SEQ Figure \* ARABIC \s 1 </w:instrText>
      </w:r>
      <w:r w:rsidRPr="001704A1">
        <w:rPr>
          <w:rFonts w:ascii="Calibri" w:hAnsi="Calibri" w:cs="Calibri"/>
          <w:b/>
          <w:szCs w:val="28"/>
        </w:rPr>
        <w:fldChar w:fldCharType="separate"/>
      </w:r>
      <w:r w:rsidR="00B65193">
        <w:rPr>
          <w:rFonts w:ascii="Calibri" w:hAnsi="Calibri" w:cs="Calibri"/>
          <w:b/>
          <w:noProof/>
          <w:szCs w:val="28"/>
        </w:rPr>
        <w:t>3</w:t>
      </w:r>
      <w:r w:rsidRPr="001704A1">
        <w:rPr>
          <w:rFonts w:ascii="Calibri" w:hAnsi="Calibri" w:cs="Calibri"/>
          <w:b/>
          <w:szCs w:val="28"/>
        </w:rPr>
        <w:fldChar w:fldCharType="end"/>
      </w:r>
      <w:r w:rsidRPr="001704A1">
        <w:rPr>
          <w:rFonts w:ascii="Calibri" w:hAnsi="Calibri" w:cs="Calibri"/>
          <w:b/>
          <w:szCs w:val="28"/>
        </w:rPr>
        <w:t>. Ambient TDS Con</w:t>
      </w:r>
      <w:r>
        <w:rPr>
          <w:rFonts w:ascii="Calibri" w:hAnsi="Calibri" w:cs="Calibri"/>
          <w:b/>
          <w:szCs w:val="28"/>
        </w:rPr>
        <w:t>cen</w:t>
      </w:r>
      <w:r w:rsidRPr="001704A1">
        <w:rPr>
          <w:rFonts w:ascii="Calibri" w:hAnsi="Calibri" w:cs="Calibri"/>
          <w:b/>
          <w:szCs w:val="28"/>
        </w:rPr>
        <w:t>trations in the Perris South GMZ</w:t>
      </w:r>
    </w:p>
    <w:p w14:paraId="294AF699" w14:textId="77777777" w:rsidR="00480FBC" w:rsidRDefault="00480FBC" w:rsidP="00480FBC">
      <w:pPr>
        <w:pStyle w:val="Bullet"/>
        <w:numPr>
          <w:ilvl w:val="0"/>
          <w:numId w:val="0"/>
        </w:numPr>
        <w:spacing w:after="240"/>
      </w:pPr>
    </w:p>
    <w:p w14:paraId="629A5223" w14:textId="25CA7BE3" w:rsidR="00B03304" w:rsidRDefault="002A18C0" w:rsidP="00B03304">
      <w:pPr>
        <w:pStyle w:val="Heading3"/>
      </w:pPr>
      <w:r>
        <w:t xml:space="preserve">Tools to Assess </w:t>
      </w:r>
      <w:r w:rsidR="000945E3">
        <w:t>Changes in AWQ Over Time</w:t>
      </w:r>
    </w:p>
    <w:p w14:paraId="66664FCA" w14:textId="64F8D49F" w:rsidR="00C06AB1" w:rsidRDefault="00C06AB1" w:rsidP="002D2E27">
      <w:r>
        <w:t xml:space="preserve">Over the years, a series of interpretive tools was added to the AWQ </w:t>
      </w:r>
      <w:proofErr w:type="spellStart"/>
      <w:r>
        <w:t>recomputation</w:t>
      </w:r>
      <w:proofErr w:type="spellEnd"/>
      <w:r>
        <w:t xml:space="preserve"> project to</w:t>
      </w:r>
      <w:r>
        <w:t xml:space="preserve"> </w:t>
      </w:r>
      <w:r w:rsidR="00780963">
        <w:t xml:space="preserve">better </w:t>
      </w:r>
      <w:r w:rsidR="00780963">
        <w:t>understand the drivers of changing water quality over time. The tools applied include:</w:t>
      </w:r>
    </w:p>
    <w:p w14:paraId="600B6AB4" w14:textId="41695907" w:rsidR="006F53BD" w:rsidRDefault="00B47885" w:rsidP="001704A1">
      <w:pPr>
        <w:pStyle w:val="Bullet"/>
      </w:pPr>
      <w:r w:rsidRPr="006F53BD">
        <w:rPr>
          <w:b/>
          <w:bCs/>
        </w:rPr>
        <w:t>Change maps.</w:t>
      </w:r>
      <w:r>
        <w:t xml:space="preserve"> The maps were introduced to illustrate the spatial distribution of changes in TDS and nitrate concentrations from one </w:t>
      </w:r>
      <w:proofErr w:type="spellStart"/>
      <w:r>
        <w:t>recomputation</w:t>
      </w:r>
      <w:proofErr w:type="spellEnd"/>
      <w:r>
        <w:t xml:space="preserve"> period to the next (e.g., from 2015 AWQ to 2018 AWQ). </w:t>
      </w:r>
    </w:p>
    <w:p w14:paraId="2DA6AA25" w14:textId="6DF44461" w:rsidR="00B47885" w:rsidRDefault="00B47885" w:rsidP="001704A1">
      <w:pPr>
        <w:pStyle w:val="Bullet"/>
      </w:pPr>
      <w:r w:rsidRPr="00CE18AE">
        <w:rPr>
          <w:b/>
        </w:rPr>
        <w:t>Key well</w:t>
      </w:r>
      <w:r w:rsidR="001E202B" w:rsidRPr="00CE18AE">
        <w:rPr>
          <w:b/>
        </w:rPr>
        <w:t xml:space="preserve"> trend analysis</w:t>
      </w:r>
      <w:r w:rsidR="001E202B">
        <w:t xml:space="preserve">. This tool </w:t>
      </w:r>
      <w:r w:rsidR="001E202B">
        <w:t xml:space="preserve">was </w:t>
      </w:r>
      <w:r w:rsidR="001E202B">
        <w:t>use</w:t>
      </w:r>
      <w:r>
        <w:t xml:space="preserve">d </w:t>
      </w:r>
      <w:r w:rsidR="00044D6F">
        <w:t>to compare changes in concentrations at wells relative to changes in AWQ concentrations. The robustness of the trend analysis has improved over time, fr</w:t>
      </w:r>
      <w:r w:rsidR="00472E83">
        <w:t>om</w:t>
      </w:r>
      <w:r w:rsidR="00044D6F">
        <w:t xml:space="preserve"> qualitative </w:t>
      </w:r>
      <w:r w:rsidR="00472E83">
        <w:t xml:space="preserve">visual </w:t>
      </w:r>
      <w:r w:rsidR="00044D6F">
        <w:t xml:space="preserve">inspection of time history charts </w:t>
      </w:r>
      <w:r w:rsidR="00472E83">
        <w:t xml:space="preserve">at a subset of key wells </w:t>
      </w:r>
      <w:r w:rsidR="00044D6F">
        <w:t xml:space="preserve">to the application of </w:t>
      </w:r>
      <w:r w:rsidR="0098135A">
        <w:t xml:space="preserve">statistical methods to </w:t>
      </w:r>
      <w:r w:rsidR="00807A88">
        <w:t xml:space="preserve">test for trends (Mann-Kendall trend analysis). And over time, the technology used to support the project </w:t>
      </w:r>
      <w:r w:rsidR="00FE1D7F">
        <w:t xml:space="preserve">was enhanced so the trends could be evaluated at all wells, not just a subset of key wells. </w:t>
      </w:r>
    </w:p>
    <w:p w14:paraId="296BFA00" w14:textId="43EEC30D" w:rsidR="00615715" w:rsidRDefault="00FA0C41" w:rsidP="001704A1">
      <w:pPr>
        <w:pStyle w:val="Bullet"/>
      </w:pPr>
      <w:r w:rsidRPr="00615715">
        <w:rPr>
          <w:b/>
          <w:bCs/>
        </w:rPr>
        <w:t>Well attrition analysis</w:t>
      </w:r>
      <w:r>
        <w:t xml:space="preserve">. </w:t>
      </w:r>
      <w:r w:rsidR="00BA39D9">
        <w:t xml:space="preserve">This tool was used to </w:t>
      </w:r>
      <w:r w:rsidR="00123324">
        <w:t xml:space="preserve">evaluate which wells would need to be sampled over the next three-year period </w:t>
      </w:r>
      <w:r w:rsidR="00D27950">
        <w:t>to avoid creating potential data gaps in the</w:t>
      </w:r>
      <w:r w:rsidR="005F55E7">
        <w:t xml:space="preserve"> monitoring network. </w:t>
      </w:r>
      <w:r w:rsidR="00615715">
        <w:t>The concern was</w:t>
      </w:r>
      <w:r w:rsidR="007D76E5">
        <w:t xml:space="preserve"> that</w:t>
      </w:r>
      <w:r w:rsidR="00615715">
        <w:t xml:space="preserve"> if wells are no longer sampled, they fall out of the analysis, and, if not replaced it will alter interpretation and interpolation of water quality statistics and reduces understanding of how basin is changing.</w:t>
      </w:r>
    </w:p>
    <w:p w14:paraId="48047675" w14:textId="77777777" w:rsidR="00615715" w:rsidRDefault="00615715" w:rsidP="001704A1">
      <w:pPr>
        <w:pStyle w:val="Bullet"/>
      </w:pPr>
      <w:r>
        <w:rPr>
          <w:b/>
          <w:bCs/>
        </w:rPr>
        <w:t>Other pilot exploratory tasks</w:t>
      </w:r>
      <w:r>
        <w:t>:</w:t>
      </w:r>
    </w:p>
    <w:p w14:paraId="2D7ECA61" w14:textId="77777777" w:rsidR="00670818" w:rsidRDefault="00670818" w:rsidP="001704A1">
      <w:pPr>
        <w:pStyle w:val="ListBullet2"/>
      </w:pPr>
      <w:r>
        <w:t xml:space="preserve">Aquifer storage model update. In 2015, a pilot study was performed on the impact of updating the aquifer storage model on the AWQ result. This work was only performed once, for one GMZ (Chino-North). </w:t>
      </w:r>
    </w:p>
    <w:p w14:paraId="582B327B" w14:textId="77777777" w:rsidR="008B2005" w:rsidRDefault="00670818" w:rsidP="001704A1">
      <w:pPr>
        <w:pStyle w:val="ListBullet2"/>
      </w:pPr>
      <w:r>
        <w:lastRenderedPageBreak/>
        <w:t xml:space="preserve">Addressing potential </w:t>
      </w:r>
      <w:r w:rsidR="00615715">
        <w:t>data gaps</w:t>
      </w:r>
      <w:r>
        <w:t xml:space="preserve">. In 2015, a pilot effort to </w:t>
      </w:r>
      <w:r w:rsidR="00EB2EA6">
        <w:t xml:space="preserve">find new monitoring wells to fill data gaps was </w:t>
      </w:r>
      <w:proofErr w:type="gramStart"/>
      <w:r w:rsidR="00DE3FE2">
        <w:t>performed</w:t>
      </w:r>
      <w:r w:rsidR="00FA7665">
        <w:t>, but</w:t>
      </w:r>
      <w:proofErr w:type="gramEnd"/>
      <w:r w:rsidR="00FA7665">
        <w:t xml:space="preserve"> did not yield significant</w:t>
      </w:r>
      <w:r w:rsidR="008B2005">
        <w:t xml:space="preserve"> addition of wells to the monitoring network.</w:t>
      </w:r>
    </w:p>
    <w:p w14:paraId="79205567" w14:textId="539C4AC8" w:rsidR="00615715" w:rsidRDefault="00615715" w:rsidP="001704A1">
      <w:pPr>
        <w:pStyle w:val="ListBullet2"/>
      </w:pPr>
      <w:r>
        <w:t>Web tools for exploring data</w:t>
      </w:r>
      <w:r w:rsidR="00A359F8">
        <w:t xml:space="preserve">. In 2018, a new web-based exploratory tool was developed to </w:t>
      </w:r>
      <w:r w:rsidR="002A2B79">
        <w:t xml:space="preserve">improve review and QA/QC of </w:t>
      </w:r>
      <w:proofErr w:type="gramStart"/>
      <w:r w:rsidR="002A2B79">
        <w:t>data, and</w:t>
      </w:r>
      <w:proofErr w:type="gramEnd"/>
      <w:r w:rsidR="002A2B79">
        <w:t xml:space="preserve"> provide valuable information to the Task Force members related to TDS and nitrate concentrations and trends in the GMZs.</w:t>
      </w:r>
    </w:p>
    <w:p w14:paraId="0E2BB65A" w14:textId="1FF75A1B" w:rsidR="002D2E27" w:rsidRDefault="000945E3" w:rsidP="002D2E27">
      <w:r>
        <w:t>Some of the k</w:t>
      </w:r>
      <w:r w:rsidR="002D2E27">
        <w:t xml:space="preserve">ey </w:t>
      </w:r>
      <w:r w:rsidR="004C1B6C">
        <w:t>observations</w:t>
      </w:r>
      <w:r>
        <w:t xml:space="preserve"> from </w:t>
      </w:r>
      <w:r w:rsidR="004C1B6C">
        <w:t xml:space="preserve">review of </w:t>
      </w:r>
      <w:r>
        <w:t xml:space="preserve">past AWQ </w:t>
      </w:r>
      <w:proofErr w:type="spellStart"/>
      <w:r w:rsidR="00F1681D">
        <w:t>recomputation</w:t>
      </w:r>
      <w:proofErr w:type="spellEnd"/>
      <w:r>
        <w:t xml:space="preserve"> include:</w:t>
      </w:r>
    </w:p>
    <w:p w14:paraId="13E7FC28" w14:textId="3560F879" w:rsidR="001809D5" w:rsidRDefault="001809D5" w:rsidP="001704A1">
      <w:pPr>
        <w:pStyle w:val="Bullet"/>
      </w:pPr>
      <w:r>
        <w:t>The findings consistently note that changes in GMZ AWQ over time are driven by both systemic (physical) processes and analytical methodologies (</w:t>
      </w:r>
      <w:proofErr w:type="gramStart"/>
      <w:r>
        <w:t>e.g.</w:t>
      </w:r>
      <w:proofErr w:type="gramEnd"/>
      <w:r>
        <w:t xml:space="preserve"> more data). Thus, changes in ambient concentrations my not be actual changes in water quality, but rather a result of i</w:t>
      </w:r>
      <w:r w:rsidR="000B392C">
        <w:t>mprovements o</w:t>
      </w:r>
      <w:r w:rsidR="00582A73">
        <w:t>r losses in the monitoring network. This illustrates the importance of having a well</w:t>
      </w:r>
      <w:r w:rsidR="00A26544">
        <w:t>-</w:t>
      </w:r>
      <w:r w:rsidR="00582A73">
        <w:t>defined groundwater monitoring network that is adequately distributed across the GMZ.</w:t>
      </w:r>
    </w:p>
    <w:p w14:paraId="097B677C" w14:textId="6D4CA646" w:rsidR="00F91184" w:rsidRDefault="00F91184" w:rsidP="001704A1">
      <w:pPr>
        <w:pStyle w:val="Bullet"/>
      </w:pPr>
      <w:r>
        <w:t xml:space="preserve">The ambient concentration </w:t>
      </w:r>
      <w:proofErr w:type="gramStart"/>
      <w:r>
        <w:t>change</w:t>
      </w:r>
      <w:proofErr w:type="gramEnd"/>
      <w:r>
        <w:t xml:space="preserve"> maps have helped to illustrate where hot spots of concentrations may be occurring. Thus, understanding the spatial distribution of change can be important in understanding TDS and nitrate trends.</w:t>
      </w:r>
    </w:p>
    <w:p w14:paraId="28832BB2" w14:textId="69678CB9" w:rsidR="002D2E27" w:rsidRDefault="001B376E" w:rsidP="001704A1">
      <w:pPr>
        <w:pStyle w:val="Bullet"/>
      </w:pPr>
      <w:r>
        <w:t xml:space="preserve">The </w:t>
      </w:r>
      <w:r w:rsidR="00A26544">
        <w:t>AWQ report</w:t>
      </w:r>
      <w:r>
        <w:t xml:space="preserve"> recommendations have consistently identified that the</w:t>
      </w:r>
      <w:r w:rsidR="00DB784A">
        <w:t xml:space="preserve"> GMZ a</w:t>
      </w:r>
      <w:r w:rsidR="002D2E27">
        <w:t xml:space="preserve">quifer properties </w:t>
      </w:r>
      <w:r>
        <w:t xml:space="preserve">should be updated as they </w:t>
      </w:r>
      <w:r w:rsidR="002D2E27">
        <w:t xml:space="preserve">are outdated in </w:t>
      </w:r>
      <w:r w:rsidR="00DB784A">
        <w:t>many</w:t>
      </w:r>
      <w:r w:rsidR="002D2E27">
        <w:t xml:space="preserve"> GMZs</w:t>
      </w:r>
      <w:r w:rsidR="00F1681D">
        <w:t xml:space="preserve"> and that the</w:t>
      </w:r>
      <w:r w:rsidR="00BF037F">
        <w:t xml:space="preserve"> </w:t>
      </w:r>
      <w:r w:rsidR="00A50633">
        <w:t xml:space="preserve">project could be </w:t>
      </w:r>
      <w:r w:rsidR="001704A1">
        <w:t>streamlined</w:t>
      </w:r>
      <w:r w:rsidR="00A50633">
        <w:t xml:space="preserve"> through annual data collection.</w:t>
      </w:r>
    </w:p>
    <w:p w14:paraId="3E8F4C0D" w14:textId="4A8F05B6" w:rsidR="0035254C" w:rsidRDefault="0035254C" w:rsidP="001704A1">
      <w:pPr>
        <w:pStyle w:val="Bullet"/>
      </w:pPr>
      <w:r>
        <w:t xml:space="preserve">Well attrition analysis alone has not successfully yielded </w:t>
      </w:r>
      <w:r w:rsidR="001A1DB6">
        <w:t>an improvement</w:t>
      </w:r>
      <w:r>
        <w:t xml:space="preserve"> in </w:t>
      </w:r>
      <w:r w:rsidR="001A1DB6">
        <w:t xml:space="preserve">the </w:t>
      </w:r>
      <w:r>
        <w:t>monitoring needed</w:t>
      </w:r>
      <w:r w:rsidR="001A1DB6">
        <w:t xml:space="preserve"> in critical areas of GMZs.</w:t>
      </w:r>
    </w:p>
    <w:p w14:paraId="6F23FE0C" w14:textId="77777777" w:rsidR="00DB6F91" w:rsidRDefault="00DB6F91" w:rsidP="00DB6F91">
      <w:pPr>
        <w:pStyle w:val="Heading3"/>
      </w:pPr>
      <w:bookmarkStart w:id="31" w:name="_Toc117719791"/>
      <w:r>
        <w:t>S</w:t>
      </w:r>
      <w:r w:rsidRPr="00DB6F91">
        <w:t xml:space="preserve">patial </w:t>
      </w:r>
      <w:r>
        <w:t>D</w:t>
      </w:r>
      <w:r w:rsidRPr="00DB6F91">
        <w:t xml:space="preserve">istribution of the </w:t>
      </w:r>
      <w:r>
        <w:t>H</w:t>
      </w:r>
      <w:r w:rsidRPr="00DB6F91">
        <w:t xml:space="preserve">istorical and </w:t>
      </w:r>
      <w:r>
        <w:t>O</w:t>
      </w:r>
      <w:r w:rsidRPr="00DB6F91">
        <w:t>ngoing</w:t>
      </w:r>
      <w:r w:rsidR="00744C44">
        <w:t xml:space="preserve"> Monitoring Network</w:t>
      </w:r>
    </w:p>
    <w:p w14:paraId="52D5FDCE" w14:textId="77777777" w:rsidR="00DB6F91" w:rsidRDefault="00DB6F91" w:rsidP="00DB6F91">
      <w:r>
        <w:t>Appendix B of this report contains maps for each GMZ that illustrate the spatial distribution of the historical and ongoing monitoring locations relative to ambient TDS concentrations and aquifer storge. The maps were used to support the assessment of potential data gaps</w:t>
      </w:r>
      <w:r w:rsidRPr="00A41EA2">
        <w:t>. The map</w:t>
      </w:r>
      <w:r>
        <w:t>s in Appendix B are divided</w:t>
      </w:r>
      <w:r w:rsidRPr="00A41EA2">
        <w:t xml:space="preserve"> into two panel</w:t>
      </w:r>
      <w:r>
        <w:t>s:</w:t>
      </w:r>
    </w:p>
    <w:p w14:paraId="7676B3F4" w14:textId="77777777" w:rsidR="00DB6F91" w:rsidRPr="00A41EA2" w:rsidRDefault="00DB6F91" w:rsidP="00E969B3">
      <w:pPr>
        <w:pStyle w:val="Bullet"/>
      </w:pPr>
      <w:r w:rsidRPr="00A41EA2">
        <w:t>The top panel shows the TDS concentration distribution raster for the GMZ based on the 2018 AWQ results and the location of wells with data used in the analysis for the 20-year period of 1999 to 2018. This map provides an understanding of the spatial coverage of data in the most recent analysis. The location of wells with data used to develop the raster are shown as follows:</w:t>
      </w:r>
    </w:p>
    <w:p w14:paraId="42E29BF7" w14:textId="77777777" w:rsidR="00DB6F91" w:rsidRPr="00A41EA2" w:rsidRDefault="00DB6F91" w:rsidP="00E969B3">
      <w:pPr>
        <w:pStyle w:val="ListBullet2"/>
      </w:pPr>
      <w:r w:rsidRPr="00A41EA2">
        <w:rPr>
          <w:b/>
          <w:bCs/>
          <w:i/>
          <w:iCs/>
          <w:u w:val="single"/>
        </w:rPr>
        <w:t>Green Circles</w:t>
      </w:r>
      <w:r w:rsidRPr="00A41EA2">
        <w:t xml:space="preserve"> are wells that had enough data to compute a TDS </w:t>
      </w:r>
      <w:r w:rsidRPr="00A41EA2">
        <w:rPr>
          <w:i/>
          <w:iCs/>
          <w:u w:val="single"/>
        </w:rPr>
        <w:t>and</w:t>
      </w:r>
      <w:r w:rsidRPr="00A41EA2">
        <w:t xml:space="preserve"> nitrate statistic in 2018. </w:t>
      </w:r>
    </w:p>
    <w:p w14:paraId="0A86242E" w14:textId="77777777" w:rsidR="00DB6F91" w:rsidRPr="00A41EA2" w:rsidRDefault="00DB6F91" w:rsidP="00E969B3">
      <w:pPr>
        <w:pStyle w:val="ListBullet2"/>
      </w:pPr>
      <w:r w:rsidRPr="00A41EA2">
        <w:rPr>
          <w:b/>
          <w:bCs/>
          <w:i/>
          <w:iCs/>
          <w:u w:val="single"/>
        </w:rPr>
        <w:t>White circles</w:t>
      </w:r>
      <w:r w:rsidRPr="00A41EA2">
        <w:t xml:space="preserve"> are wells that only had a TDS or nitrate statistic. There was only enough qualifying data for one of the two constituents. </w:t>
      </w:r>
    </w:p>
    <w:p w14:paraId="5726BD32" w14:textId="77777777" w:rsidR="00DB6F91" w:rsidRPr="00A41EA2" w:rsidRDefault="00DB6F91" w:rsidP="00E969B3">
      <w:pPr>
        <w:pStyle w:val="ListBullet2"/>
      </w:pPr>
      <w:r w:rsidRPr="00A41EA2">
        <w:rPr>
          <w:b/>
          <w:bCs/>
          <w:i/>
          <w:iCs/>
          <w:u w:val="single"/>
        </w:rPr>
        <w:t xml:space="preserve">Purple triangles </w:t>
      </w:r>
      <w:r w:rsidRPr="00A41EA2">
        <w:t xml:space="preserve">are wells that had insufficient data available to calculate the </w:t>
      </w:r>
      <w:r>
        <w:t>AWQ</w:t>
      </w:r>
      <w:r w:rsidRPr="00A41EA2">
        <w:t xml:space="preserve"> statistic.</w:t>
      </w:r>
    </w:p>
    <w:p w14:paraId="043501C2" w14:textId="77777777" w:rsidR="00DB6F91" w:rsidRPr="00A41EA2" w:rsidRDefault="00DB6F91" w:rsidP="00E969B3">
      <w:pPr>
        <w:pStyle w:val="Bullet"/>
      </w:pPr>
      <w:r w:rsidRPr="00A41EA2">
        <w:t>The bottom panel shows the storage volume distribution raster for the GMZ and a characterization of the relative time period of available data at each well location. Note that areas in grey and dark brown have no to limited aquifer volume. The wells are further characterized as follows:</w:t>
      </w:r>
    </w:p>
    <w:p w14:paraId="009113BF" w14:textId="1BEFA9FB" w:rsidR="00DB6F91" w:rsidRPr="00A41EA2" w:rsidRDefault="00DB6F91" w:rsidP="00E969B3">
      <w:pPr>
        <w:pStyle w:val="ListBullet2"/>
      </w:pPr>
      <w:r w:rsidRPr="00A41EA2">
        <w:lastRenderedPageBreak/>
        <w:t xml:space="preserve">Wells shown as an </w:t>
      </w:r>
      <w:r w:rsidRPr="00A41EA2">
        <w:rPr>
          <w:b/>
          <w:bCs/>
          <w:i/>
          <w:iCs/>
          <w:u w:val="single"/>
        </w:rPr>
        <w:t>open circle filled with a purple circle</w:t>
      </w:r>
      <w:r w:rsidRPr="00A41EA2">
        <w:t xml:space="preserve"> are wells whose qualifying data to generate statistics included data in the last three years of the 20-year analysis period: 2016, 2017 and/or 2018. This was an initial indication that the well location is still being monitored. If there is a </w:t>
      </w:r>
      <w:r w:rsidRPr="00A41EA2">
        <w:rPr>
          <w:b/>
          <w:bCs/>
          <w:i/>
          <w:iCs/>
          <w:u w:val="single"/>
        </w:rPr>
        <w:t>black check mark in the center of the purple circle</w:t>
      </w:r>
      <w:r w:rsidRPr="00A41EA2">
        <w:t xml:space="preserve">, </w:t>
      </w:r>
      <w:r w:rsidR="005A722D">
        <w:t>it was</w:t>
      </w:r>
      <w:r w:rsidRPr="00A41EA2">
        <w:t xml:space="preserve"> confirmed the well continues to be monitored.</w:t>
      </w:r>
    </w:p>
    <w:p w14:paraId="58AF3690" w14:textId="6ACC2F38" w:rsidR="00DB6F91" w:rsidRPr="00A41EA2" w:rsidRDefault="00DB6F91" w:rsidP="00E969B3">
      <w:pPr>
        <w:pStyle w:val="ListBullet2"/>
      </w:pPr>
      <w:r w:rsidRPr="00A41EA2">
        <w:t xml:space="preserve">Wells shown as an </w:t>
      </w:r>
      <w:r w:rsidRPr="00A41EA2">
        <w:rPr>
          <w:b/>
          <w:bCs/>
          <w:i/>
          <w:iCs/>
          <w:u w:val="single"/>
        </w:rPr>
        <w:t>open</w:t>
      </w:r>
      <w:r w:rsidR="00BF1D5A">
        <w:rPr>
          <w:b/>
          <w:bCs/>
          <w:i/>
          <w:iCs/>
          <w:u w:val="single"/>
        </w:rPr>
        <w:t xml:space="preserve"> black</w:t>
      </w:r>
      <w:r w:rsidRPr="00A41EA2">
        <w:rPr>
          <w:b/>
          <w:bCs/>
          <w:i/>
          <w:iCs/>
          <w:u w:val="single"/>
        </w:rPr>
        <w:t xml:space="preserve"> circle only</w:t>
      </w:r>
      <w:r w:rsidRPr="00A41EA2">
        <w:t xml:space="preserve"> are wells whose qualifying data to generate statistics was limited to the time period from 1999 to 2015. This was an initial indication that the well location is no longer monitored. As time progresses, these points will be lost as statistics since they are now confirmed to no longer be monitored.</w:t>
      </w:r>
    </w:p>
    <w:p w14:paraId="54CD2AA6" w14:textId="77777777" w:rsidR="00DB6F91" w:rsidRPr="00A41EA2" w:rsidRDefault="00DB6F91" w:rsidP="00E969B3">
      <w:pPr>
        <w:pStyle w:val="ListBullet2"/>
      </w:pPr>
      <w:r w:rsidRPr="00A41EA2">
        <w:t xml:space="preserve">Wells shown as an </w:t>
      </w:r>
      <w:r w:rsidRPr="00A41EA2">
        <w:rPr>
          <w:b/>
          <w:bCs/>
          <w:i/>
          <w:iCs/>
          <w:u w:val="single"/>
        </w:rPr>
        <w:t>open circle with a black check mark (no purple circle)</w:t>
      </w:r>
      <w:r w:rsidRPr="00A41EA2">
        <w:t xml:space="preserve"> are wells whose qualifying data to generate statistics was limited to the time period from 1999 to 2015 even though new data was available for the well in 2016, 2017, and/or 2018. This means that the data was not collected for the 2018 analysis. See for example maps of San Jacinto Upper Pressure, Beaumont, and Lytle GMZs.</w:t>
      </w:r>
    </w:p>
    <w:p w14:paraId="5DE9FCAB" w14:textId="4D4F8FAF" w:rsidR="00DB6F91" w:rsidRPr="00A41EA2" w:rsidRDefault="00DB6F91" w:rsidP="00E969B3">
      <w:pPr>
        <w:pStyle w:val="ListBullet2"/>
      </w:pPr>
      <w:r w:rsidRPr="00A41EA2">
        <w:t xml:space="preserve">Wells shown as a </w:t>
      </w:r>
      <w:r w:rsidRPr="00A41EA2">
        <w:rPr>
          <w:b/>
          <w:bCs/>
          <w:i/>
          <w:iCs/>
          <w:u w:val="single"/>
        </w:rPr>
        <w:t>black check mark only</w:t>
      </w:r>
      <w:r w:rsidRPr="00A41EA2">
        <w:t xml:space="preserve"> are wells that are currently being monitored as of </w:t>
      </w:r>
      <w:proofErr w:type="gramStart"/>
      <w:r w:rsidRPr="00A41EA2">
        <w:t xml:space="preserve">2022, </w:t>
      </w:r>
      <w:r w:rsidR="005C7BD7">
        <w:t xml:space="preserve"> </w:t>
      </w:r>
      <w:r w:rsidRPr="00A41EA2">
        <w:t>but</w:t>
      </w:r>
      <w:proofErr w:type="gramEnd"/>
      <w:r w:rsidRPr="00A41EA2">
        <w:t xml:space="preserve"> did not have sufficient data to qualify for the 2018 analysis.  </w:t>
      </w:r>
    </w:p>
    <w:p w14:paraId="2C9227F0" w14:textId="0E0EFFC2" w:rsidR="00D77158" w:rsidRDefault="00D77158" w:rsidP="00DB6F91">
      <w:pPr>
        <w:spacing w:after="80"/>
      </w:pPr>
      <w:r>
        <w:t xml:space="preserve">The key takeaways from </w:t>
      </w:r>
      <w:r w:rsidR="00A74426">
        <w:t xml:space="preserve">review of the 2018 AWQ data, the ongoing monitoring network, and the maps </w:t>
      </w:r>
      <w:r w:rsidR="003A15FC">
        <w:t>included in Appendix C</w:t>
      </w:r>
      <w:r>
        <w:t xml:space="preserve"> were:</w:t>
      </w:r>
    </w:p>
    <w:p w14:paraId="484B4CFE" w14:textId="7DEF5644" w:rsidR="00F1681D" w:rsidRDefault="00F1681D" w:rsidP="00E969B3">
      <w:pPr>
        <w:pStyle w:val="Bullet"/>
      </w:pPr>
      <w:r>
        <w:t xml:space="preserve">There is an enormous amount of data that needs to be collected each year. </w:t>
      </w:r>
      <w:r w:rsidR="00AB5BB7">
        <w:t>Without a defined monitoring network</w:t>
      </w:r>
      <w:r w:rsidR="002035A1">
        <w:t xml:space="preserve"> to compare the data collected to</w:t>
      </w:r>
      <w:r w:rsidR="00AB5BB7">
        <w:t xml:space="preserve">, it </w:t>
      </w:r>
      <w:r w:rsidR="00DA19CE">
        <w:t xml:space="preserve">can be easy to miss </w:t>
      </w:r>
      <w:r w:rsidR="00173C86">
        <w:t>data</w:t>
      </w:r>
      <w:r w:rsidR="00DA19CE">
        <w:t>.</w:t>
      </w:r>
      <w:r w:rsidR="00AB5BB7">
        <w:t xml:space="preserve"> </w:t>
      </w:r>
    </w:p>
    <w:p w14:paraId="76648D4E" w14:textId="2F66A48B" w:rsidR="00D77158" w:rsidRDefault="005F4920" w:rsidP="00E969B3">
      <w:pPr>
        <w:pStyle w:val="Bullet"/>
      </w:pPr>
      <w:r>
        <w:t>Data is being collected at wells that are not within the saturated aquifer system of the GMZs</w:t>
      </w:r>
      <w:r w:rsidR="00DB566E">
        <w:t>. If these wells are used to interpolate and extrapolate contours</w:t>
      </w:r>
      <w:r w:rsidR="002E6631">
        <w:t xml:space="preserve"> contiguously with wells in the saturated system, </w:t>
      </w:r>
      <w:r w:rsidR="00DB566E">
        <w:t xml:space="preserve">it could </w:t>
      </w:r>
      <w:r w:rsidR="008B2E70">
        <w:t>result in</w:t>
      </w:r>
      <w:r w:rsidR="001E76BC">
        <w:t xml:space="preserve"> inaccurate </w:t>
      </w:r>
      <w:r w:rsidR="00EC0604">
        <w:t>representations of the spatial distribution of water quality.</w:t>
      </w:r>
      <w:r w:rsidR="00B30102">
        <w:t xml:space="preserve"> </w:t>
      </w:r>
    </w:p>
    <w:p w14:paraId="58AD4F9A" w14:textId="5BCA6579" w:rsidR="00EC0604" w:rsidRDefault="00EC0604" w:rsidP="00E969B3">
      <w:pPr>
        <w:pStyle w:val="Bullet"/>
      </w:pPr>
      <w:r>
        <w:t xml:space="preserve">The maps produced in the AWQ report display water quality concentrations </w:t>
      </w:r>
      <w:r w:rsidR="00CE3C1E">
        <w:t xml:space="preserve">out beyond the </w:t>
      </w:r>
      <w:r w:rsidR="00B35DA6">
        <w:t xml:space="preserve">extent of the </w:t>
      </w:r>
      <w:r w:rsidR="00CE3C1E">
        <w:t xml:space="preserve">saturated </w:t>
      </w:r>
      <w:r w:rsidR="00B35DA6">
        <w:t xml:space="preserve">aquifer system. This can be misleading as the “concentrations” in these areas are not contributing to the AWQ finding because there is no water volume in these areas. </w:t>
      </w:r>
    </w:p>
    <w:p w14:paraId="0FD5695C" w14:textId="3F69A060" w:rsidR="00BF037F" w:rsidRDefault="00BF037F" w:rsidP="00E969B3">
      <w:pPr>
        <w:pStyle w:val="Bullet"/>
      </w:pPr>
      <w:r>
        <w:t>Many GMZs have very limited data relative to the spatial extent of the saturated aquifer</w:t>
      </w:r>
      <w:r w:rsidR="0003407E">
        <w:t xml:space="preserve">. </w:t>
      </w:r>
      <w:r w:rsidR="0077442D">
        <w:t xml:space="preserve">This results in extrapolation of </w:t>
      </w:r>
      <w:r w:rsidR="00D3097B">
        <w:t>TDS and nitrate concentrations over large areas</w:t>
      </w:r>
      <w:r w:rsidR="000A7909">
        <w:t xml:space="preserve">. </w:t>
      </w:r>
      <w:r w:rsidR="008A38ED">
        <w:t>This could lead to over or under-estimation of AWQ and available assimilative capacity.</w:t>
      </w:r>
    </w:p>
    <w:p w14:paraId="6C00E340" w14:textId="77777777" w:rsidR="007B7F30" w:rsidRDefault="00C86D04" w:rsidP="00E969B3">
      <w:pPr>
        <w:pStyle w:val="Bullet"/>
      </w:pPr>
      <w:r>
        <w:t xml:space="preserve">A lot of data is collected for monitoring wells associated with landfills and clean-up sites. Many of the wells are outside the saturated aquifer system. </w:t>
      </w:r>
      <w:r w:rsidR="007B7F30">
        <w:t>There are two potential issues:</w:t>
      </w:r>
    </w:p>
    <w:p w14:paraId="367DB6AA" w14:textId="37665613" w:rsidR="00BF037F" w:rsidRDefault="005A4170" w:rsidP="00E969B3">
      <w:pPr>
        <w:pStyle w:val="ListBullet2"/>
      </w:pPr>
      <w:r>
        <w:t xml:space="preserve">Collection, QA/QC, and management of data is time consuming and expensive. </w:t>
      </w:r>
      <w:r w:rsidR="00C86D04">
        <w:t xml:space="preserve">The </w:t>
      </w:r>
      <w:r w:rsidR="00443E13">
        <w:t xml:space="preserve">effort to perform </w:t>
      </w:r>
      <w:r w:rsidR="00C86D04">
        <w:t xml:space="preserve">data collection could be </w:t>
      </w:r>
      <w:r w:rsidR="00443E13">
        <w:t xml:space="preserve">reduced by limiting the wells to only those that are within the saturated aquifer system. </w:t>
      </w:r>
    </w:p>
    <w:p w14:paraId="1E8D63E3" w14:textId="2EC880D0" w:rsidR="007B7F30" w:rsidRDefault="007B7F30" w:rsidP="00E969B3">
      <w:pPr>
        <w:pStyle w:val="ListBullet2"/>
      </w:pPr>
      <w:r>
        <w:t>Often the landfill wells have high TDS and thus if used in contouring could be biasing the results by extrapolating between points that are not both within the saturated system</w:t>
      </w:r>
      <w:r w:rsidR="00EE7177">
        <w:t>.</w:t>
      </w:r>
    </w:p>
    <w:p w14:paraId="7B76D60E" w14:textId="49053D48" w:rsidR="00BA328A" w:rsidRDefault="00DB6F91" w:rsidP="00BA328A">
      <w:pPr>
        <w:pStyle w:val="Heading2"/>
      </w:pPr>
      <w:r>
        <w:t>Task Force</w:t>
      </w:r>
      <w:r w:rsidR="00744C44">
        <w:t xml:space="preserve"> </w:t>
      </w:r>
      <w:r w:rsidR="00744C44">
        <w:t>Input and Feedback</w:t>
      </w:r>
      <w:bookmarkEnd w:id="31"/>
    </w:p>
    <w:p w14:paraId="2E3ABE7C" w14:textId="0ACC52CD" w:rsidR="00E42DC4" w:rsidRPr="00E42DC4" w:rsidRDefault="00EE7177" w:rsidP="00E42DC4">
      <w:r>
        <w:t xml:space="preserve">All of the analysis and observations documented in Section 2.3 were included in the Task Force workshop presentations to educate the stakeholders and to generate conversation around the methods for defining the monitoring network and </w:t>
      </w:r>
      <w:r w:rsidR="00573900">
        <w:t xml:space="preserve">the </w:t>
      </w:r>
      <w:proofErr w:type="spellStart"/>
      <w:r w:rsidR="00573900">
        <w:t>recomputation</w:t>
      </w:r>
      <w:proofErr w:type="spellEnd"/>
      <w:r w:rsidR="00573900">
        <w:t xml:space="preserve"> </w:t>
      </w:r>
      <w:r w:rsidR="00FB0834">
        <w:t xml:space="preserve">of AWQ and assimilative capacity. A series of questions </w:t>
      </w:r>
      <w:r w:rsidR="00FB0834">
        <w:lastRenderedPageBreak/>
        <w:t>to explore with the Task Force were developed based on the</w:t>
      </w:r>
      <w:r w:rsidR="00573900">
        <w:t xml:space="preserve"> </w:t>
      </w:r>
      <w:r w:rsidR="00FF44B5">
        <w:t>observations to guide</w:t>
      </w:r>
      <w:r w:rsidR="007627D1">
        <w:t xml:space="preserve"> the following components of the 2022 GMP</w:t>
      </w:r>
      <w:r w:rsidR="001D610B">
        <w:t>:</w:t>
      </w:r>
    </w:p>
    <w:p w14:paraId="58A96D57" w14:textId="7DB4B2A9" w:rsidR="001D610B" w:rsidRPr="00E42DC4" w:rsidRDefault="001D610B" w:rsidP="001D610B">
      <w:pPr>
        <w:pStyle w:val="ListParagraph"/>
        <w:numPr>
          <w:ilvl w:val="0"/>
          <w:numId w:val="43"/>
        </w:numPr>
        <w:spacing w:after="80"/>
        <w:contextualSpacing w:val="0"/>
        <w:jc w:val="left"/>
      </w:pPr>
      <w:r>
        <w:t>Th</w:t>
      </w:r>
      <w:r w:rsidR="00BA6FED">
        <w:t>e composition of the groundwater monitoring networks</w:t>
      </w:r>
    </w:p>
    <w:p w14:paraId="352F697A" w14:textId="54FB2594" w:rsidR="00BA6FED" w:rsidRPr="00E42DC4" w:rsidRDefault="00BA6FED" w:rsidP="001D610B">
      <w:pPr>
        <w:pStyle w:val="ListParagraph"/>
        <w:numPr>
          <w:ilvl w:val="0"/>
          <w:numId w:val="43"/>
        </w:numPr>
        <w:spacing w:after="80"/>
        <w:contextualSpacing w:val="0"/>
        <w:jc w:val="left"/>
      </w:pPr>
      <w:r>
        <w:t>The identification of potential data gaps</w:t>
      </w:r>
    </w:p>
    <w:p w14:paraId="6AE3E766" w14:textId="082F4A5E" w:rsidR="000C3C32" w:rsidRDefault="000C3C32" w:rsidP="001D610B">
      <w:pPr>
        <w:pStyle w:val="ListParagraph"/>
        <w:numPr>
          <w:ilvl w:val="0"/>
          <w:numId w:val="43"/>
        </w:numPr>
        <w:spacing w:after="80"/>
        <w:contextualSpacing w:val="0"/>
        <w:jc w:val="left"/>
      </w:pPr>
      <w:r>
        <w:t>The development of a process to address potential data gaps</w:t>
      </w:r>
    </w:p>
    <w:p w14:paraId="7B08A454" w14:textId="72A835DD" w:rsidR="000C3C32" w:rsidRPr="00E42DC4" w:rsidRDefault="000C3C32" w:rsidP="005429C7">
      <w:pPr>
        <w:pStyle w:val="ListParagraph"/>
        <w:numPr>
          <w:ilvl w:val="0"/>
          <w:numId w:val="43"/>
        </w:numPr>
        <w:contextualSpacing w:val="0"/>
        <w:jc w:val="left"/>
      </w:pPr>
      <w:r>
        <w:t xml:space="preserve">The </w:t>
      </w:r>
      <w:r w:rsidR="005429C7">
        <w:t>scope of work for the 2021 AWQ Pilot Study</w:t>
      </w:r>
    </w:p>
    <w:p w14:paraId="3ACF524C" w14:textId="711BFB9A" w:rsidR="007501B7" w:rsidRDefault="00676E04" w:rsidP="00A17117">
      <w:r>
        <w:t>Table 2-1 summarizes th</w:t>
      </w:r>
      <w:r w:rsidR="003F3F72">
        <w:t>e</w:t>
      </w:r>
      <w:r w:rsidR="003E0A46">
        <w:t xml:space="preserve"> </w:t>
      </w:r>
      <w:r w:rsidR="00774E66">
        <w:t>considerations explored with the Task Force, the inputs provided by the Task Force members, and the recommended approach to including the consideration</w:t>
      </w:r>
      <w:r w:rsidR="00B237E7">
        <w:t>s</w:t>
      </w:r>
      <w:r w:rsidR="00774E66">
        <w:t xml:space="preserve">, or not, into the above listed </w:t>
      </w:r>
      <w:r w:rsidR="007627D1">
        <w:t xml:space="preserve">components of this </w:t>
      </w:r>
      <w:r w:rsidR="00B237E7">
        <w:t xml:space="preserve">2022 GMP. </w:t>
      </w:r>
    </w:p>
    <w:p w14:paraId="52676601" w14:textId="25C442D2" w:rsidR="00B237E7" w:rsidRDefault="00B237E7" w:rsidP="005429C7">
      <w:pPr>
        <w:spacing w:after="80"/>
        <w:jc w:val="left"/>
      </w:pPr>
    </w:p>
    <w:p w14:paraId="48C44676" w14:textId="34FA7BFE" w:rsidR="006A2903" w:rsidRPr="00E42DC4" w:rsidRDefault="006A2903" w:rsidP="005429C7">
      <w:pPr>
        <w:spacing w:after="80"/>
        <w:jc w:val="left"/>
      </w:pPr>
    </w:p>
    <w:p w14:paraId="681ABEC8" w14:textId="7F92828E" w:rsidR="00902080" w:rsidRDefault="002277F8">
      <w:pPr>
        <w:spacing w:after="0"/>
        <w:jc w:val="left"/>
      </w:pPr>
      <w:r>
        <w:br w:type="page"/>
      </w:r>
      <w:r w:rsidR="00902080">
        <w:lastRenderedPageBreak/>
        <w:t>Table 2-1</w:t>
      </w:r>
      <w:r w:rsidR="00E42DC4">
        <w:t xml:space="preserve"> – Page 1</w:t>
      </w:r>
    </w:p>
    <w:p w14:paraId="5EF45683" w14:textId="5EA7BA8D" w:rsidR="00E42DC4" w:rsidRDefault="00E42DC4">
      <w:pPr>
        <w:spacing w:after="0"/>
        <w:jc w:val="left"/>
      </w:pPr>
      <w:r>
        <w:br w:type="page"/>
      </w:r>
    </w:p>
    <w:p w14:paraId="63ACA0B1" w14:textId="051B02AC" w:rsidR="00E42DC4" w:rsidRDefault="00E42DC4">
      <w:pPr>
        <w:spacing w:after="0"/>
        <w:jc w:val="left"/>
      </w:pPr>
      <w:r>
        <w:lastRenderedPageBreak/>
        <w:t>Table 2-1 – Page 2</w:t>
      </w:r>
    </w:p>
    <w:p w14:paraId="11CE503E" w14:textId="77777777" w:rsidR="00451A48" w:rsidRDefault="00451A48">
      <w:pPr>
        <w:spacing w:after="0"/>
        <w:jc w:val="left"/>
      </w:pPr>
      <w:r>
        <w:br w:type="page"/>
      </w:r>
    </w:p>
    <w:p w14:paraId="0BEE7D5F" w14:textId="4EB0C979" w:rsidR="00BA328A" w:rsidRDefault="008C5918" w:rsidP="00BA328A">
      <w:pPr>
        <w:pStyle w:val="Heading1"/>
      </w:pPr>
      <w:bookmarkStart w:id="32" w:name="_Toc117719792"/>
      <w:r>
        <w:lastRenderedPageBreak/>
        <w:t>Groundwater Management Zone Monitoring NetworkS</w:t>
      </w:r>
      <w:r w:rsidR="006211C1">
        <w:t xml:space="preserve"> and Potential Data Gaps</w:t>
      </w:r>
      <w:bookmarkEnd w:id="32"/>
    </w:p>
    <w:p w14:paraId="0EDAF827" w14:textId="66845B48" w:rsidR="006211C1" w:rsidRDefault="006C4F8E" w:rsidP="00BA328A">
      <w:r>
        <w:t>This section</w:t>
      </w:r>
      <w:r w:rsidR="00091001">
        <w:t>, together with Appendix A and Appendix C,</w:t>
      </w:r>
      <w:r>
        <w:t xml:space="preserve"> documents the current monitoring network in each GMZ, identifies the potential data gaps for which additional information needs to be compiled and </w:t>
      </w:r>
      <w:r w:rsidR="00E45650">
        <w:t>assessed</w:t>
      </w:r>
      <w:r>
        <w:t xml:space="preserve"> to </w:t>
      </w:r>
      <w:r w:rsidR="00E45650">
        <w:t>confirm the</w:t>
      </w:r>
      <w:r>
        <w:t xml:space="preserve"> </w:t>
      </w:r>
      <w:r w:rsidR="00E45650">
        <w:t xml:space="preserve">potential </w:t>
      </w:r>
      <w:r>
        <w:t xml:space="preserve">data gaps, and identifies the process to obtain the information and fill any data gaps that do exist. </w:t>
      </w:r>
    </w:p>
    <w:p w14:paraId="38FF2A93" w14:textId="77777777" w:rsidR="006211C1" w:rsidRDefault="006211C1" w:rsidP="006211C1">
      <w:pPr>
        <w:pStyle w:val="Heading2"/>
      </w:pPr>
      <w:bookmarkStart w:id="33" w:name="_Toc117719793"/>
      <w:r>
        <w:t>Groundwater Management Zone Monitoring Network</w:t>
      </w:r>
      <w:bookmarkEnd w:id="33"/>
    </w:p>
    <w:p w14:paraId="23CA6669" w14:textId="3169349A" w:rsidR="00884ECF" w:rsidRDefault="009907AA" w:rsidP="00BA328A">
      <w:r w:rsidRPr="009907AA">
        <w:t>T</w:t>
      </w:r>
      <w:r>
        <w:t>his</w:t>
      </w:r>
      <w:r w:rsidRPr="009907AA">
        <w:t xml:space="preserve"> 2022 GMP defines a monitoring network that includes all </w:t>
      </w:r>
      <w:r w:rsidR="00333157">
        <w:t xml:space="preserve">known </w:t>
      </w:r>
      <w:r w:rsidRPr="009907AA">
        <w:t>wells in each GMZ that are monitored for TDS and/or nitrate.</w:t>
      </w:r>
      <w:r>
        <w:t xml:space="preserve"> </w:t>
      </w:r>
      <w:r w:rsidR="00333157">
        <w:t>Extensive work was performed to identify every well that is planned to be sampled for TDS and/or nitrate</w:t>
      </w:r>
      <w:r w:rsidR="00884ECF">
        <w:t xml:space="preserve"> in the future. If a well owner could not be </w:t>
      </w:r>
      <w:r w:rsidR="003E7D68">
        <w:t>contacted,</w:t>
      </w:r>
      <w:r w:rsidR="00884ECF">
        <w:t xml:space="preserve"> or status of sampling could not </w:t>
      </w:r>
      <w:r w:rsidR="003E7D68">
        <w:t>be verified, it was not included in the monitoring network</w:t>
      </w:r>
    </w:p>
    <w:p w14:paraId="115DC725" w14:textId="702DB01E" w:rsidR="00451A48" w:rsidRDefault="00937DCD" w:rsidP="00BA328A">
      <w:r>
        <w:t xml:space="preserve">Appendix </w:t>
      </w:r>
      <w:r w:rsidR="000D689F">
        <w:t>A</w:t>
      </w:r>
      <w:r w:rsidR="009B44B5">
        <w:t xml:space="preserve"> defines the monitoring network for 32 of the </w:t>
      </w:r>
      <w:r w:rsidR="003055E7">
        <w:t xml:space="preserve">35 GMZs in the SAR Watershed. For each GMZ, Appendix </w:t>
      </w:r>
      <w:r w:rsidR="000D689F">
        <w:t>A</w:t>
      </w:r>
      <w:r w:rsidR="003055E7">
        <w:t xml:space="preserve"> includes:</w:t>
      </w:r>
    </w:p>
    <w:p w14:paraId="2825F197" w14:textId="2744FDCB" w:rsidR="003055E7" w:rsidRDefault="000D689F" w:rsidP="00FA23A0">
      <w:pPr>
        <w:ind w:left="360"/>
      </w:pPr>
      <w:r>
        <w:t xml:space="preserve">Table A </w:t>
      </w:r>
      <w:r w:rsidR="00811613">
        <w:t>–</w:t>
      </w:r>
      <w:r>
        <w:t xml:space="preserve"> </w:t>
      </w:r>
      <w:r w:rsidR="00811613">
        <w:t>Groundwater Monitoring Network. The table lists each well in the monitoring network. For each well, the table identifies:</w:t>
      </w:r>
    </w:p>
    <w:p w14:paraId="7069B32A" w14:textId="3A532CF0" w:rsidR="00811613" w:rsidRDefault="009B3772" w:rsidP="00133081">
      <w:pPr>
        <w:pStyle w:val="ListParagraph"/>
        <w:numPr>
          <w:ilvl w:val="0"/>
          <w:numId w:val="25"/>
        </w:numPr>
        <w:spacing w:after="80"/>
        <w:ind w:left="1080"/>
        <w:contextualSpacing w:val="0"/>
        <w:jc w:val="left"/>
      </w:pPr>
      <w:r w:rsidRPr="00080903">
        <w:rPr>
          <w:b/>
          <w:bCs/>
        </w:rPr>
        <w:t>Well ID.</w:t>
      </w:r>
      <w:r>
        <w:t xml:space="preserve"> This is the Well ID in the 2018 AWQ Database, if the well was</w:t>
      </w:r>
      <w:r w:rsidR="009A323E">
        <w:t xml:space="preserve"> in existence for that project. If the well is new, the Well ID shows as “NA”. The Well IDs will need to be updated after the well information are collected and a Well ID is assigned. </w:t>
      </w:r>
    </w:p>
    <w:p w14:paraId="54A47D08" w14:textId="40144F52" w:rsidR="00080903" w:rsidRDefault="00080903" w:rsidP="00133081">
      <w:pPr>
        <w:pStyle w:val="ListParagraph"/>
        <w:numPr>
          <w:ilvl w:val="0"/>
          <w:numId w:val="25"/>
        </w:numPr>
        <w:spacing w:after="80"/>
        <w:ind w:left="1080"/>
        <w:contextualSpacing w:val="0"/>
        <w:jc w:val="left"/>
      </w:pPr>
      <w:r>
        <w:rPr>
          <w:b/>
          <w:bCs/>
        </w:rPr>
        <w:t>Owner.</w:t>
      </w:r>
      <w:r>
        <w:t xml:space="preserve"> This is the owner of the well.</w:t>
      </w:r>
    </w:p>
    <w:p w14:paraId="701F14BE" w14:textId="7D14A037" w:rsidR="00080903" w:rsidRDefault="00080903" w:rsidP="00133081">
      <w:pPr>
        <w:pStyle w:val="ListParagraph"/>
        <w:numPr>
          <w:ilvl w:val="0"/>
          <w:numId w:val="25"/>
        </w:numPr>
        <w:spacing w:after="80"/>
        <w:ind w:left="1080"/>
        <w:contextualSpacing w:val="0"/>
        <w:jc w:val="left"/>
      </w:pPr>
      <w:r>
        <w:rPr>
          <w:b/>
          <w:bCs/>
        </w:rPr>
        <w:t>Well Name.</w:t>
      </w:r>
      <w:r>
        <w:t xml:space="preserve"> This is the name </w:t>
      </w:r>
      <w:r w:rsidR="003147AB">
        <w:t>of the well as provided by the owner, or monitoring entity.</w:t>
      </w:r>
    </w:p>
    <w:p w14:paraId="68D53CDF" w14:textId="36BD6F63" w:rsidR="003147AB" w:rsidRDefault="003147AB" w:rsidP="00133081">
      <w:pPr>
        <w:pStyle w:val="ListParagraph"/>
        <w:numPr>
          <w:ilvl w:val="0"/>
          <w:numId w:val="25"/>
        </w:numPr>
        <w:spacing w:after="80"/>
        <w:ind w:left="1080"/>
        <w:contextualSpacing w:val="0"/>
        <w:jc w:val="left"/>
      </w:pPr>
      <w:r>
        <w:rPr>
          <w:b/>
          <w:bCs/>
        </w:rPr>
        <w:t>Well Label</w:t>
      </w:r>
      <w:r w:rsidR="00AB648D">
        <w:rPr>
          <w:b/>
          <w:bCs/>
        </w:rPr>
        <w:t xml:space="preserve"> (Figure A)</w:t>
      </w:r>
      <w:r w:rsidR="00A35C21">
        <w:rPr>
          <w:rStyle w:val="FootnoteReference"/>
          <w:b/>
          <w:bCs/>
        </w:rPr>
        <w:footnoteReference w:id="9"/>
      </w:r>
      <w:r>
        <w:rPr>
          <w:b/>
          <w:bCs/>
        </w:rPr>
        <w:t>.</w:t>
      </w:r>
      <w:r>
        <w:t xml:space="preserve"> I</w:t>
      </w:r>
      <w:r w:rsidR="006B748F">
        <w:t>n</w:t>
      </w:r>
      <w:r>
        <w:t xml:space="preserve"> the case of long well names, this is the abbreviated well name used to label the wells in Figure A.</w:t>
      </w:r>
    </w:p>
    <w:p w14:paraId="33BF5816" w14:textId="630F5528" w:rsidR="00AB648D" w:rsidRDefault="00AB648D" w:rsidP="00133081">
      <w:pPr>
        <w:pStyle w:val="ListParagraph"/>
        <w:numPr>
          <w:ilvl w:val="0"/>
          <w:numId w:val="25"/>
        </w:numPr>
        <w:spacing w:after="80"/>
        <w:ind w:left="1080"/>
        <w:contextualSpacing w:val="0"/>
        <w:jc w:val="left"/>
      </w:pPr>
      <w:r>
        <w:rPr>
          <w:b/>
          <w:bCs/>
        </w:rPr>
        <w:t>Sampling Frequency.</w:t>
      </w:r>
      <w:r>
        <w:t xml:space="preserve"> This is the current sampling frequency for TDS and nitrate concentrations at the well. Sampling frequencies vary from monthly to triennially. </w:t>
      </w:r>
    </w:p>
    <w:p w14:paraId="5B2EC456" w14:textId="74391B81" w:rsidR="000D3E37" w:rsidRDefault="007A0819" w:rsidP="00133081">
      <w:pPr>
        <w:pStyle w:val="ListParagraph"/>
        <w:numPr>
          <w:ilvl w:val="0"/>
          <w:numId w:val="25"/>
        </w:numPr>
        <w:spacing w:after="80"/>
        <w:ind w:left="1080"/>
        <w:contextualSpacing w:val="0"/>
        <w:jc w:val="left"/>
      </w:pPr>
      <w:r>
        <w:rPr>
          <w:b/>
          <w:bCs/>
        </w:rPr>
        <w:t>Agency Responsible for Water Quality Monitoring.</w:t>
      </w:r>
      <w:r>
        <w:t xml:space="preserve"> This is the agency that physically visits the well to collect water quality samples. The </w:t>
      </w:r>
      <w:r w:rsidR="000D3E37">
        <w:t xml:space="preserve">monitoring agency may not be the same as the well owner, or the agency responsible to compile and deliver the data to the </w:t>
      </w:r>
      <w:r w:rsidR="00E01248">
        <w:t>Task Force</w:t>
      </w:r>
      <w:r w:rsidR="000D3E37">
        <w:t>.</w:t>
      </w:r>
    </w:p>
    <w:p w14:paraId="10560F67" w14:textId="51511093" w:rsidR="00811613" w:rsidRPr="00FA23A0" w:rsidRDefault="000D3E37" w:rsidP="00133081">
      <w:pPr>
        <w:pStyle w:val="ListParagraph"/>
        <w:numPr>
          <w:ilvl w:val="0"/>
          <w:numId w:val="25"/>
        </w:numPr>
        <w:ind w:left="1080"/>
        <w:contextualSpacing w:val="0"/>
        <w:jc w:val="left"/>
      </w:pPr>
      <w:r>
        <w:rPr>
          <w:b/>
          <w:bCs/>
        </w:rPr>
        <w:t xml:space="preserve">Agency Responsible to Compile and Deliver Data to </w:t>
      </w:r>
      <w:r w:rsidR="00E01248">
        <w:rPr>
          <w:b/>
          <w:bCs/>
        </w:rPr>
        <w:t>Task Force</w:t>
      </w:r>
      <w:r>
        <w:rPr>
          <w:b/>
          <w:bCs/>
        </w:rPr>
        <w:t>.</w:t>
      </w:r>
      <w:r>
        <w:t xml:space="preserve"> This is the agency responsible to compile and deliver the TDS and nitrate data to the Task Force</w:t>
      </w:r>
      <w:r w:rsidR="00EC106E">
        <w:t xml:space="preserve">, when requested. </w:t>
      </w:r>
    </w:p>
    <w:p w14:paraId="1E7DC217" w14:textId="2144A9FF" w:rsidR="00EC106E" w:rsidRDefault="00EC106E" w:rsidP="00FA23A0">
      <w:pPr>
        <w:ind w:left="360"/>
      </w:pPr>
      <w:r>
        <w:t xml:space="preserve">Figure A – Groundwater Monitoring Network. Figure A is a map of the groundwater monitoring </w:t>
      </w:r>
      <w:r w:rsidR="001E2924">
        <w:t xml:space="preserve">network. The wells are labeled by the “Well Label” name shown in Table A and are symbolized by </w:t>
      </w:r>
      <w:r w:rsidR="000B0EE6">
        <w:t xml:space="preserve">monitoring agency. </w:t>
      </w:r>
    </w:p>
    <w:p w14:paraId="649353D6" w14:textId="324D6372" w:rsidR="008D0B83" w:rsidRDefault="008D0B83" w:rsidP="00EC106E">
      <w:r>
        <w:lastRenderedPageBreak/>
        <w:t xml:space="preserve">There </w:t>
      </w:r>
      <w:r w:rsidR="00366C4E">
        <w:t>are</w:t>
      </w:r>
      <w:r>
        <w:t xml:space="preserve"> three GMZs with no monitored wells: La Habra, Riverside-D, and Santiago. </w:t>
      </w:r>
      <w:r w:rsidR="00366C4E">
        <w:t xml:space="preserve">These GMZs do not appear in Appendix A. </w:t>
      </w:r>
    </w:p>
    <w:p w14:paraId="46DA4C00" w14:textId="20F2FD9C" w:rsidR="007817C1" w:rsidRDefault="007817C1" w:rsidP="007817C1">
      <w:pPr>
        <w:pStyle w:val="Heading2"/>
      </w:pPr>
      <w:bookmarkStart w:id="34" w:name="_Toc117719794"/>
      <w:r>
        <w:t>Potential Data Gaps</w:t>
      </w:r>
      <w:bookmarkEnd w:id="34"/>
    </w:p>
    <w:p w14:paraId="24F80205" w14:textId="2DF5B7C3" w:rsidR="007817C1" w:rsidRDefault="00FC4E78" w:rsidP="00D6540A">
      <w:r>
        <w:t xml:space="preserve">As described in Section 2, the prior interpretive tools task of the AWQ </w:t>
      </w:r>
      <w:r w:rsidR="00732E2F">
        <w:t>project</w:t>
      </w:r>
      <w:r>
        <w:t xml:space="preserve"> did not yield the desired outcomes of addressing future potential data gaps. </w:t>
      </w:r>
      <w:r w:rsidR="00556464">
        <w:t xml:space="preserve">Although the wells at risk </w:t>
      </w:r>
      <w:r w:rsidR="00D76191">
        <w:t xml:space="preserve">of being lost from the analysis </w:t>
      </w:r>
      <w:r w:rsidR="00556464">
        <w:t xml:space="preserve">were identified </w:t>
      </w:r>
      <w:r w:rsidR="00C15FFB">
        <w:t xml:space="preserve">and the well owners </w:t>
      </w:r>
      <w:r w:rsidR="00AE399C">
        <w:t xml:space="preserve">were contacted and asked to resume sampling, </w:t>
      </w:r>
      <w:r w:rsidR="00FA2AFF">
        <w:t>few if any wells were added t</w:t>
      </w:r>
      <w:r w:rsidR="00967DBE">
        <w:t xml:space="preserve">o the monitoring networks. </w:t>
      </w:r>
      <w:r w:rsidR="001B54F8">
        <w:t xml:space="preserve">One of the goals of this 2022 GMP </w:t>
      </w:r>
      <w:r w:rsidR="00232446">
        <w:t>wa</w:t>
      </w:r>
      <w:r w:rsidR="001B54F8">
        <w:t xml:space="preserve">s to provide a comprehensive framework for addressing potential data gaps </w:t>
      </w:r>
      <w:r w:rsidR="00794A83">
        <w:t>in the GMZ monitoring network</w:t>
      </w:r>
      <w:r w:rsidR="00CE4443">
        <w:t xml:space="preserve"> </w:t>
      </w:r>
      <w:r w:rsidR="001B54F8">
        <w:t xml:space="preserve">to better enable the </w:t>
      </w:r>
      <w:r w:rsidR="005D35D0">
        <w:t>agencies</w:t>
      </w:r>
      <w:r w:rsidR="001B54F8">
        <w:t xml:space="preserve"> responsible </w:t>
      </w:r>
      <w:r w:rsidR="005D35D0">
        <w:t xml:space="preserve">(Responsible Agencies) </w:t>
      </w:r>
      <w:r w:rsidR="001B54F8">
        <w:t>to take actions</w:t>
      </w:r>
      <w:r w:rsidR="00260DD4">
        <w:t xml:space="preserve"> to resolve</w:t>
      </w:r>
      <w:r w:rsidR="00F62D7A">
        <w:t xml:space="preserve"> them</w:t>
      </w:r>
      <w:r w:rsidR="00260DD4">
        <w:t>.</w:t>
      </w:r>
      <w:r w:rsidR="00D6540A">
        <w:t xml:space="preserve"> </w:t>
      </w:r>
    </w:p>
    <w:p w14:paraId="6A2C304C" w14:textId="5D7E42C5" w:rsidR="001432CD" w:rsidRPr="007817C1" w:rsidRDefault="00F4317B" w:rsidP="00E9183E">
      <w:r>
        <w:t>Methods</w:t>
      </w:r>
      <w:r w:rsidR="00A9417A">
        <w:t xml:space="preserve"> to </w:t>
      </w:r>
      <w:r w:rsidR="005E2AB0">
        <w:t xml:space="preserve">(1) </w:t>
      </w:r>
      <w:r w:rsidR="00A9417A">
        <w:t xml:space="preserve">identify </w:t>
      </w:r>
      <w:r w:rsidR="005E2AB0">
        <w:t xml:space="preserve">potential </w:t>
      </w:r>
      <w:r w:rsidR="00A9417A">
        <w:t xml:space="preserve">data gaps </w:t>
      </w:r>
      <w:r>
        <w:t>in each GMZ and (2) resolve the potential data ga</w:t>
      </w:r>
      <w:r w:rsidR="00E9183E">
        <w:t>ps</w:t>
      </w:r>
      <w:r w:rsidR="00C3572B">
        <w:t>,</w:t>
      </w:r>
      <w:r>
        <w:t xml:space="preserve"> </w:t>
      </w:r>
      <w:r w:rsidR="00A9417A">
        <w:t>was developed, in part, based on feedback from the Task Force members</w:t>
      </w:r>
      <w:r w:rsidR="00E9183E">
        <w:t>. The assessment and process are described below.</w:t>
      </w:r>
    </w:p>
    <w:p w14:paraId="3414E71C" w14:textId="77CB7794" w:rsidR="007817C1" w:rsidRDefault="007817C1" w:rsidP="007817C1">
      <w:pPr>
        <w:pStyle w:val="Heading3"/>
      </w:pPr>
      <w:bookmarkStart w:id="35" w:name="_Toc117719795"/>
      <w:r>
        <w:t>Assessment to Identify Potential Data Gaps</w:t>
      </w:r>
      <w:bookmarkEnd w:id="35"/>
    </w:p>
    <w:p w14:paraId="1C0BE777" w14:textId="55C2D546" w:rsidR="00312252" w:rsidRDefault="00236C68" w:rsidP="00312252">
      <w:r>
        <w:t xml:space="preserve">Due to the </w:t>
      </w:r>
      <w:r w:rsidR="00191664">
        <w:t xml:space="preserve">diversity and varying complexity of the </w:t>
      </w:r>
      <w:r w:rsidR="00D23630">
        <w:t>GMZs</w:t>
      </w:r>
      <w:r w:rsidR="00081AF5">
        <w:t xml:space="preserve">, it was </w:t>
      </w:r>
      <w:r w:rsidR="00EE7B8E">
        <w:t xml:space="preserve">deemed </w:t>
      </w:r>
      <w:r w:rsidR="00E205E4">
        <w:t>un</w:t>
      </w:r>
      <w:r w:rsidR="00EE7B8E">
        <w:t xml:space="preserve">reasonable to </w:t>
      </w:r>
      <w:r w:rsidR="007D7210">
        <w:t>define</w:t>
      </w:r>
      <w:r w:rsidR="00EE7B8E">
        <w:t xml:space="preserve"> a </w:t>
      </w:r>
      <w:r w:rsidR="007D7210">
        <w:t xml:space="preserve">strict </w:t>
      </w:r>
      <w:r w:rsidR="00EE7B8E">
        <w:t xml:space="preserve">quantitative approach to identifying data gaps. An example of a quantitative approach </w:t>
      </w:r>
      <w:r w:rsidR="002F0827">
        <w:t xml:space="preserve">to determining if you have a </w:t>
      </w:r>
      <w:r w:rsidR="00355BF6">
        <w:t xml:space="preserve">sufficient monitoring network is to define a </w:t>
      </w:r>
      <w:r w:rsidR="006D43D2">
        <w:t xml:space="preserve">target number of wells per </w:t>
      </w:r>
      <w:r w:rsidR="00015A2A">
        <w:t>area</w:t>
      </w:r>
      <w:r w:rsidR="002D4636">
        <w:t xml:space="preserve"> (e.g., per square mile)</w:t>
      </w:r>
      <w:r w:rsidR="00015A2A">
        <w:t xml:space="preserve">. </w:t>
      </w:r>
      <w:r w:rsidR="00FC5741">
        <w:t>As an alternative approach, potential d</w:t>
      </w:r>
      <w:r w:rsidR="00312252">
        <w:t>ata gaps were identified qualitatively as follows</w:t>
      </w:r>
      <w:r w:rsidR="006D7B06">
        <w:t xml:space="preserve">, supported by </w:t>
      </w:r>
      <w:r w:rsidR="00923D2E">
        <w:t>the information mapped in the figures in Appendix B.</w:t>
      </w:r>
      <w:r w:rsidR="00312252">
        <w:t>:</w:t>
      </w:r>
    </w:p>
    <w:p w14:paraId="0FBB8684" w14:textId="0FB9C9AB" w:rsidR="00312252" w:rsidRDefault="00312252" w:rsidP="0095715A">
      <w:pPr>
        <w:pStyle w:val="Bullet"/>
      </w:pPr>
      <w:r>
        <w:t xml:space="preserve">In areas </w:t>
      </w:r>
      <w:r w:rsidR="004540D6">
        <w:t xml:space="preserve">where </w:t>
      </w:r>
      <w:r>
        <w:t>the storage raster shows significant aquifer volume and there are either no wells monitored or there are large spatial gaps between monitored wells</w:t>
      </w:r>
      <w:r w:rsidR="00705B54">
        <w:t>, there is a potential data gap</w:t>
      </w:r>
    </w:p>
    <w:p w14:paraId="282437F7" w14:textId="38F5C905" w:rsidR="00312252" w:rsidRDefault="00312252" w:rsidP="0095715A">
      <w:pPr>
        <w:pStyle w:val="Bullet"/>
      </w:pPr>
      <w:r>
        <w:t xml:space="preserve">In </w:t>
      </w:r>
      <w:r w:rsidR="00150C84">
        <w:t xml:space="preserve">areas with high </w:t>
      </w:r>
      <w:r>
        <w:t>TDS</w:t>
      </w:r>
      <w:r w:rsidR="00150C84">
        <w:t xml:space="preserve"> concentrations (hot spots)</w:t>
      </w:r>
      <w:r>
        <w:t xml:space="preserve"> where a spatial gap is created by well(s) </w:t>
      </w:r>
      <w:r w:rsidR="008B2EF0">
        <w:t xml:space="preserve">with data that </w:t>
      </w:r>
      <w:r>
        <w:t>have generated statistics in the past but are no longer monitored</w:t>
      </w:r>
      <w:r w:rsidR="006E2C0B">
        <w:t>, there is a potential data gap</w:t>
      </w:r>
    </w:p>
    <w:p w14:paraId="1083D98C" w14:textId="482D9776" w:rsidR="00312252" w:rsidRDefault="00312252" w:rsidP="0095715A">
      <w:pPr>
        <w:pStyle w:val="Bullet"/>
      </w:pPr>
      <w:r>
        <w:t xml:space="preserve">In areas where a significant spatial gap is created by wells </w:t>
      </w:r>
      <w:r w:rsidR="00C74F77">
        <w:t xml:space="preserve">with data </w:t>
      </w:r>
      <w:r>
        <w:t>that have generated statistics in the past but are no longer monitored</w:t>
      </w:r>
      <w:r w:rsidR="00C74F77">
        <w:t>, there is a potential data gap</w:t>
      </w:r>
      <w:r>
        <w:t xml:space="preserve"> </w:t>
      </w:r>
    </w:p>
    <w:p w14:paraId="2D3D8908" w14:textId="5E058649" w:rsidR="00312252" w:rsidRDefault="00312252" w:rsidP="0095715A">
      <w:pPr>
        <w:pStyle w:val="Bullet"/>
      </w:pPr>
      <w:r>
        <w:t xml:space="preserve">If a well </w:t>
      </w:r>
      <w:r w:rsidR="008B2EF0">
        <w:t>with data that</w:t>
      </w:r>
      <w:r w:rsidR="00572B25">
        <w:t xml:space="preserve"> generated statistics in the past </w:t>
      </w:r>
      <w:r>
        <w:t>is no longer monitored but occurs in an area with limited aquifer storage (grey and brown areas</w:t>
      </w:r>
      <w:r w:rsidR="00235F54">
        <w:t xml:space="preserve"> in the Appendix B figures)</w:t>
      </w:r>
      <w:r>
        <w:t xml:space="preserve">, it was not deemed a </w:t>
      </w:r>
      <w:r w:rsidR="00235F54">
        <w:t xml:space="preserve">potential </w:t>
      </w:r>
      <w:r>
        <w:t>data gap.</w:t>
      </w:r>
    </w:p>
    <w:p w14:paraId="2CBEC216" w14:textId="7ECDA860" w:rsidR="00312252" w:rsidRDefault="00312252" w:rsidP="0095715A">
      <w:pPr>
        <w:pStyle w:val="Bullet"/>
        <w:spacing w:after="240"/>
      </w:pPr>
      <w:r>
        <w:t xml:space="preserve">If a well is no longer </w:t>
      </w:r>
      <w:proofErr w:type="gramStart"/>
      <w:r>
        <w:t>monitored, but</w:t>
      </w:r>
      <w:proofErr w:type="gramEnd"/>
      <w:r>
        <w:t xml:space="preserve"> is reasonable in proximity to wells that continue to be monitored, it was not deemed a </w:t>
      </w:r>
      <w:r w:rsidR="00151FB8">
        <w:t xml:space="preserve">potential </w:t>
      </w:r>
      <w:r>
        <w:t>data gap.</w:t>
      </w:r>
    </w:p>
    <w:p w14:paraId="575E72E2" w14:textId="77777777" w:rsidR="009A551F" w:rsidRDefault="00C13D53" w:rsidP="00312252">
      <w:r>
        <w:t xml:space="preserve">The data gaps are considered </w:t>
      </w:r>
      <w:r w:rsidR="00836751">
        <w:t>“</w:t>
      </w:r>
      <w:r>
        <w:t xml:space="preserve">potential” at this stage </w:t>
      </w:r>
      <w:r w:rsidR="009A551F">
        <w:t xml:space="preserve">for two reasons: </w:t>
      </w:r>
    </w:p>
    <w:p w14:paraId="2345BF33" w14:textId="081AF3CB" w:rsidR="009A551F" w:rsidRDefault="009A551F" w:rsidP="00133081">
      <w:pPr>
        <w:pStyle w:val="ListParagraph"/>
        <w:numPr>
          <w:ilvl w:val="0"/>
          <w:numId w:val="23"/>
        </w:numPr>
        <w:spacing w:after="80"/>
        <w:contextualSpacing w:val="0"/>
        <w:jc w:val="left"/>
      </w:pPr>
      <w:r>
        <w:t>T</w:t>
      </w:r>
      <w:r w:rsidR="00317DB0">
        <w:t>he</w:t>
      </w:r>
      <w:r w:rsidR="00054F24">
        <w:t xml:space="preserve"> GMZ boundaries and aquifer storage properties </w:t>
      </w:r>
      <w:r w:rsidR="00317DB0">
        <w:t xml:space="preserve">were defined in </w:t>
      </w:r>
      <w:r w:rsidR="00851561">
        <w:t>the early 2000s and in many GMZs, there are improved aquifer characterizations</w:t>
      </w:r>
      <w:r w:rsidR="00842C48">
        <w:t xml:space="preserve">. Thus, </w:t>
      </w:r>
      <w:r w:rsidR="003E0E5E">
        <w:t xml:space="preserve">what is </w:t>
      </w:r>
      <w:r w:rsidR="00137F66">
        <w:t>seen as a data gap</w:t>
      </w:r>
      <w:r w:rsidR="002B613A">
        <w:t xml:space="preserve"> relative to the 2004 GMZ delineations may </w:t>
      </w:r>
      <w:r w:rsidR="002F110E">
        <w:t>actually no</w:t>
      </w:r>
      <w:r w:rsidR="006378D6">
        <w:t xml:space="preserve">t represent a real </w:t>
      </w:r>
      <w:r w:rsidR="00D916EA">
        <w:t xml:space="preserve">gap based on today’s understanding of the aquifer system. </w:t>
      </w:r>
      <w:r w:rsidR="00A3218D">
        <w:t>It was not possible in the scope of work for this project to learn enough about the specifics of updat</w:t>
      </w:r>
      <w:r w:rsidR="00C8171C">
        <w:t xml:space="preserve">ed hydrogeologic characterizations </w:t>
      </w:r>
      <w:r w:rsidR="000235F1">
        <w:t>in every GMZ</w:t>
      </w:r>
      <w:r w:rsidR="00DA674C">
        <w:t xml:space="preserve">. </w:t>
      </w:r>
    </w:p>
    <w:p w14:paraId="29A84B9F" w14:textId="4B7B6374" w:rsidR="009A551F" w:rsidRDefault="009A551F" w:rsidP="00133081">
      <w:pPr>
        <w:pStyle w:val="ListParagraph"/>
        <w:numPr>
          <w:ilvl w:val="0"/>
          <w:numId w:val="23"/>
        </w:numPr>
        <w:jc w:val="left"/>
      </w:pPr>
      <w:r>
        <w:t>Th</w:t>
      </w:r>
      <w:r w:rsidR="006247BC">
        <w:t xml:space="preserve">ough considerable efforts were made to </w:t>
      </w:r>
      <w:r w:rsidR="00451450">
        <w:t>contact as many well owners as possible</w:t>
      </w:r>
      <w:r w:rsidR="006247BC">
        <w:t xml:space="preserve"> in developing this 202</w:t>
      </w:r>
      <w:r w:rsidR="00451450">
        <w:t xml:space="preserve">2 GMP, </w:t>
      </w:r>
      <w:r w:rsidR="00F562E0">
        <w:t xml:space="preserve">it was not possible to reach </w:t>
      </w:r>
      <w:r w:rsidR="00E04125">
        <w:t>all owners</w:t>
      </w:r>
      <w:r w:rsidR="00B26F32">
        <w:t>. And</w:t>
      </w:r>
      <w:r w:rsidR="000147FC">
        <w:t xml:space="preserve">, in some cases existing </w:t>
      </w:r>
      <w:r w:rsidR="000147FC">
        <w:lastRenderedPageBreak/>
        <w:t>wells were identified</w:t>
      </w:r>
      <w:r w:rsidR="00FC2FD0">
        <w:t xml:space="preserve"> that could </w:t>
      </w:r>
      <w:r w:rsidR="0042621D">
        <w:t>fill potential data gaps</w:t>
      </w:r>
      <w:r w:rsidR="00A33C1F">
        <w:t xml:space="preserve">, but those wells are not currently monitored. There is the potential to do additional outreach to </w:t>
      </w:r>
      <w:r w:rsidR="0042621D">
        <w:t xml:space="preserve">the owners </w:t>
      </w:r>
      <w:r w:rsidR="00787D6B">
        <w:t>to</w:t>
      </w:r>
      <w:r w:rsidR="00B06888">
        <w:t xml:space="preserve"> arrange to have the</w:t>
      </w:r>
      <w:r w:rsidR="00787D6B">
        <w:t xml:space="preserve"> wells monitored for water quality. </w:t>
      </w:r>
    </w:p>
    <w:p w14:paraId="54313D97" w14:textId="069866D3" w:rsidR="007817C1" w:rsidRDefault="00B76FD3" w:rsidP="00312252">
      <w:r>
        <w:t>For th</w:t>
      </w:r>
      <w:r w:rsidR="009A551F">
        <w:t>es</w:t>
      </w:r>
      <w:r w:rsidR="005247A1">
        <w:t>e</w:t>
      </w:r>
      <w:r>
        <w:t xml:space="preserve"> reason</w:t>
      </w:r>
      <w:r w:rsidR="00E061E0">
        <w:t>s</w:t>
      </w:r>
      <w:r>
        <w:t xml:space="preserve">, there needs to be a process whereby the potential data gaps can be investigated </w:t>
      </w:r>
      <w:r w:rsidR="002D08FD">
        <w:t>in greater deta</w:t>
      </w:r>
      <w:r w:rsidR="002C31E5">
        <w:t>il</w:t>
      </w:r>
      <w:r w:rsidR="00DC4835">
        <w:t xml:space="preserve">. </w:t>
      </w:r>
      <w:r w:rsidR="00082176">
        <w:t>The investigations will be</w:t>
      </w:r>
      <w:r w:rsidR="00DC4835">
        <w:t xml:space="preserve"> implemented in </w:t>
      </w:r>
      <w:r w:rsidR="002C31E5">
        <w:t xml:space="preserve">a stepwise approach </w:t>
      </w:r>
      <w:r w:rsidR="00E061E0">
        <w:t xml:space="preserve">to </w:t>
      </w:r>
      <w:r w:rsidR="00037DCF">
        <w:t xml:space="preserve">evaluate options that could avoid </w:t>
      </w:r>
      <w:r w:rsidR="00E061E0">
        <w:t xml:space="preserve">the cost of filling data gaps with new well construction. </w:t>
      </w:r>
      <w:r w:rsidR="00312252">
        <w:t>Th</w:t>
      </w:r>
      <w:r w:rsidR="00065D69">
        <w:t>e investigations to address the potential data gaps are</w:t>
      </w:r>
      <w:r w:rsidR="00312252">
        <w:t xml:space="preserve"> best addressed by the agencies operating in the GMZs</w:t>
      </w:r>
      <w:r w:rsidR="00A42A46">
        <w:t xml:space="preserve">, as was noted in the feedback </w:t>
      </w:r>
      <w:r w:rsidR="00CE757F">
        <w:t xml:space="preserve">from the Task Force members (see Table 2-2). </w:t>
      </w:r>
      <w:r w:rsidR="00302B91">
        <w:t>The process to investigate potential data gaps is described in Section 3.2.2.</w:t>
      </w:r>
    </w:p>
    <w:p w14:paraId="66D482C3" w14:textId="6CF477BF" w:rsidR="00654954" w:rsidRDefault="00654954" w:rsidP="00654954">
      <w:r>
        <w:t xml:space="preserve">Appendix C contains a map of each GMZ that shows the location of any potential data gaps identified. The area of the potential data gap is shown as a red circled area on the map. If no potential data gaps were identified, then the map indicates “no data gaps”. </w:t>
      </w:r>
      <w:r w:rsidR="00CF1ECD">
        <w:t xml:space="preserve">Note that if there </w:t>
      </w:r>
      <w:r w:rsidR="00A32846">
        <w:t xml:space="preserve">is no existing monitoring network in a GMZ (e.g., there are no </w:t>
      </w:r>
      <w:r w:rsidR="00137B5A">
        <w:t xml:space="preserve">monitored </w:t>
      </w:r>
      <w:r w:rsidR="00A32846">
        <w:t>wells in the GMZ</w:t>
      </w:r>
      <w:r w:rsidR="00137B5A">
        <w:t xml:space="preserve">), then no map was prepared. </w:t>
      </w:r>
      <w:r w:rsidR="00F311FF">
        <w:t xml:space="preserve">As noted in Section 3.1 there are </w:t>
      </w:r>
      <w:r w:rsidR="00514D28">
        <w:t>three</w:t>
      </w:r>
      <w:r w:rsidR="00F311FF">
        <w:t xml:space="preserve"> GMZs with no monitoring networks</w:t>
      </w:r>
      <w:r w:rsidR="00105A6D">
        <w:t>: La Habra, Riverside-C, and Santiago</w:t>
      </w:r>
      <w:r w:rsidR="004972C4">
        <w:t xml:space="preserve">. </w:t>
      </w:r>
      <w:r w:rsidR="00663CAA">
        <w:t xml:space="preserve">For these GMZs, Table 3-1 indicates that </w:t>
      </w:r>
      <w:r w:rsidR="00F426CA">
        <w:t xml:space="preserve">two to four </w:t>
      </w:r>
      <w:r w:rsidR="00696634">
        <w:t xml:space="preserve">potential </w:t>
      </w:r>
      <w:r w:rsidR="00F426CA">
        <w:t xml:space="preserve">data gaps need to be </w:t>
      </w:r>
      <w:r w:rsidR="00696634">
        <w:t>addressed</w:t>
      </w:r>
      <w:r w:rsidR="00F426CA">
        <w:t>, if appropriate ba</w:t>
      </w:r>
      <w:r w:rsidR="00696634">
        <w:t xml:space="preserve">sed on the below stepwise process. </w:t>
      </w:r>
    </w:p>
    <w:p w14:paraId="3F177A45" w14:textId="55AD3170" w:rsidR="007817C1" w:rsidRDefault="007817C1" w:rsidP="007817C1">
      <w:pPr>
        <w:pStyle w:val="Heading3"/>
      </w:pPr>
      <w:bookmarkStart w:id="36" w:name="_Toc117719796"/>
      <w:r>
        <w:t xml:space="preserve">Process to </w:t>
      </w:r>
      <w:r w:rsidR="00302B91">
        <w:t>Investigate</w:t>
      </w:r>
      <w:r>
        <w:t xml:space="preserve"> </w:t>
      </w:r>
      <w:r w:rsidR="00EC2F4B">
        <w:t xml:space="preserve">Potential </w:t>
      </w:r>
      <w:r>
        <w:t>Data Gaps</w:t>
      </w:r>
      <w:bookmarkEnd w:id="36"/>
    </w:p>
    <w:p w14:paraId="60D4BA77" w14:textId="77777777" w:rsidR="00E239CA" w:rsidRDefault="00062449" w:rsidP="00E239CA">
      <w:r>
        <w:t>Table 3-1 lists the GMZs in the SAR Watershed and for each GMZ shows the number of potential data gaps identified and the Responsible Agencies identified to address them.</w:t>
      </w:r>
      <w:r w:rsidR="00764E99">
        <w:t xml:space="preserve"> Also shown in Table 3-1 are</w:t>
      </w:r>
      <w:r w:rsidR="00502C32">
        <w:t xml:space="preserve"> four features </w:t>
      </w:r>
      <w:r w:rsidR="005E1255">
        <w:t xml:space="preserve">that </w:t>
      </w:r>
      <w:r w:rsidR="000E61DF">
        <w:t xml:space="preserve">could be used to assess the importance of filling the potential data gaps. </w:t>
      </w:r>
      <w:r w:rsidR="00E239CA">
        <w:t>The four features shown in Table 3-1 are:</w:t>
      </w:r>
    </w:p>
    <w:p w14:paraId="5C026422" w14:textId="77777777" w:rsidR="00E239CA" w:rsidRDefault="00E239CA" w:rsidP="00133081">
      <w:pPr>
        <w:pStyle w:val="ListParagraph"/>
        <w:numPr>
          <w:ilvl w:val="0"/>
          <w:numId w:val="24"/>
        </w:numPr>
        <w:spacing w:after="80"/>
        <w:contextualSpacing w:val="0"/>
      </w:pPr>
      <w:r>
        <w:t>Recycled water that is discharged to the SAR or its tributaries recharges into the GMZ</w:t>
      </w:r>
    </w:p>
    <w:p w14:paraId="62C864AF" w14:textId="77777777" w:rsidR="00E239CA" w:rsidRDefault="00E239CA" w:rsidP="00133081">
      <w:pPr>
        <w:pStyle w:val="ListParagraph"/>
        <w:numPr>
          <w:ilvl w:val="0"/>
          <w:numId w:val="24"/>
        </w:numPr>
        <w:spacing w:after="80"/>
        <w:contextualSpacing w:val="0"/>
      </w:pPr>
      <w:r w:rsidRPr="00E6773F">
        <w:t>Recycled water is used for direct non-potable use or recharge in the GMZ</w:t>
      </w:r>
    </w:p>
    <w:p w14:paraId="3CCB82D6" w14:textId="78312E7E" w:rsidR="00E239CA" w:rsidRDefault="00E239CA" w:rsidP="00133081">
      <w:pPr>
        <w:pStyle w:val="ListParagraph"/>
        <w:numPr>
          <w:ilvl w:val="0"/>
          <w:numId w:val="24"/>
        </w:numPr>
        <w:spacing w:after="80"/>
        <w:contextualSpacing w:val="0"/>
      </w:pPr>
      <w:r>
        <w:t xml:space="preserve">Imported </w:t>
      </w:r>
      <w:r w:rsidR="003E7E73">
        <w:t xml:space="preserve">water </w:t>
      </w:r>
      <w:r>
        <w:t>is recharged in the GMZ</w:t>
      </w:r>
    </w:p>
    <w:p w14:paraId="66672FD8" w14:textId="77777777" w:rsidR="00E239CA" w:rsidRDefault="00E239CA" w:rsidP="00133081">
      <w:pPr>
        <w:pStyle w:val="ListParagraph"/>
        <w:numPr>
          <w:ilvl w:val="0"/>
          <w:numId w:val="24"/>
        </w:numPr>
        <w:contextualSpacing w:val="0"/>
      </w:pPr>
      <w:r>
        <w:t>GMZ used for municipal or domestic supply</w:t>
      </w:r>
    </w:p>
    <w:p w14:paraId="7C553616" w14:textId="035A2030" w:rsidR="005E1255" w:rsidRDefault="000E61DF" w:rsidP="00E239CA">
      <w:r>
        <w:t xml:space="preserve">Potential data gaps would be important to fill when </w:t>
      </w:r>
      <w:r w:rsidR="004435B5">
        <w:t xml:space="preserve">there are recycled water (or other discharge) permitting decisions that need to be made based on the AWQ findings, </w:t>
      </w:r>
      <w:r w:rsidR="00884C79">
        <w:t xml:space="preserve">if imported water is recharged in the GMZ and the Responsible Agencies perform modeling in accordance with the Cooperative Agreement, and/or if the groundwater in the GMZ is used for </w:t>
      </w:r>
      <w:r w:rsidR="00094113">
        <w:t xml:space="preserve">municipal or domestic water supply. </w:t>
      </w:r>
      <w:r w:rsidR="009057E2">
        <w:t>If none of these features are relevant, then the potential data gaps need not be investigated immediate</w:t>
      </w:r>
      <w:r w:rsidR="003D201C">
        <w:t>ly, as described in the following stepwise process</w:t>
      </w:r>
      <w:r w:rsidR="00EA1817">
        <w:t>.</w:t>
      </w:r>
    </w:p>
    <w:p w14:paraId="06FDAA66" w14:textId="6F7E1AC4" w:rsidR="00EA1817" w:rsidRDefault="00EA1817" w:rsidP="00E239CA"/>
    <w:p w14:paraId="56B806BE" w14:textId="77777777" w:rsidR="004F51AE" w:rsidRDefault="004F51AE">
      <w:pPr>
        <w:spacing w:after="0"/>
        <w:jc w:val="left"/>
      </w:pPr>
      <w:r>
        <w:br w:type="page"/>
      </w:r>
    </w:p>
    <w:p w14:paraId="4A6295BA" w14:textId="77777777" w:rsidR="00A075DC" w:rsidRDefault="004F51AE">
      <w:pPr>
        <w:spacing w:after="0"/>
        <w:jc w:val="left"/>
      </w:pPr>
      <w:r>
        <w:lastRenderedPageBreak/>
        <w:t>Table 3-1.</w:t>
      </w:r>
      <w:r w:rsidR="00A075DC">
        <w:t xml:space="preserve"> Page 1</w:t>
      </w:r>
    </w:p>
    <w:p w14:paraId="60AB89F5" w14:textId="77777777" w:rsidR="00A075DC" w:rsidRDefault="00A075DC">
      <w:pPr>
        <w:spacing w:after="0"/>
        <w:jc w:val="left"/>
      </w:pPr>
      <w:r>
        <w:br w:type="page"/>
      </w:r>
    </w:p>
    <w:p w14:paraId="0C32A2D3" w14:textId="4D582233" w:rsidR="004F51AE" w:rsidRDefault="00A075DC">
      <w:pPr>
        <w:spacing w:after="0"/>
        <w:jc w:val="left"/>
      </w:pPr>
      <w:r>
        <w:lastRenderedPageBreak/>
        <w:t>Table 3-1 Page 2</w:t>
      </w:r>
      <w:r w:rsidR="004F51AE">
        <w:br w:type="page"/>
      </w:r>
    </w:p>
    <w:p w14:paraId="0B56DDA6" w14:textId="77777777" w:rsidR="0060649A" w:rsidRDefault="0060649A" w:rsidP="0060649A">
      <w:r>
        <w:lastRenderedPageBreak/>
        <w:t>For GMZs where potential data gaps were identified, the Responsible Parties will follow a four-step process to guide them through addressing the potential data gaps. For each step, a question is posed, and the answer determines if the Responsible Agency has satisfied the potential data gap or if additional steps must be taken.  The steps are:</w:t>
      </w:r>
    </w:p>
    <w:p w14:paraId="1E81DAD6" w14:textId="77777777" w:rsidR="0060649A" w:rsidRPr="008E7090" w:rsidRDefault="0060649A" w:rsidP="0060649A">
      <w:pPr>
        <w:ind w:left="720"/>
      </w:pPr>
      <w:r w:rsidRPr="008E7090">
        <w:t xml:space="preserve">Step 1. </w:t>
      </w:r>
      <w:r>
        <w:t>Determine if it is important to address the potential data gaps now</w:t>
      </w:r>
    </w:p>
    <w:p w14:paraId="76B4F9B0" w14:textId="16B3CF3C" w:rsidR="0060649A" w:rsidRPr="008E7090" w:rsidRDefault="0060649A" w:rsidP="0060649A">
      <w:pPr>
        <w:spacing w:line="259" w:lineRule="auto"/>
        <w:ind w:left="720"/>
        <w:jc w:val="left"/>
      </w:pPr>
      <w:r w:rsidRPr="008E7090">
        <w:t xml:space="preserve">Step </w:t>
      </w:r>
      <w:r w:rsidR="00D66D5B">
        <w:t>2</w:t>
      </w:r>
      <w:r w:rsidRPr="008E7090">
        <w:t>. Eliminate Potential Data Gaps with Additional Hydrogeologic Information</w:t>
      </w:r>
    </w:p>
    <w:p w14:paraId="17DBCCC0" w14:textId="7B5248B4" w:rsidR="0060649A" w:rsidRPr="008E7090" w:rsidRDefault="0060649A" w:rsidP="0060649A">
      <w:pPr>
        <w:spacing w:line="259" w:lineRule="auto"/>
        <w:ind w:left="720"/>
        <w:jc w:val="left"/>
        <w:rPr>
          <w:i/>
          <w:iCs/>
        </w:rPr>
      </w:pPr>
      <w:r w:rsidRPr="008E7090">
        <w:t xml:space="preserve">Step </w:t>
      </w:r>
      <w:r w:rsidR="00D66D5B">
        <w:t>3</w:t>
      </w:r>
      <w:r w:rsidRPr="008E7090">
        <w:t>. Eliminate Potential Data Gaps by Monitoring Existing Wells</w:t>
      </w:r>
    </w:p>
    <w:p w14:paraId="664AA64F" w14:textId="7047DA9F" w:rsidR="0060649A" w:rsidRPr="0005234B" w:rsidRDefault="0060649A" w:rsidP="0060649A">
      <w:pPr>
        <w:spacing w:line="259" w:lineRule="auto"/>
        <w:ind w:left="720"/>
        <w:jc w:val="left"/>
        <w:rPr>
          <w:b/>
          <w:bCs/>
          <w:i/>
          <w:iCs/>
        </w:rPr>
      </w:pPr>
      <w:r w:rsidRPr="008E7090">
        <w:t xml:space="preserve">Step </w:t>
      </w:r>
      <w:r w:rsidR="00D66D5B">
        <w:t>4</w:t>
      </w:r>
      <w:r w:rsidRPr="008E7090">
        <w:t>. Fill data gaps with construction of new monitoring wells</w:t>
      </w:r>
    </w:p>
    <w:p w14:paraId="7100375B" w14:textId="424C383B" w:rsidR="00A32B47" w:rsidRPr="000817D8" w:rsidRDefault="000E29DB" w:rsidP="000E29DB">
      <w:pPr>
        <w:spacing w:after="160" w:line="259" w:lineRule="auto"/>
        <w:jc w:val="left"/>
        <w:rPr>
          <w:b/>
          <w:bCs/>
        </w:rPr>
      </w:pPr>
      <w:r>
        <w:rPr>
          <w:b/>
          <w:bCs/>
        </w:rPr>
        <w:t xml:space="preserve">Step </w:t>
      </w:r>
      <w:r w:rsidR="00C622E0">
        <w:rPr>
          <w:b/>
          <w:bCs/>
        </w:rPr>
        <w:t>1</w:t>
      </w:r>
      <w:r>
        <w:rPr>
          <w:b/>
          <w:bCs/>
        </w:rPr>
        <w:t xml:space="preserve">. </w:t>
      </w:r>
      <w:r w:rsidR="00F22B7C" w:rsidRPr="00F22B7C">
        <w:rPr>
          <w:b/>
          <w:bCs/>
        </w:rPr>
        <w:t>Determine if it is important to address the potential data gaps</w:t>
      </w:r>
      <w:r w:rsidR="00F22B7C">
        <w:rPr>
          <w:b/>
          <w:bCs/>
        </w:rPr>
        <w:t xml:space="preserve"> now</w:t>
      </w:r>
    </w:p>
    <w:p w14:paraId="41884AF9" w14:textId="4344E3D0" w:rsidR="00765344" w:rsidRDefault="00765344" w:rsidP="00A32B47">
      <w:pPr>
        <w:rPr>
          <w:i/>
          <w:iCs/>
        </w:rPr>
      </w:pPr>
      <w:r>
        <w:rPr>
          <w:i/>
          <w:iCs/>
        </w:rPr>
        <w:t>Does the GMZ with the identified potential data gaps have any of the four</w:t>
      </w:r>
      <w:r w:rsidR="005D4938">
        <w:rPr>
          <w:i/>
          <w:iCs/>
        </w:rPr>
        <w:t xml:space="preserve"> </w:t>
      </w:r>
      <w:r w:rsidR="005D4938" w:rsidRPr="005D4938">
        <w:rPr>
          <w:i/>
          <w:iCs/>
        </w:rPr>
        <w:t>features</w:t>
      </w:r>
      <w:r w:rsidR="000C0533">
        <w:rPr>
          <w:i/>
          <w:iCs/>
        </w:rPr>
        <w:t xml:space="preserve"> shown in Table 3-</w:t>
      </w:r>
      <w:proofErr w:type="gramStart"/>
      <w:r w:rsidR="000C0533">
        <w:rPr>
          <w:i/>
          <w:iCs/>
        </w:rPr>
        <w:t xml:space="preserve">1 </w:t>
      </w:r>
      <w:r w:rsidR="005D4938" w:rsidRPr="005D4938">
        <w:rPr>
          <w:i/>
          <w:iCs/>
        </w:rPr>
        <w:t xml:space="preserve"> that</w:t>
      </w:r>
      <w:proofErr w:type="gramEnd"/>
      <w:r w:rsidR="005D4938" w:rsidRPr="005D4938">
        <w:rPr>
          <w:i/>
          <w:iCs/>
        </w:rPr>
        <w:t xml:space="preserve"> </w:t>
      </w:r>
      <w:r w:rsidR="000C0533">
        <w:rPr>
          <w:i/>
          <w:iCs/>
        </w:rPr>
        <w:t xml:space="preserve">suggest it is </w:t>
      </w:r>
      <w:r w:rsidR="005D4938" w:rsidRPr="005D4938">
        <w:rPr>
          <w:i/>
          <w:iCs/>
        </w:rPr>
        <w:t>importan</w:t>
      </w:r>
      <w:r w:rsidR="000C0533">
        <w:rPr>
          <w:i/>
          <w:iCs/>
        </w:rPr>
        <w:t>t to</w:t>
      </w:r>
      <w:r w:rsidR="005D4938" w:rsidRPr="005D4938">
        <w:rPr>
          <w:i/>
          <w:iCs/>
        </w:rPr>
        <w:t xml:space="preserve"> fil</w:t>
      </w:r>
      <w:r w:rsidR="00AA63DC">
        <w:rPr>
          <w:i/>
          <w:iCs/>
        </w:rPr>
        <w:t>l</w:t>
      </w:r>
      <w:r w:rsidR="005D4938" w:rsidRPr="005D4938">
        <w:rPr>
          <w:i/>
          <w:iCs/>
        </w:rPr>
        <w:t xml:space="preserve"> the potential data gaps</w:t>
      </w:r>
      <w:r w:rsidR="00A32B47" w:rsidRPr="000817D8">
        <w:rPr>
          <w:i/>
          <w:iCs/>
        </w:rPr>
        <w:t>?</w:t>
      </w:r>
      <w:r w:rsidR="00A32B47">
        <w:rPr>
          <w:i/>
          <w:iCs/>
        </w:rPr>
        <w:t xml:space="preserve"> </w:t>
      </w:r>
    </w:p>
    <w:p w14:paraId="4EABB0E7" w14:textId="6F80C628" w:rsidR="00A32B47" w:rsidRDefault="00A32B47" w:rsidP="00A32B47">
      <w:pPr>
        <w:ind w:left="720"/>
      </w:pPr>
      <w:r>
        <w:t xml:space="preserve">No – </w:t>
      </w:r>
      <w:r w:rsidR="0058713C">
        <w:t>Potential d</w:t>
      </w:r>
      <w:r>
        <w:t xml:space="preserve">ata gaps do not need to be </w:t>
      </w:r>
      <w:r w:rsidR="0058713C">
        <w:t>addressed</w:t>
      </w:r>
      <w:r>
        <w:t xml:space="preserve"> until </w:t>
      </w:r>
      <w:r w:rsidR="00AA63DC">
        <w:t xml:space="preserve">one or more of </w:t>
      </w:r>
      <w:r>
        <w:t xml:space="preserve">the </w:t>
      </w:r>
      <w:r w:rsidR="00AA63DC">
        <w:t>four</w:t>
      </w:r>
      <w:r>
        <w:t xml:space="preserve"> </w:t>
      </w:r>
      <w:r w:rsidR="00AA63DC">
        <w:t>features will become relevant</w:t>
      </w:r>
      <w:r>
        <w:t xml:space="preserve"> within the next five-year period</w:t>
      </w:r>
      <w:r w:rsidR="00AA63DC">
        <w:t xml:space="preserve"> (e.g.</w:t>
      </w:r>
      <w:r w:rsidR="001C4E2A">
        <w:t>,</w:t>
      </w:r>
      <w:r w:rsidR="00AA63DC">
        <w:t xml:space="preserve"> </w:t>
      </w:r>
      <w:r w:rsidR="001C4E2A">
        <w:t>new recycled water reuse projects, or development of potable water supply)</w:t>
      </w:r>
      <w:r>
        <w:t xml:space="preserve">. Responsible Agencies for the GMZ must (1) notify the </w:t>
      </w:r>
      <w:r w:rsidR="0001516D">
        <w:t>Santa Ana Water Board</w:t>
      </w:r>
      <w:r>
        <w:t xml:space="preserve"> and Task Force in writing of this finding and (2) update </w:t>
      </w:r>
      <w:r w:rsidR="0001516D">
        <w:t>Santa Ana Water Board</w:t>
      </w:r>
      <w:r>
        <w:t xml:space="preserve"> </w:t>
      </w:r>
      <w:r w:rsidR="001D5924">
        <w:t>every five years</w:t>
      </w:r>
      <w:r>
        <w:t xml:space="preserve"> as to any changes </w:t>
      </w:r>
      <w:r w:rsidR="001D5924">
        <w:t>that would trigger the need to address data gaps</w:t>
      </w:r>
      <w:r>
        <w:t xml:space="preserve">. </w:t>
      </w:r>
    </w:p>
    <w:p w14:paraId="2BAE69EE" w14:textId="7FA47A07" w:rsidR="00A32B47" w:rsidRDefault="00A32B47" w:rsidP="00A32B47">
      <w:pPr>
        <w:ind w:left="720"/>
      </w:pPr>
      <w:r>
        <w:t xml:space="preserve">Yes – </w:t>
      </w:r>
      <w:r w:rsidR="003345DF">
        <w:t xml:space="preserve">Responsible Agencies </w:t>
      </w:r>
      <w:r w:rsidRPr="0058713C">
        <w:rPr>
          <w:i/>
          <w:u w:val="single"/>
        </w:rPr>
        <w:t xml:space="preserve">Proceed to Step </w:t>
      </w:r>
      <w:r w:rsidR="00C622E0">
        <w:rPr>
          <w:i/>
          <w:iCs/>
          <w:u w:val="single"/>
        </w:rPr>
        <w:t>2</w:t>
      </w:r>
      <w:r>
        <w:rPr>
          <w:i/>
          <w:u w:val="single"/>
        </w:rPr>
        <w:t xml:space="preserve"> </w:t>
      </w:r>
      <w:r>
        <w:t xml:space="preserve">of addressing </w:t>
      </w:r>
      <w:r w:rsidR="00F93D3A">
        <w:t xml:space="preserve">potential </w:t>
      </w:r>
      <w:r>
        <w:t xml:space="preserve">data gaps.  </w:t>
      </w:r>
    </w:p>
    <w:p w14:paraId="5D22AB66" w14:textId="62D65288" w:rsidR="00A32B47" w:rsidRPr="000817D8" w:rsidRDefault="00F93D3A" w:rsidP="0058713C">
      <w:pPr>
        <w:spacing w:after="160" w:line="259" w:lineRule="auto"/>
        <w:jc w:val="left"/>
        <w:rPr>
          <w:b/>
          <w:bCs/>
        </w:rPr>
      </w:pPr>
      <w:r>
        <w:rPr>
          <w:b/>
          <w:bCs/>
        </w:rPr>
        <w:t xml:space="preserve">Step </w:t>
      </w:r>
      <w:r w:rsidR="00C622E0">
        <w:rPr>
          <w:b/>
          <w:bCs/>
        </w:rPr>
        <w:t>2</w:t>
      </w:r>
      <w:r>
        <w:rPr>
          <w:b/>
          <w:bCs/>
        </w:rPr>
        <w:t xml:space="preserve">. </w:t>
      </w:r>
      <w:r w:rsidR="005153BF">
        <w:rPr>
          <w:b/>
          <w:bCs/>
        </w:rPr>
        <w:t>Eliminate</w:t>
      </w:r>
      <w:r w:rsidR="0005234B">
        <w:rPr>
          <w:b/>
          <w:bCs/>
        </w:rPr>
        <w:t xml:space="preserve"> Potential Data Gaps </w:t>
      </w:r>
      <w:r w:rsidR="005153BF">
        <w:rPr>
          <w:b/>
          <w:bCs/>
        </w:rPr>
        <w:t>with Additional Hydrogeologic Information</w:t>
      </w:r>
    </w:p>
    <w:p w14:paraId="16163D07" w14:textId="38E992C6" w:rsidR="00A32B47" w:rsidRPr="000817D8" w:rsidRDefault="00A32B47" w:rsidP="00A32B47">
      <w:r w:rsidRPr="000817D8">
        <w:rPr>
          <w:i/>
          <w:iCs/>
        </w:rPr>
        <w:t xml:space="preserve">Do the Responsible Agencies have </w:t>
      </w:r>
      <w:r w:rsidR="003C6966">
        <w:rPr>
          <w:i/>
          <w:iCs/>
        </w:rPr>
        <w:t xml:space="preserve">new hydrogeologic </w:t>
      </w:r>
      <w:r w:rsidRPr="000817D8">
        <w:rPr>
          <w:i/>
          <w:iCs/>
        </w:rPr>
        <w:t xml:space="preserve">information </w:t>
      </w:r>
      <w:r w:rsidR="00F93D3A">
        <w:rPr>
          <w:i/>
          <w:iCs/>
        </w:rPr>
        <w:t>developed after 2004 that could</w:t>
      </w:r>
      <w:r w:rsidRPr="000817D8">
        <w:rPr>
          <w:i/>
          <w:iCs/>
        </w:rPr>
        <w:t xml:space="preserve"> refute the finding that a </w:t>
      </w:r>
      <w:r w:rsidR="00F93D3A">
        <w:rPr>
          <w:i/>
          <w:iCs/>
        </w:rPr>
        <w:t xml:space="preserve">potential </w:t>
      </w:r>
      <w:r w:rsidRPr="000817D8">
        <w:rPr>
          <w:i/>
          <w:iCs/>
        </w:rPr>
        <w:t xml:space="preserve">data gap exists? </w:t>
      </w:r>
      <w:r>
        <w:rPr>
          <w:i/>
          <w:iCs/>
        </w:rPr>
        <w:t xml:space="preserve">(For example, is there a new hydrogeologic conceptual model that illustrates that the </w:t>
      </w:r>
      <w:r w:rsidR="00CF0B52">
        <w:rPr>
          <w:i/>
          <w:iCs/>
        </w:rPr>
        <w:t>AWQ</w:t>
      </w:r>
      <w:r>
        <w:rPr>
          <w:i/>
          <w:iCs/>
        </w:rPr>
        <w:t xml:space="preserve"> storage model is outdated and would impact the identification of data gaps?) </w:t>
      </w:r>
    </w:p>
    <w:p w14:paraId="6E2FE844" w14:textId="24CD720B" w:rsidR="00A32B47" w:rsidRDefault="00A32B47" w:rsidP="00A32B47">
      <w:pPr>
        <w:ind w:left="720"/>
      </w:pPr>
      <w:r>
        <w:t xml:space="preserve">No – </w:t>
      </w:r>
      <w:r w:rsidR="003345DF">
        <w:t xml:space="preserve">Responsible Agencies </w:t>
      </w:r>
      <w:r w:rsidR="003345DF" w:rsidRPr="003345DF">
        <w:rPr>
          <w:i/>
          <w:iCs/>
          <w:u w:val="single"/>
        </w:rPr>
        <w:t>P</w:t>
      </w:r>
      <w:r w:rsidRPr="003345DF">
        <w:rPr>
          <w:i/>
          <w:iCs/>
          <w:u w:val="single"/>
        </w:rPr>
        <w:t xml:space="preserve">roceed to Step </w:t>
      </w:r>
      <w:r w:rsidR="00C622E0">
        <w:rPr>
          <w:i/>
          <w:iCs/>
          <w:u w:val="single"/>
        </w:rPr>
        <w:t>3</w:t>
      </w:r>
      <w:r w:rsidR="00F06A81">
        <w:rPr>
          <w:i/>
          <w:iCs/>
          <w:u w:val="single"/>
        </w:rPr>
        <w:t xml:space="preserve"> </w:t>
      </w:r>
      <w:r>
        <w:t xml:space="preserve">of addressing data gaps. </w:t>
      </w:r>
    </w:p>
    <w:p w14:paraId="3EEE77C8" w14:textId="6420232F" w:rsidR="00A32B47" w:rsidRDefault="00A32B47" w:rsidP="00A32B47">
      <w:pPr>
        <w:ind w:left="720"/>
      </w:pPr>
      <w:r>
        <w:t xml:space="preserve">Yes – Prepare a technical memorandum (TM) </w:t>
      </w:r>
      <w:r w:rsidR="00D87CAF">
        <w:t>that summarizes</w:t>
      </w:r>
      <w:r>
        <w:t xml:space="preserve"> the hydrogeologic evidence that </w:t>
      </w:r>
      <w:r w:rsidR="00D359B4">
        <w:t xml:space="preserve">the </w:t>
      </w:r>
      <w:r>
        <w:t xml:space="preserve">identified </w:t>
      </w:r>
      <w:r w:rsidR="00C038D7">
        <w:t xml:space="preserve">potential </w:t>
      </w:r>
      <w:r>
        <w:t xml:space="preserve">data gaps do not need to be addressed. The TM must include: (1) characterization of evidence with references cited, (2) a proposed updated delineation of aquifer/GMZ boundary (if appropriate), and (3) </w:t>
      </w:r>
      <w:r w:rsidR="00C47DAD">
        <w:t xml:space="preserve">shapefiles of </w:t>
      </w:r>
      <w:r>
        <w:t xml:space="preserve">new aquifer storage properties (including layers, if appropriate). </w:t>
      </w:r>
      <w:r w:rsidR="00474D99">
        <w:t xml:space="preserve">Submit TM to Santa Ana Water Board and Task Force. </w:t>
      </w:r>
    </w:p>
    <w:p w14:paraId="5EF4E2F9" w14:textId="67C972E9" w:rsidR="00A32B47" w:rsidRDefault="0005234B" w:rsidP="0005234B">
      <w:pPr>
        <w:spacing w:after="160" w:line="259" w:lineRule="auto"/>
        <w:jc w:val="left"/>
        <w:rPr>
          <w:b/>
          <w:bCs/>
          <w:i/>
          <w:iCs/>
        </w:rPr>
      </w:pPr>
      <w:r>
        <w:rPr>
          <w:b/>
          <w:bCs/>
        </w:rPr>
        <w:t xml:space="preserve">Step </w:t>
      </w:r>
      <w:r w:rsidR="00C622E0">
        <w:rPr>
          <w:b/>
          <w:bCs/>
        </w:rPr>
        <w:t>3</w:t>
      </w:r>
      <w:r>
        <w:rPr>
          <w:b/>
          <w:bCs/>
        </w:rPr>
        <w:t xml:space="preserve">. </w:t>
      </w:r>
      <w:r w:rsidR="00CD116A">
        <w:rPr>
          <w:b/>
          <w:bCs/>
        </w:rPr>
        <w:t>Eliminate Potential Data Gaps by Monitoring Existing Wells</w:t>
      </w:r>
    </w:p>
    <w:p w14:paraId="73B46111" w14:textId="4A22F189" w:rsidR="00A32B47" w:rsidRPr="00900C51" w:rsidRDefault="00A32B47" w:rsidP="00A32B47">
      <w:pPr>
        <w:rPr>
          <w:i/>
          <w:iCs/>
        </w:rPr>
      </w:pPr>
      <w:r w:rsidRPr="00900C51">
        <w:rPr>
          <w:i/>
          <w:iCs/>
        </w:rPr>
        <w:t xml:space="preserve">Can data gaps </w:t>
      </w:r>
      <w:r>
        <w:rPr>
          <w:i/>
          <w:iCs/>
        </w:rPr>
        <w:t xml:space="preserve">be addressed by </w:t>
      </w:r>
      <w:r w:rsidR="00201FF8">
        <w:rPr>
          <w:i/>
          <w:iCs/>
        </w:rPr>
        <w:t xml:space="preserve">sampling </w:t>
      </w:r>
      <w:r w:rsidRPr="00900C51">
        <w:rPr>
          <w:i/>
          <w:iCs/>
        </w:rPr>
        <w:t>existing wells</w:t>
      </w:r>
      <w:r>
        <w:rPr>
          <w:i/>
          <w:iCs/>
        </w:rPr>
        <w:t xml:space="preserve"> not initially identified </w:t>
      </w:r>
      <w:r w:rsidR="00201FF8">
        <w:rPr>
          <w:i/>
          <w:iCs/>
        </w:rPr>
        <w:t>as part of</w:t>
      </w:r>
      <w:r>
        <w:rPr>
          <w:i/>
          <w:iCs/>
        </w:rPr>
        <w:t xml:space="preserve"> the </w:t>
      </w:r>
      <w:r w:rsidR="00201FF8">
        <w:rPr>
          <w:i/>
          <w:iCs/>
        </w:rPr>
        <w:t>GMZ</w:t>
      </w:r>
      <w:r>
        <w:rPr>
          <w:i/>
          <w:iCs/>
        </w:rPr>
        <w:t xml:space="preserve"> monitoring </w:t>
      </w:r>
      <w:r w:rsidR="00201FF8">
        <w:rPr>
          <w:i/>
          <w:iCs/>
        </w:rPr>
        <w:t>network</w:t>
      </w:r>
      <w:r w:rsidRPr="00900C51">
        <w:rPr>
          <w:i/>
          <w:iCs/>
        </w:rPr>
        <w:t xml:space="preserve">? </w:t>
      </w:r>
    </w:p>
    <w:p w14:paraId="573A62BC" w14:textId="597E1ED8" w:rsidR="00BE58FC" w:rsidRDefault="00BE58FC" w:rsidP="00BE58FC">
      <w:pPr>
        <w:ind w:left="720"/>
      </w:pPr>
      <w:r>
        <w:t>No –</w:t>
      </w:r>
      <w:r w:rsidR="00F124D8">
        <w:t xml:space="preserve"> Data gap exists</w:t>
      </w:r>
      <w:r w:rsidR="00725292">
        <w:t>. R</w:t>
      </w:r>
      <w:r>
        <w:t>esponsible Agencies</w:t>
      </w:r>
      <w:r w:rsidR="00F124D8">
        <w:t xml:space="preserve"> </w:t>
      </w:r>
      <w:r w:rsidRPr="00BE58FC">
        <w:rPr>
          <w:i/>
          <w:iCs/>
          <w:u w:val="single"/>
        </w:rPr>
        <w:t xml:space="preserve">Proceed to Step </w:t>
      </w:r>
      <w:r w:rsidR="00C622E0">
        <w:rPr>
          <w:i/>
          <w:iCs/>
          <w:u w:val="single"/>
        </w:rPr>
        <w:t>4</w:t>
      </w:r>
      <w:r w:rsidRPr="00BE58FC">
        <w:t>.</w:t>
      </w:r>
      <w:r>
        <w:t xml:space="preserve"> </w:t>
      </w:r>
    </w:p>
    <w:p w14:paraId="69FCB79E" w14:textId="667A93FA" w:rsidR="00A32B47" w:rsidRDefault="00A32B47" w:rsidP="00A32B47">
      <w:pPr>
        <w:ind w:left="720"/>
      </w:pPr>
      <w:r>
        <w:t xml:space="preserve">Yes – Responsible Agencies prepare TM documenting expanded monitoring with newly identified existing wells and submit to the </w:t>
      </w:r>
      <w:r w:rsidR="0001516D">
        <w:t>Santa Ana Water Board</w:t>
      </w:r>
      <w:r>
        <w:t xml:space="preserve"> and </w:t>
      </w:r>
      <w:r w:rsidR="00BD02EC">
        <w:t>Task Force</w:t>
      </w:r>
      <w:r>
        <w:t>.</w:t>
      </w:r>
      <w:r w:rsidRPr="00744986">
        <w:t xml:space="preserve"> </w:t>
      </w:r>
      <w:r w:rsidR="00BD02EC">
        <w:t xml:space="preserve">The </w:t>
      </w:r>
      <w:r>
        <w:t>TM must include: (1) updated map and table of</w:t>
      </w:r>
      <w:r w:rsidR="00291177">
        <w:t xml:space="preserve"> the</w:t>
      </w:r>
      <w:r>
        <w:t xml:space="preserve"> monitoring program, including identification of monitoring entities, </w:t>
      </w:r>
      <w:r>
        <w:lastRenderedPageBreak/>
        <w:t xml:space="preserve">(2) commitment to annual sampling of new wells that have not previously been monitored for the first three years of monitoring, and (3) identify if </w:t>
      </w:r>
      <w:r w:rsidR="00C038D7">
        <w:t xml:space="preserve">all potential </w:t>
      </w:r>
      <w:r>
        <w:t xml:space="preserve">data gaps are not fully addressed with existing wells. </w:t>
      </w:r>
    </w:p>
    <w:p w14:paraId="0AED6398" w14:textId="740162DC" w:rsidR="00F124D8" w:rsidRPr="0005234B" w:rsidRDefault="00F124D8" w:rsidP="00F124D8">
      <w:pPr>
        <w:spacing w:after="160" w:line="259" w:lineRule="auto"/>
        <w:jc w:val="left"/>
        <w:rPr>
          <w:b/>
          <w:bCs/>
          <w:i/>
          <w:iCs/>
        </w:rPr>
      </w:pPr>
      <w:r>
        <w:rPr>
          <w:b/>
          <w:bCs/>
        </w:rPr>
        <w:t xml:space="preserve">Step </w:t>
      </w:r>
      <w:r w:rsidR="00C622E0">
        <w:rPr>
          <w:b/>
          <w:bCs/>
        </w:rPr>
        <w:t>4</w:t>
      </w:r>
      <w:r>
        <w:rPr>
          <w:b/>
          <w:bCs/>
        </w:rPr>
        <w:t>. Fi</w:t>
      </w:r>
      <w:r w:rsidR="00725292">
        <w:rPr>
          <w:b/>
          <w:bCs/>
        </w:rPr>
        <w:t xml:space="preserve">ll </w:t>
      </w:r>
      <w:r w:rsidR="00515318">
        <w:rPr>
          <w:b/>
          <w:bCs/>
        </w:rPr>
        <w:t>d</w:t>
      </w:r>
      <w:r w:rsidR="00725292">
        <w:rPr>
          <w:b/>
          <w:bCs/>
        </w:rPr>
        <w:t xml:space="preserve">ata </w:t>
      </w:r>
      <w:r w:rsidR="00515318">
        <w:rPr>
          <w:b/>
          <w:bCs/>
        </w:rPr>
        <w:t>g</w:t>
      </w:r>
      <w:r w:rsidR="00725292">
        <w:rPr>
          <w:b/>
          <w:bCs/>
        </w:rPr>
        <w:t>ap</w:t>
      </w:r>
      <w:r w:rsidR="00515318">
        <w:rPr>
          <w:b/>
          <w:bCs/>
        </w:rPr>
        <w:t>s with construction of new monitoring wells</w:t>
      </w:r>
    </w:p>
    <w:p w14:paraId="731D23EC" w14:textId="5665EC1A" w:rsidR="00A32B47" w:rsidRPr="00B555EA" w:rsidRDefault="00515318" w:rsidP="00A32B47">
      <w:pPr>
        <w:rPr>
          <w:i/>
          <w:iCs/>
        </w:rPr>
      </w:pPr>
      <w:r>
        <w:rPr>
          <w:i/>
          <w:iCs/>
        </w:rPr>
        <w:t xml:space="preserve">Responsible Party to perform a well siting </w:t>
      </w:r>
      <w:r w:rsidR="00A92338">
        <w:rPr>
          <w:i/>
          <w:iCs/>
        </w:rPr>
        <w:t>study.</w:t>
      </w:r>
      <w:r w:rsidR="00A32B47">
        <w:rPr>
          <w:i/>
          <w:iCs/>
        </w:rPr>
        <w:t xml:space="preserve"> </w:t>
      </w:r>
      <w:r w:rsidR="00A32B47" w:rsidRPr="00FA566B">
        <w:rPr>
          <w:i/>
          <w:iCs/>
        </w:rPr>
        <w:t xml:space="preserve">Can </w:t>
      </w:r>
      <w:r w:rsidR="00A32B47">
        <w:rPr>
          <w:i/>
          <w:iCs/>
        </w:rPr>
        <w:t xml:space="preserve">remaining </w:t>
      </w:r>
      <w:r w:rsidR="00A32B47" w:rsidRPr="00FA566B">
        <w:rPr>
          <w:i/>
          <w:iCs/>
        </w:rPr>
        <w:t xml:space="preserve">data gaps be filled through construction of new wells? </w:t>
      </w:r>
    </w:p>
    <w:p w14:paraId="3FF80AE6" w14:textId="44E8CA17" w:rsidR="00A32B47" w:rsidRDefault="00A32B47" w:rsidP="00A32B47">
      <w:pPr>
        <w:ind w:left="720"/>
      </w:pPr>
      <w:r>
        <w:t xml:space="preserve">No – if a finding is made that new wells cannot be constructed, the Responsible Agencies must provide evidence to enable </w:t>
      </w:r>
      <w:r w:rsidR="0001516D">
        <w:t>Santa Ana Water Board</w:t>
      </w:r>
      <w:r>
        <w:t xml:space="preserve"> to determine if that data gap cannot be reasonably addressed. Findings must be documented and submitted to the </w:t>
      </w:r>
      <w:r w:rsidR="0001516D">
        <w:t>Santa Ana Water Board</w:t>
      </w:r>
      <w:r>
        <w:t xml:space="preserve"> and Task Force. Such a finding may trigger additional technical studies at the </w:t>
      </w:r>
      <w:r w:rsidR="0001516D">
        <w:t>Santa Ana Water Board</w:t>
      </w:r>
      <w:r>
        <w:t xml:space="preserve">’s discretion.  </w:t>
      </w:r>
    </w:p>
    <w:p w14:paraId="29C6DE44" w14:textId="276BFA48" w:rsidR="00A32B47" w:rsidRDefault="00A32B47" w:rsidP="00A32B47">
      <w:pPr>
        <w:ind w:left="720"/>
      </w:pPr>
      <w:r>
        <w:t xml:space="preserve">Yes </w:t>
      </w:r>
      <w:r w:rsidR="00CE42BD">
        <w:t xml:space="preserve">– </w:t>
      </w:r>
      <w:r w:rsidR="00783D3A">
        <w:t>Responsible Parties p</w:t>
      </w:r>
      <w:r>
        <w:t xml:space="preserve">repare </w:t>
      </w:r>
      <w:r w:rsidR="00783D3A">
        <w:t xml:space="preserve">a </w:t>
      </w:r>
      <w:r>
        <w:t xml:space="preserve">monitoring well construction plan/schedule. </w:t>
      </w:r>
      <w:r w:rsidR="00783D3A">
        <w:t>The plan m</w:t>
      </w:r>
      <w:r>
        <w:t xml:space="preserve">ust include: (1) well location(s) and technical specifications, (2) detailed schedule to construct well(s), (3) commitment to annual sampling of new </w:t>
      </w:r>
      <w:r w:rsidR="00264259">
        <w:t xml:space="preserve">well </w:t>
      </w:r>
      <w:r>
        <w:t xml:space="preserve">for the first three years of monitoring. Responsible Agencies proceed to implement construction plan and schedule following </w:t>
      </w:r>
      <w:r w:rsidR="0001516D">
        <w:t>Santa Ana Water Board</w:t>
      </w:r>
      <w:r>
        <w:t xml:space="preserve"> approval.</w:t>
      </w:r>
    </w:p>
    <w:p w14:paraId="5AC9D483" w14:textId="77FCE1D1" w:rsidR="008E7353" w:rsidRDefault="008E7353" w:rsidP="008E7353">
      <w:pPr>
        <w:pStyle w:val="Heading3"/>
      </w:pPr>
      <w:bookmarkStart w:id="37" w:name="_Toc117719797"/>
      <w:r>
        <w:t>Schedule to Investigate Potential Data Gaps</w:t>
      </w:r>
      <w:bookmarkEnd w:id="37"/>
    </w:p>
    <w:p w14:paraId="05C3E2A3" w14:textId="1BBDE258" w:rsidR="007817C1" w:rsidRDefault="008E7353">
      <w:pPr>
        <w:spacing w:after="0"/>
        <w:jc w:val="left"/>
      </w:pPr>
      <w:r>
        <w:t xml:space="preserve">Responsible Parties will have two years to </w:t>
      </w:r>
      <w:r w:rsidR="00910C32">
        <w:t>complete Steps 1 through 4</w:t>
      </w:r>
      <w:r w:rsidR="00905DF1">
        <w:t xml:space="preserve">. The two-year clock begins </w:t>
      </w:r>
      <w:r w:rsidR="004117C7">
        <w:t>upon approval of this 2022 GMP by the Santa Ana Water Board Executive Officer</w:t>
      </w:r>
      <w:r w:rsidR="005B4D85">
        <w:t xml:space="preserve">, but not later than January 1, 2023. </w:t>
      </w:r>
      <w:r w:rsidR="00696634">
        <w:t>Therefore, the</w:t>
      </w:r>
      <w:r w:rsidR="005B4D85">
        <w:t xml:space="preserve"> steps must be completed by December 31, 2025.</w:t>
      </w:r>
    </w:p>
    <w:p w14:paraId="5F000BDF" w14:textId="5305B36A" w:rsidR="008E24A6" w:rsidRDefault="008E24A6">
      <w:pPr>
        <w:spacing w:after="0"/>
        <w:jc w:val="left"/>
      </w:pPr>
      <w:r>
        <w:br w:type="page"/>
      </w:r>
    </w:p>
    <w:p w14:paraId="574CA34F" w14:textId="5CC19EEA" w:rsidR="00BA328A" w:rsidRDefault="00672F6B">
      <w:pPr>
        <w:pStyle w:val="Heading1"/>
      </w:pPr>
      <w:bookmarkStart w:id="38" w:name="_Toc117719798"/>
      <w:r>
        <w:lastRenderedPageBreak/>
        <w:t>2021 Ambient Water Quality Pilot Study</w:t>
      </w:r>
      <w:bookmarkEnd w:id="38"/>
      <w:r>
        <w:t xml:space="preserve"> </w:t>
      </w:r>
    </w:p>
    <w:p w14:paraId="207E9A49" w14:textId="77777777" w:rsidR="007F673B" w:rsidRDefault="007F673B" w:rsidP="00672F6B">
      <w:r>
        <w:t xml:space="preserve">This section describes the scope of work the Task Force will implement to perform the 2021 AWQ Pilot Study. The study is being prepared to comply with the 2021 Basin Plan amendment requirement that states: </w:t>
      </w:r>
    </w:p>
    <w:p w14:paraId="79BBDD0B" w14:textId="13FA6385" w:rsidR="00672F6B" w:rsidRDefault="007F673B" w:rsidP="007F673B">
      <w:pPr>
        <w:ind w:left="576"/>
        <w:rPr>
          <w:i/>
          <w:iCs/>
        </w:rPr>
      </w:pPr>
      <w:r>
        <w:rPr>
          <w:i/>
          <w:iCs/>
        </w:rPr>
        <w:t>…</w:t>
      </w:r>
      <w:r w:rsidRPr="00B271A1">
        <w:rPr>
          <w:i/>
          <w:iCs/>
        </w:rPr>
        <w:t>The</w:t>
      </w:r>
      <w:r>
        <w:rPr>
          <w:i/>
          <w:iCs/>
        </w:rPr>
        <w:t xml:space="preserve"> </w:t>
      </w:r>
      <w:r w:rsidRPr="00B271A1">
        <w:rPr>
          <w:i/>
          <w:iCs/>
        </w:rPr>
        <w:t>determination of current ambient groundwater quality</w:t>
      </w:r>
      <w:r>
        <w:rPr>
          <w:i/>
          <w:iCs/>
        </w:rPr>
        <w:t xml:space="preserve"> </w:t>
      </w:r>
      <w:r w:rsidRPr="00B271A1">
        <w:rPr>
          <w:i/>
          <w:iCs/>
        </w:rPr>
        <w:t xml:space="preserve">must be reported by October 1, </w:t>
      </w:r>
      <w:proofErr w:type="gramStart"/>
      <w:r w:rsidRPr="00B271A1">
        <w:rPr>
          <w:i/>
          <w:iCs/>
        </w:rPr>
        <w:t>2023</w:t>
      </w:r>
      <w:proofErr w:type="gramEnd"/>
      <w:r w:rsidRPr="00B271A1">
        <w:rPr>
          <w:i/>
          <w:iCs/>
        </w:rPr>
        <w:t xml:space="preserve"> and, at a minimum,</w:t>
      </w:r>
      <w:r>
        <w:rPr>
          <w:i/>
          <w:iCs/>
        </w:rPr>
        <w:t xml:space="preserve"> </w:t>
      </w:r>
      <w:r w:rsidRPr="00B271A1">
        <w:rPr>
          <w:i/>
          <w:iCs/>
        </w:rPr>
        <w:t xml:space="preserve">every </w:t>
      </w:r>
      <w:r>
        <w:rPr>
          <w:i/>
          <w:iCs/>
        </w:rPr>
        <w:t>five</w:t>
      </w:r>
      <w:r w:rsidRPr="00B271A1">
        <w:rPr>
          <w:i/>
          <w:iCs/>
        </w:rPr>
        <w:t xml:space="preserve"> years thereafter unless the </w:t>
      </w:r>
      <w:r>
        <w:rPr>
          <w:i/>
          <w:iCs/>
        </w:rPr>
        <w:t>Santa Ana Water</w:t>
      </w:r>
      <w:r w:rsidRPr="00B271A1">
        <w:rPr>
          <w:i/>
          <w:iCs/>
        </w:rPr>
        <w:t xml:space="preserve"> Board revises this schedule</w:t>
      </w:r>
      <w:r>
        <w:rPr>
          <w:i/>
          <w:iCs/>
        </w:rPr>
        <w:t>….</w:t>
      </w:r>
    </w:p>
    <w:p w14:paraId="07C8A622" w14:textId="3730A51F" w:rsidR="00486EAA" w:rsidRPr="00486EAA" w:rsidRDefault="00486EAA" w:rsidP="00486EAA">
      <w:r>
        <w:t>The scope of work is written at a level of detail that will enable the Task Force to procure a scope of work proposal from technical consultants to perform the work.</w:t>
      </w:r>
    </w:p>
    <w:p w14:paraId="46CD025A" w14:textId="7EB9042A" w:rsidR="00672F6B" w:rsidRDefault="00672F6B" w:rsidP="00672F6B">
      <w:pPr>
        <w:pStyle w:val="Heading2"/>
      </w:pPr>
      <w:bookmarkStart w:id="39" w:name="_Toc117719799"/>
      <w:r>
        <w:t>Objectives and Intended Outcomes</w:t>
      </w:r>
      <w:bookmarkEnd w:id="39"/>
    </w:p>
    <w:p w14:paraId="0BDDCECE" w14:textId="582F02BC" w:rsidR="007F673B" w:rsidRDefault="007F673B" w:rsidP="007F673B">
      <w:r>
        <w:t xml:space="preserve">In accordance with the 2021 Basin Plan amendment, the determination of </w:t>
      </w:r>
      <w:r w:rsidR="00CF0B52">
        <w:t>AWQ</w:t>
      </w:r>
      <w:r>
        <w:t xml:space="preserve"> may be accomplished as follows:</w:t>
      </w:r>
    </w:p>
    <w:p w14:paraId="644015E1" w14:textId="09943A39" w:rsidR="007F673B" w:rsidRDefault="007F673B" w:rsidP="007F673B">
      <w:pPr>
        <w:ind w:left="720"/>
      </w:pPr>
      <w:r>
        <w:rPr>
          <w:i/>
          <w:iCs/>
        </w:rPr>
        <w:t>T</w:t>
      </w:r>
      <w:r w:rsidRPr="00B271A1">
        <w:rPr>
          <w:i/>
          <w:iCs/>
        </w:rPr>
        <w:t>he</w:t>
      </w:r>
      <w:r>
        <w:rPr>
          <w:i/>
          <w:iCs/>
        </w:rPr>
        <w:t xml:space="preserve"> </w:t>
      </w:r>
      <w:r w:rsidRPr="00B271A1">
        <w:rPr>
          <w:i/>
          <w:iCs/>
        </w:rPr>
        <w:t xml:space="preserve">determination of current ambient quality </w:t>
      </w:r>
      <w:r>
        <w:rPr>
          <w:i/>
          <w:iCs/>
        </w:rPr>
        <w:t>can be</w:t>
      </w:r>
      <w:r w:rsidRPr="00B271A1">
        <w:rPr>
          <w:i/>
          <w:iCs/>
        </w:rPr>
        <w:t xml:space="preserve"> accomplished using methodology</w:t>
      </w:r>
      <w:r>
        <w:rPr>
          <w:i/>
          <w:iCs/>
        </w:rPr>
        <w:t xml:space="preserve"> </w:t>
      </w:r>
      <w:r w:rsidRPr="00B271A1">
        <w:rPr>
          <w:i/>
          <w:iCs/>
        </w:rPr>
        <w:t>consistent with that employed by the Nitrogen/TDS Task Force (20-year running</w:t>
      </w:r>
      <w:r>
        <w:rPr>
          <w:i/>
          <w:iCs/>
        </w:rPr>
        <w:t xml:space="preserve"> </w:t>
      </w:r>
      <w:r w:rsidRPr="00B271A1">
        <w:rPr>
          <w:i/>
          <w:iCs/>
        </w:rPr>
        <w:t>averages) to develop the TDS and nitrogen water quality objectives included in this</w:t>
      </w:r>
      <w:r>
        <w:rPr>
          <w:i/>
          <w:iCs/>
        </w:rPr>
        <w:t xml:space="preserve"> </w:t>
      </w:r>
      <w:r w:rsidRPr="00B271A1">
        <w:rPr>
          <w:i/>
          <w:iCs/>
        </w:rPr>
        <w:t>Basin Plan</w:t>
      </w:r>
      <w:r>
        <w:rPr>
          <w:i/>
          <w:iCs/>
        </w:rPr>
        <w:t>, or an alternative method approved by the Executive Officer of the Santa Ana Water Board.</w:t>
      </w:r>
    </w:p>
    <w:p w14:paraId="4E4EE169" w14:textId="4A998C1A" w:rsidR="007F673B" w:rsidRDefault="007F673B" w:rsidP="007F673B">
      <w:r>
        <w:t>The objective</w:t>
      </w:r>
      <w:r w:rsidR="006719C3">
        <w:t xml:space="preserve">s and intended outcomes of the </w:t>
      </w:r>
      <w:r>
        <w:t>2021 AWQ Pilot Study are to</w:t>
      </w:r>
      <w:r w:rsidR="00CB34E0">
        <w:t>:</w:t>
      </w:r>
    </w:p>
    <w:p w14:paraId="35CD1991" w14:textId="3D052FFA" w:rsidR="006851CC" w:rsidRDefault="006851CC" w:rsidP="00CB20AF">
      <w:pPr>
        <w:pStyle w:val="Bullet"/>
      </w:pPr>
      <w:r>
        <w:t xml:space="preserve">Update the Task Force’s database by collecting the TDS and nitrate data for all wells </w:t>
      </w:r>
      <w:r w:rsidR="006719C3">
        <w:t xml:space="preserve">defined </w:t>
      </w:r>
      <w:r>
        <w:t xml:space="preserve">in the 2022 GMP monitoring program for the years 2019, 2020, and 2021 </w:t>
      </w:r>
    </w:p>
    <w:p w14:paraId="496BB2E3" w14:textId="1FC52D4B" w:rsidR="006851CC" w:rsidRDefault="006851CC" w:rsidP="00CB20AF">
      <w:pPr>
        <w:pStyle w:val="Bullet"/>
      </w:pPr>
      <w:r>
        <w:t>Pilot alternative methods to compute AWQ and assimilative capacity</w:t>
      </w:r>
      <w:r w:rsidR="0048304D">
        <w:t xml:space="preserve"> in 11 GMZs</w:t>
      </w:r>
      <w:r>
        <w:t xml:space="preserve">, including: </w:t>
      </w:r>
    </w:p>
    <w:p w14:paraId="20F45742" w14:textId="137AB60A" w:rsidR="006851CC" w:rsidRDefault="006851CC" w:rsidP="00403B91">
      <w:pPr>
        <w:pStyle w:val="ListBullet2"/>
      </w:pPr>
      <w:r>
        <w:t xml:space="preserve">A simplified method </w:t>
      </w:r>
      <w:r w:rsidR="00FF0469">
        <w:t>based on an analysis of historical trends, current statistics, and spatial distribution of TDS and nitrate</w:t>
      </w:r>
      <w:r>
        <w:t xml:space="preserve"> in </w:t>
      </w:r>
      <w:r w:rsidR="006719C3">
        <w:t>four</w:t>
      </w:r>
      <w:r>
        <w:t xml:space="preserve"> GMZs</w:t>
      </w:r>
    </w:p>
    <w:p w14:paraId="58C43992" w14:textId="5B885AA0" w:rsidR="006851CC" w:rsidRDefault="006851CC" w:rsidP="00403B91">
      <w:pPr>
        <w:pStyle w:val="ListBullet30"/>
      </w:pPr>
      <w:r>
        <w:t xml:space="preserve">The </w:t>
      </w:r>
      <w:r w:rsidR="006719C3">
        <w:t>four</w:t>
      </w:r>
      <w:r>
        <w:t xml:space="preserve"> GMZs are: Bunker-Hill B, Perris-South, Riverside-A, and Temescal</w:t>
      </w:r>
    </w:p>
    <w:p w14:paraId="26D28562" w14:textId="6EA1EB14" w:rsidR="00CB34E0" w:rsidRDefault="006851CC" w:rsidP="00403B91">
      <w:pPr>
        <w:pStyle w:val="ListBullet2"/>
      </w:pPr>
      <w:r>
        <w:t xml:space="preserve">A modified version of the standard methodology employed by the Task Force in prior AWQ </w:t>
      </w:r>
      <w:proofErr w:type="spellStart"/>
      <w:r>
        <w:t>recomputations</w:t>
      </w:r>
      <w:proofErr w:type="spellEnd"/>
      <w:r>
        <w:t xml:space="preserve"> </w:t>
      </w:r>
      <w:r w:rsidR="007F673B">
        <w:t>for the seven GMZs with Maximum Benefit SNMPs</w:t>
      </w:r>
    </w:p>
    <w:p w14:paraId="0855138B" w14:textId="1DFDA5E8" w:rsidR="007F673B" w:rsidRDefault="007F673B" w:rsidP="00403B91">
      <w:pPr>
        <w:pStyle w:val="ListBullet30"/>
      </w:pPr>
      <w:r>
        <w:t xml:space="preserve">The seven GMZs are: Beaumont, Chino-North, Cucamonga, Elsinore, San Jacinto Upper Pressure, San </w:t>
      </w:r>
      <w:proofErr w:type="spellStart"/>
      <w:r>
        <w:t>Timoteo</w:t>
      </w:r>
      <w:proofErr w:type="spellEnd"/>
      <w:r>
        <w:t>, and Yucaipa</w:t>
      </w:r>
    </w:p>
    <w:p w14:paraId="72A535FF" w14:textId="6280D2C2" w:rsidR="006851CC" w:rsidRDefault="006851CC" w:rsidP="00CB20AF">
      <w:pPr>
        <w:pStyle w:val="Bullet"/>
      </w:pPr>
      <w:r>
        <w:t>Pilot the process to u</w:t>
      </w:r>
      <w:r w:rsidR="00CB34E0">
        <w:t xml:space="preserve">pdate the aquifer storage model in </w:t>
      </w:r>
      <w:r>
        <w:t>one</w:t>
      </w:r>
      <w:r w:rsidR="00CB34E0">
        <w:t xml:space="preserve"> GMZ</w:t>
      </w:r>
      <w:r>
        <w:t xml:space="preserve"> (Yucaipa GMZ)</w:t>
      </w:r>
    </w:p>
    <w:p w14:paraId="562B9D6B" w14:textId="05026CD5" w:rsidR="006851CC" w:rsidRDefault="00CB34E0" w:rsidP="00403B91">
      <w:pPr>
        <w:pStyle w:val="ListBullet2"/>
      </w:pPr>
      <w:r>
        <w:t xml:space="preserve">This includes computing the AWQ for 2021 </w:t>
      </w:r>
      <w:r w:rsidR="006851CC">
        <w:t>with the new and old storage models</w:t>
      </w:r>
      <w:r w:rsidR="00C505F4">
        <w:t xml:space="preserve">, and the AWQ for the objective setting period </w:t>
      </w:r>
      <w:r w:rsidR="00251046">
        <w:t xml:space="preserve">of 1954 to </w:t>
      </w:r>
      <w:proofErr w:type="gramStart"/>
      <w:r w:rsidR="00251046">
        <w:t xml:space="preserve">1973 </w:t>
      </w:r>
      <w:r w:rsidR="00C505F4">
        <w:t xml:space="preserve"> with</w:t>
      </w:r>
      <w:proofErr w:type="gramEnd"/>
      <w:r w:rsidR="00C505F4">
        <w:t xml:space="preserve"> the new storage model</w:t>
      </w:r>
    </w:p>
    <w:p w14:paraId="4BA86ABF" w14:textId="4915DA08" w:rsidR="00CB34E0" w:rsidRDefault="006851CC" w:rsidP="00403B91">
      <w:pPr>
        <w:pStyle w:val="ListBullet2"/>
      </w:pPr>
      <w:r>
        <w:t>The results will be used help the Santa Ana Water Board (1) understand the potential regulatory impacts that a revised model could produce and (2) define the actions that should follow any update to the GMZ aquifer storage models</w:t>
      </w:r>
    </w:p>
    <w:p w14:paraId="2E6911BF" w14:textId="5371867C" w:rsidR="00AC269B" w:rsidRDefault="00AC269B" w:rsidP="001160FA">
      <w:pPr>
        <w:pStyle w:val="Bullet"/>
      </w:pPr>
      <w:r>
        <w:t xml:space="preserve">Pilot the process to map land use, recycled water, recharge facilities, and other </w:t>
      </w:r>
      <w:r w:rsidR="00DA03CA">
        <w:t xml:space="preserve">relevant </w:t>
      </w:r>
      <w:r>
        <w:t xml:space="preserve">groundwater management activities to support the interpretation of data trends in one </w:t>
      </w:r>
      <w:r w:rsidR="00534AB5">
        <w:t xml:space="preserve">GMZ (select one of the 11 GMZs included in the </w:t>
      </w:r>
      <w:r w:rsidR="00520889">
        <w:t>P</w:t>
      </w:r>
      <w:r w:rsidR="00534AB5">
        <w:t>ilot</w:t>
      </w:r>
      <w:r w:rsidR="00520889">
        <w:t xml:space="preserve"> Study</w:t>
      </w:r>
      <w:r w:rsidR="00534AB5">
        <w:t>)</w:t>
      </w:r>
    </w:p>
    <w:p w14:paraId="462DE880" w14:textId="5F23C0CC" w:rsidR="006719C3" w:rsidRDefault="006719C3" w:rsidP="001160FA">
      <w:pPr>
        <w:pStyle w:val="Bullet"/>
      </w:pPr>
      <w:r>
        <w:t>Define the recommended technical methodology for future AWQ and assimilative capacity assessments</w:t>
      </w:r>
    </w:p>
    <w:p w14:paraId="79A83B15" w14:textId="0274C1DE" w:rsidR="006719C3" w:rsidRDefault="006719C3" w:rsidP="001160FA">
      <w:pPr>
        <w:pStyle w:val="Bullet"/>
      </w:pPr>
      <w:r>
        <w:lastRenderedPageBreak/>
        <w:t xml:space="preserve">Refine the schedule </w:t>
      </w:r>
      <w:r w:rsidR="00C50466">
        <w:t xml:space="preserve">and scope </w:t>
      </w:r>
      <w:r>
        <w:t>of work that needs to be performed by the Task force from fiscal year 2023/24 through fiscal year 2028/29 to comply with the Basin Plan SNMP, which could include a recommended schedule to:</w:t>
      </w:r>
    </w:p>
    <w:p w14:paraId="22DB8476" w14:textId="2F697867" w:rsidR="006719C3" w:rsidRDefault="006719C3" w:rsidP="001160FA">
      <w:pPr>
        <w:pStyle w:val="ListBullet2"/>
      </w:pPr>
      <w:r>
        <w:t>Perform annual data collection and management</w:t>
      </w:r>
    </w:p>
    <w:p w14:paraId="72B362BB" w14:textId="1ADF8937" w:rsidR="006719C3" w:rsidRDefault="006719C3" w:rsidP="001160FA">
      <w:pPr>
        <w:pStyle w:val="ListBullet2"/>
      </w:pPr>
      <w:r>
        <w:t xml:space="preserve">Compute AWQ and assimilative </w:t>
      </w:r>
      <w:proofErr w:type="gramStart"/>
      <w:r>
        <w:t>capacity  based</w:t>
      </w:r>
      <w:proofErr w:type="gramEnd"/>
      <w:r>
        <w:t xml:space="preserve"> on findings of the Pilot Study</w:t>
      </w:r>
    </w:p>
    <w:p w14:paraId="4A9217B5" w14:textId="1B86DF11" w:rsidR="006719C3" w:rsidRDefault="006719C3" w:rsidP="001160FA">
      <w:pPr>
        <w:pStyle w:val="ListBullet2"/>
      </w:pPr>
      <w:r>
        <w:t>Update the remaining GMZ aquifer storage models (if needed)</w:t>
      </w:r>
    </w:p>
    <w:p w14:paraId="1E1DE037" w14:textId="0E449BFC" w:rsidR="00C50466" w:rsidRDefault="006719C3" w:rsidP="001160FA">
      <w:pPr>
        <w:pStyle w:val="ListBullet2"/>
      </w:pPr>
      <w:r>
        <w:t xml:space="preserve">Complete the </w:t>
      </w:r>
      <w:r w:rsidR="00C50466">
        <w:t xml:space="preserve">five-year update of the </w:t>
      </w:r>
      <w:r>
        <w:t xml:space="preserve">AWQ and assimilative capacity assessment due to the </w:t>
      </w:r>
      <w:r w:rsidR="0001516D">
        <w:t>Santa Ana Water Board</w:t>
      </w:r>
      <w:r>
        <w:t xml:space="preserve"> on October 1, 2028</w:t>
      </w:r>
    </w:p>
    <w:p w14:paraId="18AE9CFF" w14:textId="77AA793F" w:rsidR="00C50466" w:rsidRDefault="00C50466" w:rsidP="001160FA">
      <w:pPr>
        <w:pStyle w:val="ListBullet2"/>
      </w:pPr>
      <w:r>
        <w:t xml:space="preserve">Perform other work to support the </w:t>
      </w:r>
      <w:r w:rsidR="0001516D">
        <w:t>Santa Ana Water Board</w:t>
      </w:r>
      <w:r>
        <w:t>’s five-year assessment of the Basin Plan SNMP that is due April 2029, which will include, at a minimum, reassessing new data gaps in the monitoring network</w:t>
      </w:r>
    </w:p>
    <w:p w14:paraId="64406559" w14:textId="5EC0CB60" w:rsidR="00196461" w:rsidRDefault="007F673B" w:rsidP="001160FA">
      <w:pPr>
        <w:pStyle w:val="Bullet"/>
        <w:spacing w:after="240"/>
      </w:pPr>
      <w:r>
        <w:t xml:space="preserve">Submit the 2021 AWQ Pilot Study Report to the </w:t>
      </w:r>
      <w:r w:rsidR="0001516D">
        <w:t>Santa Ana Water Board</w:t>
      </w:r>
      <w:r>
        <w:t xml:space="preserve"> on October 1, 2023.</w:t>
      </w:r>
    </w:p>
    <w:p w14:paraId="4167F338" w14:textId="63DD9F7F" w:rsidR="00196461" w:rsidRDefault="00196461" w:rsidP="00196461">
      <w:pPr>
        <w:jc w:val="left"/>
      </w:pPr>
      <w:r>
        <w:t xml:space="preserve">The final </w:t>
      </w:r>
      <w:r w:rsidR="002E715E">
        <w:t xml:space="preserve">2021 AWQ </w:t>
      </w:r>
      <w:r w:rsidR="0088350B">
        <w:t>Pilot Study</w:t>
      </w:r>
      <w:r>
        <w:t xml:space="preserve"> </w:t>
      </w:r>
      <w:r w:rsidR="002E715E">
        <w:t>Report</w:t>
      </w:r>
      <w:r>
        <w:t xml:space="preserve"> will include the following sections:</w:t>
      </w:r>
    </w:p>
    <w:p w14:paraId="621BC415" w14:textId="77777777" w:rsidR="00196461" w:rsidRDefault="00196461" w:rsidP="00196461">
      <w:pPr>
        <w:ind w:left="720"/>
      </w:pPr>
      <w:r w:rsidRPr="00AB7D30">
        <w:rPr>
          <w:b/>
          <w:bCs/>
        </w:rPr>
        <w:t>Section 1 – Introduction.</w:t>
      </w:r>
      <w:r>
        <w:t xml:space="preserve"> This introductory section will describe the purpose of the Pilot Study, the regulatory setting that establishes the requirement for computing AWQ, the project approach, and an overview of the organization of the report.</w:t>
      </w:r>
    </w:p>
    <w:p w14:paraId="5E3E473F" w14:textId="28346B3A" w:rsidR="00196461" w:rsidRDefault="00196461" w:rsidP="00196461">
      <w:pPr>
        <w:ind w:left="720"/>
      </w:pPr>
      <w:r w:rsidRPr="005802F0">
        <w:rPr>
          <w:b/>
          <w:bCs/>
        </w:rPr>
        <w:t>Section 2 – Data Collection and Review.</w:t>
      </w:r>
      <w:r>
        <w:t xml:space="preserve"> This section will describe the data collection and data QA/QC protocols that were performed to support the project.  </w:t>
      </w:r>
    </w:p>
    <w:p w14:paraId="16403220" w14:textId="77777777" w:rsidR="00196461" w:rsidRDefault="00196461" w:rsidP="00196461">
      <w:pPr>
        <w:ind w:left="720"/>
      </w:pPr>
      <w:r w:rsidRPr="005802F0">
        <w:rPr>
          <w:b/>
          <w:bCs/>
        </w:rPr>
        <w:t>Section 3 – Ambient Water Quality: TDS/N</w:t>
      </w:r>
      <w:r>
        <w:rPr>
          <w:b/>
          <w:bCs/>
        </w:rPr>
        <w:t xml:space="preserve"> </w:t>
      </w:r>
      <w:r w:rsidRPr="005802F0">
        <w:rPr>
          <w:b/>
          <w:bCs/>
        </w:rPr>
        <w:t>Concentrations, Trends, and Statistics</w:t>
      </w:r>
      <w:r>
        <w:t xml:space="preserve">. This section will describe the first of two methods piloted to compute AWQ in selected GMZs. It will document the technical methodology and present the results and key findings. </w:t>
      </w:r>
    </w:p>
    <w:p w14:paraId="37CFC13A" w14:textId="72F39988" w:rsidR="00196461" w:rsidRDefault="00196461" w:rsidP="00196461">
      <w:pPr>
        <w:ind w:left="720"/>
      </w:pPr>
      <w:bookmarkStart w:id="40" w:name="_Hlk117687348"/>
      <w:r w:rsidRPr="005802F0">
        <w:rPr>
          <w:b/>
          <w:bCs/>
        </w:rPr>
        <w:t xml:space="preserve">Section 4 – Ambient Water Quality: </w:t>
      </w:r>
      <w:r>
        <w:rPr>
          <w:b/>
          <w:bCs/>
        </w:rPr>
        <w:t>Volume-weighted TDS/N Concentrations</w:t>
      </w:r>
      <w:bookmarkEnd w:id="40"/>
      <w:r>
        <w:t>. This section will describe the second of two methods piloted to compute AWQ in selected GMZs. It will document the technical methodology and present the results and key findings.</w:t>
      </w:r>
    </w:p>
    <w:p w14:paraId="3834B27A" w14:textId="77777777" w:rsidR="00196461" w:rsidRDefault="00196461" w:rsidP="00196461">
      <w:pPr>
        <w:ind w:left="720"/>
      </w:pPr>
      <w:r w:rsidRPr="005802F0">
        <w:rPr>
          <w:b/>
          <w:bCs/>
        </w:rPr>
        <w:t xml:space="preserve">Section </w:t>
      </w:r>
      <w:r>
        <w:rPr>
          <w:b/>
          <w:bCs/>
        </w:rPr>
        <w:t>5</w:t>
      </w:r>
      <w:r w:rsidRPr="005802F0">
        <w:rPr>
          <w:b/>
          <w:bCs/>
        </w:rPr>
        <w:t xml:space="preserve"> – </w:t>
      </w:r>
      <w:r>
        <w:rPr>
          <w:b/>
          <w:bCs/>
        </w:rPr>
        <w:t>Recommended Technical Methodology to Compute Ambient Water and Assimilative Capacity.</w:t>
      </w:r>
      <w:r>
        <w:t xml:space="preserve"> This section will describe the recommended technical methodology to be used in future AWQ and assimilative capacity assessments. The methodology will be documented in sufficient detail to enable easy development of scope of work specifications to support engagement of technical consultants to perform the work.</w:t>
      </w:r>
    </w:p>
    <w:p w14:paraId="58AFB515" w14:textId="039B1E36" w:rsidR="00196461" w:rsidRDefault="00196461" w:rsidP="00196461">
      <w:pPr>
        <w:ind w:left="720"/>
      </w:pPr>
      <w:r w:rsidRPr="005802F0">
        <w:rPr>
          <w:b/>
          <w:bCs/>
        </w:rPr>
        <w:t xml:space="preserve">Section 6 – </w:t>
      </w:r>
      <w:r>
        <w:rPr>
          <w:b/>
          <w:bCs/>
        </w:rPr>
        <w:t xml:space="preserve">Task Force SNMP </w:t>
      </w:r>
      <w:r w:rsidRPr="005802F0">
        <w:rPr>
          <w:b/>
          <w:bCs/>
        </w:rPr>
        <w:t xml:space="preserve">Implementation </w:t>
      </w:r>
      <w:r>
        <w:rPr>
          <w:b/>
          <w:bCs/>
        </w:rPr>
        <w:t>Plan</w:t>
      </w:r>
      <w:r w:rsidRPr="005802F0">
        <w:rPr>
          <w:b/>
          <w:bCs/>
        </w:rPr>
        <w:t>.</w:t>
      </w:r>
      <w:r>
        <w:t xml:space="preserve"> This section will describe the schedule of work that will need to be performed by the Task </w:t>
      </w:r>
      <w:r w:rsidR="00522798">
        <w:t xml:space="preserve">Force </w:t>
      </w:r>
      <w:r>
        <w:t xml:space="preserve">from fiscal year 2023/24 through fiscal year 2028/29 to comply with the Basin Plan SNMP, through the completion of the next five-year update of </w:t>
      </w:r>
      <w:r w:rsidR="00CF0B52">
        <w:t>AWQ</w:t>
      </w:r>
      <w:r>
        <w:t xml:space="preserve">. </w:t>
      </w:r>
    </w:p>
    <w:p w14:paraId="67AD80E1" w14:textId="565A60CC" w:rsidR="00672F6B" w:rsidRDefault="00672F6B" w:rsidP="00672F6B">
      <w:pPr>
        <w:pStyle w:val="Heading2"/>
      </w:pPr>
      <w:bookmarkStart w:id="41" w:name="_Toc117719800"/>
      <w:r>
        <w:t>Scope of Work</w:t>
      </w:r>
      <w:bookmarkEnd w:id="41"/>
    </w:p>
    <w:p w14:paraId="3AE11348" w14:textId="1491BA38" w:rsidR="00672F6B" w:rsidRDefault="00C50466" w:rsidP="00BA328A">
      <w:r>
        <w:t>The scope of work to complete the 2021 AWQ Pilot Study includes five tasks:</w:t>
      </w:r>
    </w:p>
    <w:p w14:paraId="35A1B86E" w14:textId="1812BEE4" w:rsidR="00C50466" w:rsidRDefault="00C50466" w:rsidP="0045052C">
      <w:pPr>
        <w:spacing w:after="80"/>
        <w:ind w:left="720"/>
      </w:pPr>
      <w:r>
        <w:t>Task 1 – Data Collection and Review</w:t>
      </w:r>
    </w:p>
    <w:p w14:paraId="7441C1D8" w14:textId="35AB0B0F" w:rsidR="00C50466" w:rsidRDefault="00C50466" w:rsidP="0045052C">
      <w:pPr>
        <w:spacing w:after="80"/>
        <w:ind w:left="720"/>
      </w:pPr>
      <w:r>
        <w:t xml:space="preserve">Task 2 – </w:t>
      </w:r>
      <w:r w:rsidR="00FF0469" w:rsidRPr="00FF0469">
        <w:t>Pilot Assessment of Ambient Water Quality in Select GMZs</w:t>
      </w:r>
    </w:p>
    <w:p w14:paraId="3B55ABFA" w14:textId="5C1B9C8B" w:rsidR="00C50466" w:rsidRDefault="00C50466" w:rsidP="0045052C">
      <w:pPr>
        <w:spacing w:after="80"/>
        <w:ind w:left="720"/>
      </w:pPr>
      <w:r>
        <w:lastRenderedPageBreak/>
        <w:t xml:space="preserve">Task 3 – </w:t>
      </w:r>
      <w:r w:rsidR="0045052C" w:rsidRPr="0045052C">
        <w:t>Develop Technical Approach and SNMP Implementation Plan</w:t>
      </w:r>
    </w:p>
    <w:p w14:paraId="1037D8C4" w14:textId="3D3310EF" w:rsidR="00C50466" w:rsidRDefault="00C50466" w:rsidP="0045052C">
      <w:pPr>
        <w:spacing w:after="80"/>
        <w:ind w:left="720"/>
      </w:pPr>
      <w:r>
        <w:t xml:space="preserve">Task 4 – </w:t>
      </w:r>
      <w:r w:rsidR="00196461">
        <w:t>Prepare Final Report</w:t>
      </w:r>
    </w:p>
    <w:p w14:paraId="034EFF0E" w14:textId="06EEED9F" w:rsidR="00C50466" w:rsidRDefault="00C50466" w:rsidP="0045052C">
      <w:pPr>
        <w:ind w:left="720"/>
      </w:pPr>
      <w:r>
        <w:t xml:space="preserve">Task 5 – </w:t>
      </w:r>
      <w:r w:rsidR="00196461">
        <w:t>Task Force Workshops and Project Management</w:t>
      </w:r>
    </w:p>
    <w:p w14:paraId="6F105601" w14:textId="3A4FB284" w:rsidR="00C50466" w:rsidRDefault="00C50466" w:rsidP="00C50466">
      <w:r>
        <w:t>The scope of work and deliverables of each task are described in the following subsections. The schedule and budget-level cost estimate to complete the work are described in Sections 5.3 and 5.4, respectively.</w:t>
      </w:r>
    </w:p>
    <w:p w14:paraId="3414E797" w14:textId="263F0690" w:rsidR="00BA328A" w:rsidRDefault="008E550B" w:rsidP="00BA328A">
      <w:pPr>
        <w:pStyle w:val="Heading3"/>
      </w:pPr>
      <w:bookmarkStart w:id="42" w:name="_Toc117719801"/>
      <w:r>
        <w:t>Task 1 – Data Collection and Review</w:t>
      </w:r>
      <w:bookmarkEnd w:id="42"/>
    </w:p>
    <w:p w14:paraId="688E4F90" w14:textId="5DAA70FE" w:rsidR="001F6C1B" w:rsidRDefault="00C50466" w:rsidP="00BA328A">
      <w:r>
        <w:t>The objective of this task is to c</w:t>
      </w:r>
      <w:r w:rsidR="001F6C1B">
        <w:t xml:space="preserve">ollect </w:t>
      </w:r>
      <w:r>
        <w:t>updated TDS and nitrate data</w:t>
      </w:r>
      <w:r>
        <w:rPr>
          <w:rStyle w:val="FootnoteReference"/>
        </w:rPr>
        <w:footnoteReference w:id="10"/>
      </w:r>
      <w:r>
        <w:t xml:space="preserve"> for the wells in the </w:t>
      </w:r>
      <w:r w:rsidR="001F6C1B">
        <w:t>groundwater monitoring networks of all 35 GMZs, as defined in Appendix A of this 2022 GMP</w:t>
      </w:r>
      <w:r>
        <w:t xml:space="preserve"> (See Section 3 of this report for details on the monitoring networks)</w:t>
      </w:r>
      <w:r w:rsidR="001F6C1B">
        <w:t>.</w:t>
      </w:r>
      <w:r>
        <w:t xml:space="preserve"> The data should be collected for the period from January 1, </w:t>
      </w:r>
      <w:proofErr w:type="gramStart"/>
      <w:r>
        <w:t>2019</w:t>
      </w:r>
      <w:proofErr w:type="gramEnd"/>
      <w:r>
        <w:t xml:space="preserve"> through December 31, 2021. The subtasks include:</w:t>
      </w:r>
    </w:p>
    <w:p w14:paraId="6EBDB263" w14:textId="758DB741" w:rsidR="00C50466" w:rsidRDefault="00C50466" w:rsidP="009C180D">
      <w:pPr>
        <w:pStyle w:val="Bullet"/>
      </w:pPr>
      <w:r>
        <w:t xml:space="preserve">Prepare data request letters and send to all responsible parties defined in </w:t>
      </w:r>
      <w:r w:rsidR="00F3691D">
        <w:t>the Groundwater Monitoring Networks defined in Appendix C</w:t>
      </w:r>
    </w:p>
    <w:p w14:paraId="488BDBFF" w14:textId="6AD27823" w:rsidR="006D0273" w:rsidRDefault="006D0273" w:rsidP="009C180D">
      <w:pPr>
        <w:pStyle w:val="Bullet"/>
      </w:pPr>
      <w:r>
        <w:t>Collect and process TDS and nitrate data into standardized formats</w:t>
      </w:r>
    </w:p>
    <w:p w14:paraId="2757D4BF" w14:textId="22E3972A" w:rsidR="006D0273" w:rsidRDefault="006D0273" w:rsidP="009C180D">
      <w:pPr>
        <w:pStyle w:val="Bullet"/>
      </w:pPr>
      <w:r>
        <w:t>Append data to 2018 AWQ database</w:t>
      </w:r>
    </w:p>
    <w:p w14:paraId="08694358" w14:textId="102AF0BE" w:rsidR="006D0273" w:rsidRDefault="006D0273" w:rsidP="009C180D">
      <w:pPr>
        <w:pStyle w:val="Bullet"/>
      </w:pPr>
      <w:r>
        <w:t>Perform QA/QC of data by review of TDS and nitrate time history charts</w:t>
      </w:r>
    </w:p>
    <w:p w14:paraId="576BC316" w14:textId="7035E899" w:rsidR="00C505F4" w:rsidRDefault="006D0273" w:rsidP="009C180D">
      <w:pPr>
        <w:pStyle w:val="Bullet"/>
      </w:pPr>
      <w:r>
        <w:t>Collect shapefiles of groundwater level elevations for GMZs with Maximum Benefit SNMPs</w:t>
      </w:r>
    </w:p>
    <w:p w14:paraId="7ACF08B3" w14:textId="59F998E7" w:rsidR="006D0273" w:rsidRDefault="006D0273" w:rsidP="009C180D">
      <w:pPr>
        <w:pStyle w:val="Bullet"/>
        <w:spacing w:after="240"/>
      </w:pPr>
      <w:r>
        <w:t>Prepare draft Section 2 of the 2021 AWQ Pilot Study report, including recommended scope of work to improve data management and implement annual data collection</w:t>
      </w:r>
    </w:p>
    <w:p w14:paraId="4840E5EB" w14:textId="44A49FEC" w:rsidR="001F6C1B" w:rsidRDefault="006D0273" w:rsidP="00BA328A">
      <w:r>
        <w:t xml:space="preserve">The deliverables of this Task include: </w:t>
      </w:r>
    </w:p>
    <w:p w14:paraId="67D27C6F" w14:textId="66D23CD1" w:rsidR="001F6C1B" w:rsidRDefault="001F6C1B" w:rsidP="009C180D">
      <w:pPr>
        <w:pStyle w:val="Bullet"/>
      </w:pPr>
      <w:r>
        <w:t>Database</w:t>
      </w:r>
      <w:r w:rsidR="006D0273">
        <w:t xml:space="preserve"> file of TDS and nitrate results for 2002 through 2021</w:t>
      </w:r>
    </w:p>
    <w:p w14:paraId="46F5011E" w14:textId="5FEFCDA8" w:rsidR="001F6C1B" w:rsidRDefault="006D0273" w:rsidP="009C180D">
      <w:pPr>
        <w:pStyle w:val="Bullet"/>
      </w:pPr>
      <w:r>
        <w:t>TDS and nitrate t</w:t>
      </w:r>
      <w:r w:rsidR="001F6C1B">
        <w:t>ime history charts of TDS and nitrate, by well</w:t>
      </w:r>
    </w:p>
    <w:p w14:paraId="49B3C0C5" w14:textId="5DA7D031" w:rsidR="00C505F4" w:rsidRDefault="00C505F4" w:rsidP="009C180D">
      <w:pPr>
        <w:pStyle w:val="Bullet"/>
      </w:pPr>
      <w:r>
        <w:t>Two PowerPoint presentations of the data collection process/status to review at a Task Force workshop</w:t>
      </w:r>
    </w:p>
    <w:p w14:paraId="3FE355A2" w14:textId="32299AAB" w:rsidR="006D0273" w:rsidRDefault="006D0273" w:rsidP="009C180D">
      <w:pPr>
        <w:pStyle w:val="Bullet"/>
        <w:spacing w:after="240"/>
      </w:pPr>
      <w:r>
        <w:t>Draft Section 2 of 2021 AWQ Pilot Study report</w:t>
      </w:r>
    </w:p>
    <w:p w14:paraId="1DF8A9B4" w14:textId="526DE768" w:rsidR="00672F6B" w:rsidRDefault="008E550B" w:rsidP="00672F6B">
      <w:pPr>
        <w:pStyle w:val="Heading3"/>
      </w:pPr>
      <w:bookmarkStart w:id="43" w:name="_Toc117719802"/>
      <w:r>
        <w:t>Task 2 – Pilot Assessment of Ambient Water Quality in Select GMZs</w:t>
      </w:r>
      <w:bookmarkEnd w:id="43"/>
    </w:p>
    <w:p w14:paraId="01450096" w14:textId="53E9EE22" w:rsidR="00AC269B" w:rsidRDefault="006D0273" w:rsidP="00AC269B">
      <w:r>
        <w:t>The objective of this task is to</w:t>
      </w:r>
      <w:r w:rsidR="00AC269B">
        <w:t xml:space="preserve"> </w:t>
      </w:r>
      <w:r>
        <w:t>produce AWQ and assimilative capacity findings for 11 GMZs using alternative methods</w:t>
      </w:r>
      <w:r w:rsidR="00AC269B">
        <w:t xml:space="preserve"> (standard and simplified). The subtasks include:</w:t>
      </w:r>
    </w:p>
    <w:p w14:paraId="55E7DC3C" w14:textId="600016C9" w:rsidR="00AC269B" w:rsidRDefault="00AC269B" w:rsidP="009C180D">
      <w:pPr>
        <w:pStyle w:val="Bullet"/>
      </w:pPr>
      <w:r>
        <w:t>Prepare TDS</w:t>
      </w:r>
      <w:r w:rsidR="00F3691D">
        <w:t xml:space="preserve"> and nitrate</w:t>
      </w:r>
      <w:r>
        <w:t xml:space="preserve"> summary statistics for wells in all 11 GMZs</w:t>
      </w:r>
    </w:p>
    <w:p w14:paraId="740D6A39" w14:textId="25415DAA" w:rsidR="00AC269B" w:rsidRDefault="00AC269B" w:rsidP="009C180D">
      <w:pPr>
        <w:pStyle w:val="Bullet"/>
      </w:pPr>
      <w:r>
        <w:t>Perform Mann Kendall trend analysis for wells in all 11 GMZs</w:t>
      </w:r>
    </w:p>
    <w:p w14:paraId="1E2A4F0E" w14:textId="3AB90977" w:rsidR="00AC269B" w:rsidRDefault="00AC269B" w:rsidP="009C180D">
      <w:pPr>
        <w:pStyle w:val="Bullet"/>
      </w:pPr>
      <w:r>
        <w:t xml:space="preserve">Compute 20-year AWQ statistic for wells in </w:t>
      </w:r>
      <w:r w:rsidR="00C505F4">
        <w:t>all 11 GMZs</w:t>
      </w:r>
    </w:p>
    <w:p w14:paraId="4B518616" w14:textId="111C382B" w:rsidR="00C505F4" w:rsidRDefault="00C505F4" w:rsidP="009C180D">
      <w:pPr>
        <w:pStyle w:val="Bullet"/>
      </w:pPr>
      <w:r>
        <w:t xml:space="preserve">Perform simplified AWQ approach in four GMZs, including preparing an integrated explanatory graphic to illustrate the current AWQ and assimilative capacity finding. </w:t>
      </w:r>
    </w:p>
    <w:p w14:paraId="64AEBBD1" w14:textId="7DD41F8E" w:rsidR="00C505F4" w:rsidRDefault="00C505F4" w:rsidP="009C180D">
      <w:pPr>
        <w:pStyle w:val="Bullet"/>
      </w:pPr>
      <w:r>
        <w:lastRenderedPageBreak/>
        <w:t>Update storage model for the Yucaipa GMZ, this includes:</w:t>
      </w:r>
    </w:p>
    <w:p w14:paraId="5EF85A04" w14:textId="3A2BDD7F" w:rsidR="00C505F4" w:rsidRDefault="00C505F4" w:rsidP="009C180D">
      <w:pPr>
        <w:pStyle w:val="ListBullet2"/>
      </w:pPr>
      <w:r>
        <w:t>Compute AWQ for the 2021 period using the new and old storage models</w:t>
      </w:r>
    </w:p>
    <w:p w14:paraId="052C5822" w14:textId="3CA3BD8C" w:rsidR="00C505F4" w:rsidRDefault="00C505F4" w:rsidP="009C180D">
      <w:pPr>
        <w:pStyle w:val="ListBullet2"/>
      </w:pPr>
      <w:r>
        <w:t xml:space="preserve">Recompute </w:t>
      </w:r>
      <w:r w:rsidR="00FF0469">
        <w:t>AWQ for the objective setting period</w:t>
      </w:r>
      <w:r w:rsidR="00C67FA5">
        <w:t xml:space="preserve"> of 1954-1973</w:t>
      </w:r>
    </w:p>
    <w:p w14:paraId="172A3AFE" w14:textId="5D18BA09" w:rsidR="00C505F4" w:rsidRDefault="00C505F4" w:rsidP="009C180D">
      <w:pPr>
        <w:pStyle w:val="Bullet"/>
      </w:pPr>
      <w:r>
        <w:t>Perform modified standard approach for seven GMZs, including pilot of:</w:t>
      </w:r>
    </w:p>
    <w:p w14:paraId="40834B46" w14:textId="0509C31A" w:rsidR="00C505F4" w:rsidRDefault="00C505F4" w:rsidP="009C180D">
      <w:pPr>
        <w:pStyle w:val="ListBullet2"/>
      </w:pPr>
      <w:r>
        <w:t>Use of readily available water level contours to compute storage</w:t>
      </w:r>
    </w:p>
    <w:p w14:paraId="18A5CA48" w14:textId="36218E24" w:rsidR="00C505F4" w:rsidRDefault="00C505F4" w:rsidP="009C180D">
      <w:pPr>
        <w:pStyle w:val="ListBullet2"/>
      </w:pPr>
      <w:r>
        <w:t>GIS-supported procedure to contour TDS and N concentrations</w:t>
      </w:r>
      <w:r w:rsidR="00FF0469">
        <w:t xml:space="preserve"> in at least one GMZ</w:t>
      </w:r>
    </w:p>
    <w:p w14:paraId="25A54AAB" w14:textId="7CDAAEDE" w:rsidR="00C505F4" w:rsidRDefault="00C505F4" w:rsidP="009C180D">
      <w:pPr>
        <w:pStyle w:val="ListBullet2"/>
      </w:pPr>
      <w:r>
        <w:t xml:space="preserve">Limit contouring and map displays to </w:t>
      </w:r>
      <w:r w:rsidR="00771CD7">
        <w:t>of the extent of the</w:t>
      </w:r>
      <w:r w:rsidR="00FF0469">
        <w:t xml:space="preserve"> </w:t>
      </w:r>
      <w:r>
        <w:t xml:space="preserve">saturated portion of </w:t>
      </w:r>
      <w:r w:rsidR="00FF0469">
        <w:t>aquifer within the GMZ boundary</w:t>
      </w:r>
    </w:p>
    <w:p w14:paraId="3B36C896" w14:textId="3E3C9269" w:rsidR="00FF0469" w:rsidRDefault="00FF0469" w:rsidP="009C180D">
      <w:pPr>
        <w:pStyle w:val="Bullet"/>
        <w:spacing w:after="240"/>
      </w:pPr>
      <w:r>
        <w:t>Pilot the mapping of land use, recycled water, recharge facilities, and other relevant groundwater management activities to support the interpretation of data trends in one GMZ.</w:t>
      </w:r>
    </w:p>
    <w:p w14:paraId="508213C4" w14:textId="1EEA5B0F" w:rsidR="006D0273" w:rsidRDefault="00C505F4" w:rsidP="006D0273">
      <w:r>
        <w:t>For each pilot approach, the work will be performed in one GMZ and will be reviewed with the Task Force prior to proceeding to complete the analysis for the remaining GMZs.</w:t>
      </w:r>
    </w:p>
    <w:p w14:paraId="027ABA2F" w14:textId="77777777" w:rsidR="00534AB5" w:rsidRDefault="00534AB5" w:rsidP="00534AB5">
      <w:r>
        <w:t xml:space="preserve">The deliverables of this Task include: </w:t>
      </w:r>
    </w:p>
    <w:p w14:paraId="39454FF4" w14:textId="30FD5E6E" w:rsidR="00534AB5" w:rsidRDefault="00534AB5" w:rsidP="009C180D">
      <w:pPr>
        <w:pStyle w:val="Bullet"/>
      </w:pPr>
      <w:r>
        <w:t>Tables summarizing statistics (summary statistics, Mann Kendall, and AWQ statistic)</w:t>
      </w:r>
    </w:p>
    <w:p w14:paraId="031C6001" w14:textId="4576E2F5" w:rsidR="00534AB5" w:rsidRDefault="00534AB5" w:rsidP="009C180D">
      <w:pPr>
        <w:pStyle w:val="Bullet"/>
      </w:pPr>
      <w:r>
        <w:t xml:space="preserve">Exhibits and maps displaying </w:t>
      </w:r>
      <w:r w:rsidR="00D17CBD">
        <w:t xml:space="preserve">the </w:t>
      </w:r>
      <w:r w:rsidR="00CF0B52">
        <w:t>AWQ</w:t>
      </w:r>
      <w:r w:rsidR="00D17CBD">
        <w:t xml:space="preserve"> and assimilative capacity </w:t>
      </w:r>
      <w:r>
        <w:t>results for the 11 GMZs</w:t>
      </w:r>
      <w:r w:rsidR="00D17CBD">
        <w:t xml:space="preserve"> analyzed</w:t>
      </w:r>
    </w:p>
    <w:p w14:paraId="37AF6896" w14:textId="583B189C" w:rsidR="00534AB5" w:rsidRDefault="00534AB5" w:rsidP="009C180D">
      <w:pPr>
        <w:pStyle w:val="Bullet"/>
      </w:pPr>
      <w:r>
        <w:t xml:space="preserve">Four PowerPoint presentations </w:t>
      </w:r>
      <w:r w:rsidR="0045052C">
        <w:t>for</w:t>
      </w:r>
      <w:r>
        <w:t xml:space="preserve"> review at a Task Force workshop</w:t>
      </w:r>
    </w:p>
    <w:p w14:paraId="5F4C06E6" w14:textId="55563B6A" w:rsidR="00534AB5" w:rsidRDefault="00534AB5" w:rsidP="009C180D">
      <w:pPr>
        <w:pStyle w:val="Bullet"/>
      </w:pPr>
      <w:r>
        <w:t>Draft Sections 3 and 4 of 2021 AWQ Pilot Study report</w:t>
      </w:r>
    </w:p>
    <w:p w14:paraId="73BEF089" w14:textId="080F0581" w:rsidR="00534AB5" w:rsidRDefault="00534AB5" w:rsidP="009C180D">
      <w:pPr>
        <w:pStyle w:val="Bullet"/>
        <w:spacing w:after="240"/>
      </w:pPr>
      <w:r>
        <w:t>GIS shapefiles of relevant work products</w:t>
      </w:r>
      <w:r w:rsidR="00D17CBD">
        <w:t xml:space="preserve"> (TDS contours/</w:t>
      </w:r>
      <w:proofErr w:type="spellStart"/>
      <w:r w:rsidR="00D17CBD">
        <w:t>rasters</w:t>
      </w:r>
      <w:proofErr w:type="spellEnd"/>
      <w:r w:rsidR="00D17CBD">
        <w:t>, storage grids, etc.)</w:t>
      </w:r>
    </w:p>
    <w:p w14:paraId="4ED86C21" w14:textId="7019CD4B" w:rsidR="00672F6B" w:rsidRDefault="008E550B" w:rsidP="00672F6B">
      <w:pPr>
        <w:pStyle w:val="Heading3"/>
      </w:pPr>
      <w:bookmarkStart w:id="44" w:name="_Toc117719803"/>
      <w:r>
        <w:t>Task 3 – Develop Technical Approach</w:t>
      </w:r>
      <w:r w:rsidR="00534AB5" w:rsidRPr="00534AB5">
        <w:t xml:space="preserve"> </w:t>
      </w:r>
      <w:r w:rsidR="00534AB5">
        <w:t>and SNMP Implementation Plan</w:t>
      </w:r>
      <w:bookmarkEnd w:id="44"/>
    </w:p>
    <w:p w14:paraId="06790431" w14:textId="19DA6D50" w:rsidR="0045052C" w:rsidRDefault="0045052C" w:rsidP="0045052C">
      <w:r>
        <w:t xml:space="preserve">The objective of this task is to (1) define the recommended technical methodology for future AWQ and assimilative capacity assessments based on the analysis and results of work performed for Task 2 and (2) prepare a refined schedule and scope of work that needs to be performed by the Task </w:t>
      </w:r>
      <w:r w:rsidR="00655391">
        <w:t xml:space="preserve">Force </w:t>
      </w:r>
      <w:r>
        <w:t xml:space="preserve">from fiscal year 2023/24 through fiscal year 2028/29 to comply with the Basin Plan SNMP. </w:t>
      </w:r>
    </w:p>
    <w:p w14:paraId="41C8103D" w14:textId="77777777" w:rsidR="0045052C" w:rsidRDefault="0045052C" w:rsidP="0045052C">
      <w:r>
        <w:t xml:space="preserve">The deliverables of this Task include: </w:t>
      </w:r>
    </w:p>
    <w:p w14:paraId="2959425D" w14:textId="13DCA93B" w:rsidR="0045052C" w:rsidRDefault="0045052C" w:rsidP="009C180D">
      <w:pPr>
        <w:pStyle w:val="Bullet"/>
      </w:pPr>
      <w:r>
        <w:t>Two PowerPoint presentations for review at a Task Force workshop</w:t>
      </w:r>
    </w:p>
    <w:p w14:paraId="43B05463" w14:textId="4A429BCA" w:rsidR="0045052C" w:rsidRDefault="0045052C" w:rsidP="009C180D">
      <w:pPr>
        <w:pStyle w:val="Bullet"/>
        <w:spacing w:after="240"/>
      </w:pPr>
      <w:r>
        <w:t xml:space="preserve">Draft Sections </w:t>
      </w:r>
      <w:r w:rsidR="00196461">
        <w:t>5</w:t>
      </w:r>
      <w:r>
        <w:t xml:space="preserve"> and </w:t>
      </w:r>
      <w:r w:rsidR="00196461">
        <w:t xml:space="preserve">6 </w:t>
      </w:r>
      <w:r>
        <w:t>of 2021 AWQ Pilot Study report</w:t>
      </w:r>
    </w:p>
    <w:p w14:paraId="4B189EAF" w14:textId="6CD4235B" w:rsidR="008E550B" w:rsidRDefault="008E550B" w:rsidP="008E550B">
      <w:pPr>
        <w:pStyle w:val="Heading3"/>
      </w:pPr>
      <w:bookmarkStart w:id="45" w:name="_Toc117719804"/>
      <w:r>
        <w:t xml:space="preserve">Task 4 – </w:t>
      </w:r>
      <w:r w:rsidR="0045052C">
        <w:t>Prepare Final Report</w:t>
      </w:r>
      <w:bookmarkEnd w:id="45"/>
    </w:p>
    <w:p w14:paraId="179F0893" w14:textId="328EE67C" w:rsidR="008E550B" w:rsidRDefault="00AB7D30" w:rsidP="00672F6B">
      <w:r>
        <w:t>The objective of this task is to prepare a</w:t>
      </w:r>
      <w:r w:rsidR="00196461">
        <w:t xml:space="preserve"> complete draft and</w:t>
      </w:r>
      <w:r>
        <w:t xml:space="preserve"> final report that documents the work performed for the 2021 Ambient Water Quality Pilot Study. </w:t>
      </w:r>
      <w:r w:rsidR="00196461">
        <w:t xml:space="preserve">The draft report will be the compilation of all prior report sections produced in Tasks 1 through </w:t>
      </w:r>
      <w:proofErr w:type="gramStart"/>
      <w:r w:rsidR="00196461">
        <w:t>3, and</w:t>
      </w:r>
      <w:proofErr w:type="gramEnd"/>
      <w:r w:rsidR="00196461">
        <w:t xml:space="preserve"> will have addressed any comments received on the draft sections. Following a review period by the Task Force, a final report will be prepared, including a response to comments appendix. </w:t>
      </w:r>
      <w:r w:rsidR="00486EAA">
        <w:t>T</w:t>
      </w:r>
      <w:r>
        <w:t xml:space="preserve">he report will be the deliverable submitted to the </w:t>
      </w:r>
      <w:r w:rsidR="0001516D">
        <w:t>Santa Ana Water Board</w:t>
      </w:r>
      <w:r>
        <w:t xml:space="preserve"> to comply with the Basin Plan requirement to complete the AWQ update by October 2023. </w:t>
      </w:r>
    </w:p>
    <w:p w14:paraId="0AD8D472" w14:textId="77777777" w:rsidR="00486EAA" w:rsidRDefault="00486EAA" w:rsidP="00486EAA">
      <w:r>
        <w:t xml:space="preserve">The deliverables of this Task include: </w:t>
      </w:r>
    </w:p>
    <w:p w14:paraId="3B5ACAF1" w14:textId="4B784884" w:rsidR="00486EAA" w:rsidRDefault="00486EAA" w:rsidP="009C180D">
      <w:pPr>
        <w:pStyle w:val="Bullet"/>
      </w:pPr>
      <w:r>
        <w:lastRenderedPageBreak/>
        <w:t>One PowerPoint presentations for review at a Task Force workshop</w:t>
      </w:r>
    </w:p>
    <w:p w14:paraId="25285BDD" w14:textId="10D41E59" w:rsidR="00486EAA" w:rsidRDefault="00486EAA" w:rsidP="009C180D">
      <w:pPr>
        <w:pStyle w:val="Bullet"/>
      </w:pPr>
      <w:r>
        <w:t>Draft 2021 AWQ Pilot Study report</w:t>
      </w:r>
    </w:p>
    <w:p w14:paraId="2B80E4DE" w14:textId="5259114B" w:rsidR="00486EAA" w:rsidRDefault="00486EAA" w:rsidP="009C180D">
      <w:pPr>
        <w:pStyle w:val="Bullet"/>
        <w:spacing w:after="240"/>
      </w:pPr>
      <w:r>
        <w:t>Final 2021 AWQ Pilot Study report</w:t>
      </w:r>
    </w:p>
    <w:p w14:paraId="7EEAE176" w14:textId="39DE8EAA" w:rsidR="008E550B" w:rsidRDefault="008E550B" w:rsidP="008E550B">
      <w:pPr>
        <w:pStyle w:val="Heading3"/>
      </w:pPr>
      <w:bookmarkStart w:id="46" w:name="_Toc117719805"/>
      <w:r>
        <w:t>Task 5</w:t>
      </w:r>
      <w:r w:rsidR="006719C3">
        <w:t xml:space="preserve"> –</w:t>
      </w:r>
      <w:r>
        <w:t xml:space="preserve"> Task</w:t>
      </w:r>
      <w:r w:rsidR="006719C3">
        <w:t xml:space="preserve"> </w:t>
      </w:r>
      <w:r>
        <w:t xml:space="preserve">Force Workshops </w:t>
      </w:r>
      <w:r w:rsidR="00486EAA">
        <w:t>and Project Management</w:t>
      </w:r>
      <w:bookmarkEnd w:id="46"/>
    </w:p>
    <w:p w14:paraId="1E541610" w14:textId="7BC98D2A" w:rsidR="00486EAA" w:rsidRPr="00486EAA" w:rsidRDefault="00486EAA" w:rsidP="00486EAA">
      <w:r>
        <w:t xml:space="preserve">The objective of this task is to (1) hold </w:t>
      </w:r>
      <w:r w:rsidR="00255078">
        <w:t xml:space="preserve">up to </w:t>
      </w:r>
      <w:r>
        <w:t>ten Task Force workshops to present the work of the Pilot Study and (2) perform project management tasks to keep the SAWPA project manager inform of progress toward completion of the project on budget and schedule.</w:t>
      </w:r>
    </w:p>
    <w:p w14:paraId="7730BFD9" w14:textId="0A71965D" w:rsidR="008E550B" w:rsidRDefault="008E550B" w:rsidP="008E550B">
      <w:pPr>
        <w:pStyle w:val="Heading2"/>
      </w:pPr>
      <w:bookmarkStart w:id="47" w:name="_Toc117719806"/>
      <w:r>
        <w:t>Schedule</w:t>
      </w:r>
      <w:bookmarkEnd w:id="47"/>
    </w:p>
    <w:p w14:paraId="01CD52EB" w14:textId="7565AAC5" w:rsidR="001B6F34" w:rsidRDefault="008E550B" w:rsidP="009C180D">
      <w:r>
        <w:t xml:space="preserve">Table </w:t>
      </w:r>
      <w:r w:rsidR="007817C1">
        <w:t>4</w:t>
      </w:r>
      <w:r w:rsidR="0007737A">
        <w:t>-1</w:t>
      </w:r>
      <w:r>
        <w:t xml:space="preserve"> shows the schedule to complete the 2021 AWQ Pilot Study from January t</w:t>
      </w:r>
      <w:r w:rsidR="00255078">
        <w:t>hrough</w:t>
      </w:r>
      <w:r>
        <w:t xml:space="preserve"> November 2023.</w:t>
      </w:r>
    </w:p>
    <w:tbl>
      <w:tblPr>
        <w:tblW w:w="10228" w:type="dxa"/>
        <w:tblLayout w:type="fixed"/>
        <w:tblLook w:val="04A0" w:firstRow="1" w:lastRow="0" w:firstColumn="1" w:lastColumn="0" w:noHBand="0" w:noVBand="1"/>
      </w:tblPr>
      <w:tblGrid>
        <w:gridCol w:w="508"/>
        <w:gridCol w:w="3897"/>
        <w:gridCol w:w="528"/>
        <w:gridCol w:w="529"/>
        <w:gridCol w:w="23"/>
        <w:gridCol w:w="473"/>
        <w:gridCol w:w="32"/>
        <w:gridCol w:w="441"/>
        <w:gridCol w:w="88"/>
        <w:gridCol w:w="385"/>
        <w:gridCol w:w="144"/>
        <w:gridCol w:w="329"/>
        <w:gridCol w:w="199"/>
        <w:gridCol w:w="274"/>
        <w:gridCol w:w="255"/>
        <w:gridCol w:w="218"/>
        <w:gridCol w:w="311"/>
        <w:gridCol w:w="162"/>
        <w:gridCol w:w="366"/>
        <w:gridCol w:w="107"/>
        <w:gridCol w:w="422"/>
        <w:gridCol w:w="51"/>
        <w:gridCol w:w="478"/>
        <w:gridCol w:w="8"/>
      </w:tblGrid>
      <w:tr w:rsidR="0007737A" w:rsidRPr="003531FF" w14:paraId="49130233" w14:textId="77777777">
        <w:trPr>
          <w:gridAfter w:val="1"/>
          <w:wAfter w:w="8" w:type="dxa"/>
          <w:trHeight w:val="610"/>
        </w:trPr>
        <w:tc>
          <w:tcPr>
            <w:tcW w:w="10220" w:type="dxa"/>
            <w:gridSpan w:val="23"/>
            <w:tcBorders>
              <w:top w:val="single" w:sz="4" w:space="0" w:color="auto"/>
              <w:left w:val="single" w:sz="4" w:space="0" w:color="auto"/>
              <w:right w:val="single" w:sz="4" w:space="0" w:color="auto"/>
            </w:tcBorders>
            <w:shd w:val="clear" w:color="auto" w:fill="auto"/>
            <w:noWrap/>
            <w:vAlign w:val="center"/>
            <w:hideMark/>
          </w:tcPr>
          <w:p w14:paraId="6E799340" w14:textId="5484C90A" w:rsidR="0007737A" w:rsidRPr="00B01A23" w:rsidRDefault="00B01A23" w:rsidP="00B01A23">
            <w:pPr>
              <w:pStyle w:val="Caption"/>
              <w:rPr>
                <w:rFonts w:asciiTheme="minorHAnsi" w:hAnsiTheme="minorHAnsi" w:cstheme="minorHAnsi"/>
                <w:b/>
                <w:color w:val="000000"/>
                <w:sz w:val="22"/>
                <w:szCs w:val="22"/>
              </w:rPr>
            </w:pPr>
            <w:r w:rsidRPr="00B01A23">
              <w:rPr>
                <w:rFonts w:asciiTheme="minorHAnsi" w:hAnsiTheme="minorHAnsi" w:cstheme="minorHAnsi"/>
                <w:b/>
                <w:bCs w:val="0"/>
                <w:sz w:val="22"/>
                <w:szCs w:val="22"/>
              </w:rPr>
              <w:t xml:space="preserve">Table </w:t>
            </w:r>
            <w:r w:rsidRPr="00B01A23">
              <w:rPr>
                <w:rFonts w:asciiTheme="minorHAnsi" w:hAnsiTheme="minorHAnsi" w:cstheme="minorHAnsi"/>
                <w:b/>
                <w:bCs w:val="0"/>
                <w:sz w:val="22"/>
                <w:szCs w:val="22"/>
              </w:rPr>
              <w:fldChar w:fldCharType="begin"/>
            </w:r>
            <w:r w:rsidRPr="00B01A23">
              <w:rPr>
                <w:rFonts w:asciiTheme="minorHAnsi" w:hAnsiTheme="minorHAnsi" w:cstheme="minorHAnsi"/>
                <w:b/>
                <w:bCs w:val="0"/>
                <w:sz w:val="22"/>
                <w:szCs w:val="22"/>
              </w:rPr>
              <w:instrText xml:space="preserve"> STYLEREF 1 \s </w:instrText>
            </w:r>
            <w:r w:rsidRPr="00B01A23">
              <w:rPr>
                <w:rFonts w:asciiTheme="minorHAnsi" w:hAnsiTheme="minorHAnsi" w:cstheme="minorHAnsi"/>
                <w:b/>
                <w:bCs w:val="0"/>
                <w:sz w:val="22"/>
                <w:szCs w:val="22"/>
              </w:rPr>
              <w:fldChar w:fldCharType="separate"/>
            </w:r>
            <w:r w:rsidR="00B65193">
              <w:rPr>
                <w:rFonts w:asciiTheme="minorHAnsi" w:hAnsiTheme="minorHAnsi" w:cstheme="minorHAnsi"/>
                <w:b/>
                <w:bCs w:val="0"/>
                <w:noProof/>
                <w:sz w:val="22"/>
                <w:szCs w:val="22"/>
              </w:rPr>
              <w:t>4</w:t>
            </w:r>
            <w:r w:rsidRPr="00B01A23">
              <w:rPr>
                <w:rFonts w:asciiTheme="minorHAnsi" w:hAnsiTheme="minorHAnsi" w:cstheme="minorHAnsi"/>
                <w:b/>
                <w:bCs w:val="0"/>
                <w:sz w:val="22"/>
                <w:szCs w:val="22"/>
              </w:rPr>
              <w:fldChar w:fldCharType="end"/>
            </w:r>
            <w:r w:rsidRPr="00B01A23">
              <w:rPr>
                <w:rFonts w:asciiTheme="minorHAnsi" w:hAnsiTheme="minorHAnsi" w:cstheme="minorHAnsi"/>
                <w:b/>
                <w:bCs w:val="0"/>
                <w:sz w:val="22"/>
                <w:szCs w:val="22"/>
              </w:rPr>
              <w:noBreakHyphen/>
            </w:r>
            <w:r w:rsidRPr="00B01A23">
              <w:rPr>
                <w:rFonts w:asciiTheme="minorHAnsi" w:hAnsiTheme="minorHAnsi" w:cstheme="minorHAnsi"/>
                <w:b/>
                <w:bCs w:val="0"/>
                <w:sz w:val="22"/>
                <w:szCs w:val="22"/>
              </w:rPr>
              <w:fldChar w:fldCharType="begin"/>
            </w:r>
            <w:r w:rsidRPr="00B01A23">
              <w:rPr>
                <w:rFonts w:asciiTheme="minorHAnsi" w:hAnsiTheme="minorHAnsi" w:cstheme="minorHAnsi"/>
                <w:b/>
                <w:bCs w:val="0"/>
                <w:sz w:val="22"/>
                <w:szCs w:val="22"/>
              </w:rPr>
              <w:instrText xml:space="preserve"> SEQ Table \* ARABIC \s 1 </w:instrText>
            </w:r>
            <w:r w:rsidRPr="00B01A23">
              <w:rPr>
                <w:rFonts w:asciiTheme="minorHAnsi" w:hAnsiTheme="minorHAnsi" w:cstheme="minorHAnsi"/>
                <w:b/>
                <w:bCs w:val="0"/>
                <w:sz w:val="22"/>
                <w:szCs w:val="22"/>
              </w:rPr>
              <w:fldChar w:fldCharType="separate"/>
            </w:r>
            <w:r w:rsidR="00B65193">
              <w:rPr>
                <w:rFonts w:asciiTheme="minorHAnsi" w:hAnsiTheme="minorHAnsi" w:cstheme="minorHAnsi"/>
                <w:b/>
                <w:bCs w:val="0"/>
                <w:noProof/>
                <w:sz w:val="22"/>
                <w:szCs w:val="22"/>
              </w:rPr>
              <w:t>1</w:t>
            </w:r>
            <w:r w:rsidRPr="00B01A23">
              <w:rPr>
                <w:rFonts w:asciiTheme="minorHAnsi" w:hAnsiTheme="minorHAnsi" w:cstheme="minorHAnsi"/>
                <w:b/>
                <w:bCs w:val="0"/>
                <w:sz w:val="22"/>
                <w:szCs w:val="22"/>
              </w:rPr>
              <w:fldChar w:fldCharType="end"/>
            </w:r>
            <w:r w:rsidR="0007737A" w:rsidRPr="00B01A23">
              <w:rPr>
                <w:rFonts w:asciiTheme="minorHAnsi" w:hAnsiTheme="minorHAnsi" w:cstheme="minorHAnsi"/>
                <w:b/>
                <w:bCs w:val="0"/>
                <w:sz w:val="22"/>
                <w:szCs w:val="22"/>
              </w:rPr>
              <w:t>.</w:t>
            </w:r>
            <w:r w:rsidR="0007737A" w:rsidRPr="00B01A23">
              <w:rPr>
                <w:rFonts w:asciiTheme="minorHAnsi" w:hAnsiTheme="minorHAnsi" w:cstheme="minorHAnsi"/>
                <w:b/>
                <w:sz w:val="22"/>
                <w:szCs w:val="22"/>
              </w:rPr>
              <w:t xml:space="preserve"> Schedule to Perform the 2021 Ambient Water Quality Pilot Study</w:t>
            </w:r>
          </w:p>
        </w:tc>
      </w:tr>
      <w:tr w:rsidR="0007737A" w:rsidRPr="00255078" w14:paraId="48F32DC5" w14:textId="77777777" w:rsidTr="0007737A">
        <w:trPr>
          <w:trHeight w:val="300"/>
        </w:trPr>
        <w:tc>
          <w:tcPr>
            <w:tcW w:w="4405" w:type="dxa"/>
            <w:gridSpan w:val="2"/>
            <w:vMerge w:val="restart"/>
            <w:tcBorders>
              <w:top w:val="single" w:sz="4" w:space="0" w:color="auto"/>
              <w:left w:val="single" w:sz="4" w:space="0" w:color="auto"/>
              <w:bottom w:val="single" w:sz="4" w:space="0" w:color="FFFFFF"/>
              <w:right w:val="single" w:sz="4" w:space="0" w:color="FFFFFF"/>
            </w:tcBorders>
            <w:shd w:val="clear" w:color="000000" w:fill="001489"/>
            <w:vAlign w:val="center"/>
            <w:hideMark/>
          </w:tcPr>
          <w:p w14:paraId="1FD5C7FC"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Task and Subtask</w:t>
            </w:r>
          </w:p>
        </w:tc>
        <w:tc>
          <w:tcPr>
            <w:tcW w:w="5823" w:type="dxa"/>
            <w:gridSpan w:val="22"/>
            <w:tcBorders>
              <w:top w:val="single" w:sz="4" w:space="0" w:color="auto"/>
              <w:left w:val="nil"/>
              <w:bottom w:val="single" w:sz="4" w:space="0" w:color="FFFFFF"/>
              <w:right w:val="single" w:sz="4" w:space="0" w:color="000000"/>
            </w:tcBorders>
            <w:shd w:val="clear" w:color="000000" w:fill="001489"/>
            <w:noWrap/>
            <w:vAlign w:val="bottom"/>
            <w:hideMark/>
          </w:tcPr>
          <w:p w14:paraId="6765D6ED"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Task Duration</w:t>
            </w:r>
          </w:p>
        </w:tc>
      </w:tr>
      <w:tr w:rsidR="0007737A" w:rsidRPr="00255078" w14:paraId="0882D78D" w14:textId="77777777" w:rsidTr="0007737A">
        <w:trPr>
          <w:trHeight w:val="300"/>
        </w:trPr>
        <w:tc>
          <w:tcPr>
            <w:tcW w:w="4405" w:type="dxa"/>
            <w:gridSpan w:val="2"/>
            <w:vMerge/>
            <w:tcBorders>
              <w:top w:val="single" w:sz="4" w:space="0" w:color="auto"/>
              <w:left w:val="single" w:sz="4" w:space="0" w:color="auto"/>
              <w:bottom w:val="single" w:sz="4" w:space="0" w:color="FFFFFF"/>
              <w:right w:val="single" w:sz="4" w:space="0" w:color="FFFFFF"/>
            </w:tcBorders>
            <w:vAlign w:val="center"/>
            <w:hideMark/>
          </w:tcPr>
          <w:p w14:paraId="342FB915" w14:textId="77777777" w:rsidR="0007737A" w:rsidRPr="00255078" w:rsidRDefault="0007737A" w:rsidP="0007737A">
            <w:pPr>
              <w:spacing w:after="0"/>
              <w:jc w:val="left"/>
              <w:rPr>
                <w:rFonts w:ascii="Calibri" w:hAnsi="Calibri" w:cs="Calibri"/>
                <w:b/>
                <w:bCs/>
                <w:color w:val="FFFFFF"/>
                <w:sz w:val="20"/>
              </w:rPr>
            </w:pPr>
          </w:p>
        </w:tc>
        <w:tc>
          <w:tcPr>
            <w:tcW w:w="5823" w:type="dxa"/>
            <w:gridSpan w:val="22"/>
            <w:tcBorders>
              <w:top w:val="single" w:sz="4" w:space="0" w:color="FFFFFF"/>
              <w:left w:val="nil"/>
              <w:bottom w:val="single" w:sz="4" w:space="0" w:color="FFFFFF"/>
              <w:right w:val="single" w:sz="4" w:space="0" w:color="000000"/>
            </w:tcBorders>
            <w:shd w:val="clear" w:color="000000" w:fill="001489"/>
            <w:noWrap/>
            <w:vAlign w:val="bottom"/>
            <w:hideMark/>
          </w:tcPr>
          <w:p w14:paraId="25DC1E4B"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2023</w:t>
            </w:r>
          </w:p>
        </w:tc>
      </w:tr>
      <w:tr w:rsidR="0007737A" w:rsidRPr="00255078" w14:paraId="3167A79A" w14:textId="77777777" w:rsidTr="0007737A">
        <w:trPr>
          <w:gridAfter w:val="1"/>
          <w:wAfter w:w="8" w:type="dxa"/>
          <w:trHeight w:val="675"/>
        </w:trPr>
        <w:tc>
          <w:tcPr>
            <w:tcW w:w="4405" w:type="dxa"/>
            <w:gridSpan w:val="2"/>
            <w:vMerge/>
            <w:tcBorders>
              <w:top w:val="single" w:sz="4" w:space="0" w:color="auto"/>
              <w:left w:val="single" w:sz="4" w:space="0" w:color="auto"/>
              <w:bottom w:val="single" w:sz="4" w:space="0" w:color="FFFFFF"/>
              <w:right w:val="single" w:sz="4" w:space="0" w:color="FFFFFF"/>
            </w:tcBorders>
            <w:vAlign w:val="center"/>
            <w:hideMark/>
          </w:tcPr>
          <w:p w14:paraId="1E93E775" w14:textId="77777777" w:rsidR="0007737A" w:rsidRPr="00255078" w:rsidRDefault="0007737A" w:rsidP="0007737A">
            <w:pPr>
              <w:spacing w:after="0"/>
              <w:jc w:val="left"/>
              <w:rPr>
                <w:rFonts w:ascii="Calibri" w:hAnsi="Calibri" w:cs="Calibri"/>
                <w:b/>
                <w:bCs/>
                <w:color w:val="FFFFFF"/>
                <w:sz w:val="20"/>
              </w:rPr>
            </w:pPr>
          </w:p>
        </w:tc>
        <w:tc>
          <w:tcPr>
            <w:tcW w:w="528" w:type="dxa"/>
            <w:tcBorders>
              <w:top w:val="nil"/>
              <w:left w:val="nil"/>
              <w:bottom w:val="nil"/>
              <w:right w:val="single" w:sz="4" w:space="0" w:color="FFFFFF"/>
            </w:tcBorders>
            <w:shd w:val="clear" w:color="000000" w:fill="001489"/>
            <w:noWrap/>
            <w:textDirection w:val="btLr"/>
            <w:vAlign w:val="bottom"/>
            <w:hideMark/>
          </w:tcPr>
          <w:p w14:paraId="2B2345ED"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Jan</w:t>
            </w:r>
          </w:p>
        </w:tc>
        <w:tc>
          <w:tcPr>
            <w:tcW w:w="529" w:type="dxa"/>
            <w:tcBorders>
              <w:top w:val="nil"/>
              <w:left w:val="nil"/>
              <w:bottom w:val="nil"/>
              <w:right w:val="single" w:sz="4" w:space="0" w:color="FFFFFF"/>
            </w:tcBorders>
            <w:shd w:val="clear" w:color="000000" w:fill="001489"/>
            <w:noWrap/>
            <w:textDirection w:val="btLr"/>
            <w:vAlign w:val="bottom"/>
            <w:hideMark/>
          </w:tcPr>
          <w:p w14:paraId="033E6773"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Feb</w:t>
            </w:r>
          </w:p>
        </w:tc>
        <w:tc>
          <w:tcPr>
            <w:tcW w:w="528" w:type="dxa"/>
            <w:gridSpan w:val="3"/>
            <w:tcBorders>
              <w:top w:val="nil"/>
              <w:left w:val="nil"/>
              <w:bottom w:val="nil"/>
              <w:right w:val="single" w:sz="4" w:space="0" w:color="FFFFFF"/>
            </w:tcBorders>
            <w:shd w:val="clear" w:color="000000" w:fill="001489"/>
            <w:noWrap/>
            <w:textDirection w:val="btLr"/>
            <w:vAlign w:val="bottom"/>
            <w:hideMark/>
          </w:tcPr>
          <w:p w14:paraId="0C134BCC"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Mar</w:t>
            </w:r>
          </w:p>
        </w:tc>
        <w:tc>
          <w:tcPr>
            <w:tcW w:w="529" w:type="dxa"/>
            <w:gridSpan w:val="2"/>
            <w:tcBorders>
              <w:top w:val="nil"/>
              <w:left w:val="nil"/>
              <w:bottom w:val="nil"/>
              <w:right w:val="single" w:sz="4" w:space="0" w:color="FFFFFF"/>
            </w:tcBorders>
            <w:shd w:val="clear" w:color="000000" w:fill="001489"/>
            <w:noWrap/>
            <w:textDirection w:val="btLr"/>
            <w:vAlign w:val="bottom"/>
            <w:hideMark/>
          </w:tcPr>
          <w:p w14:paraId="5B4F7A3F"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Apr</w:t>
            </w:r>
          </w:p>
        </w:tc>
        <w:tc>
          <w:tcPr>
            <w:tcW w:w="529" w:type="dxa"/>
            <w:gridSpan w:val="2"/>
            <w:tcBorders>
              <w:top w:val="nil"/>
              <w:left w:val="nil"/>
              <w:bottom w:val="nil"/>
              <w:right w:val="single" w:sz="4" w:space="0" w:color="FFFFFF"/>
            </w:tcBorders>
            <w:shd w:val="clear" w:color="000000" w:fill="001489"/>
            <w:noWrap/>
            <w:textDirection w:val="btLr"/>
            <w:vAlign w:val="bottom"/>
            <w:hideMark/>
          </w:tcPr>
          <w:p w14:paraId="1311A902"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May</w:t>
            </w:r>
          </w:p>
        </w:tc>
        <w:tc>
          <w:tcPr>
            <w:tcW w:w="528" w:type="dxa"/>
            <w:gridSpan w:val="2"/>
            <w:tcBorders>
              <w:top w:val="nil"/>
              <w:left w:val="nil"/>
              <w:bottom w:val="nil"/>
              <w:right w:val="single" w:sz="4" w:space="0" w:color="FFFFFF"/>
            </w:tcBorders>
            <w:shd w:val="clear" w:color="000000" w:fill="001489"/>
            <w:noWrap/>
            <w:textDirection w:val="btLr"/>
            <w:vAlign w:val="bottom"/>
            <w:hideMark/>
          </w:tcPr>
          <w:p w14:paraId="278D6C06"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Jun</w:t>
            </w:r>
          </w:p>
        </w:tc>
        <w:tc>
          <w:tcPr>
            <w:tcW w:w="529" w:type="dxa"/>
            <w:gridSpan w:val="2"/>
            <w:tcBorders>
              <w:top w:val="nil"/>
              <w:left w:val="nil"/>
              <w:bottom w:val="nil"/>
              <w:right w:val="single" w:sz="4" w:space="0" w:color="FFFFFF"/>
            </w:tcBorders>
            <w:shd w:val="clear" w:color="000000" w:fill="001489"/>
            <w:noWrap/>
            <w:textDirection w:val="btLr"/>
            <w:vAlign w:val="bottom"/>
            <w:hideMark/>
          </w:tcPr>
          <w:p w14:paraId="7775E1CA"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Jul</w:t>
            </w:r>
          </w:p>
        </w:tc>
        <w:tc>
          <w:tcPr>
            <w:tcW w:w="529" w:type="dxa"/>
            <w:gridSpan w:val="2"/>
            <w:tcBorders>
              <w:top w:val="nil"/>
              <w:left w:val="nil"/>
              <w:bottom w:val="nil"/>
              <w:right w:val="single" w:sz="4" w:space="0" w:color="FFFFFF"/>
            </w:tcBorders>
            <w:shd w:val="clear" w:color="000000" w:fill="001489"/>
            <w:noWrap/>
            <w:textDirection w:val="btLr"/>
            <w:vAlign w:val="bottom"/>
            <w:hideMark/>
          </w:tcPr>
          <w:p w14:paraId="00640AC2"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Aug</w:t>
            </w:r>
          </w:p>
        </w:tc>
        <w:tc>
          <w:tcPr>
            <w:tcW w:w="528" w:type="dxa"/>
            <w:gridSpan w:val="2"/>
            <w:tcBorders>
              <w:top w:val="nil"/>
              <w:left w:val="nil"/>
              <w:bottom w:val="nil"/>
              <w:right w:val="single" w:sz="4" w:space="0" w:color="FFFFFF"/>
            </w:tcBorders>
            <w:shd w:val="clear" w:color="000000" w:fill="001489"/>
            <w:noWrap/>
            <w:textDirection w:val="btLr"/>
            <w:vAlign w:val="bottom"/>
            <w:hideMark/>
          </w:tcPr>
          <w:p w14:paraId="18FD5812"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Sep</w:t>
            </w:r>
          </w:p>
        </w:tc>
        <w:tc>
          <w:tcPr>
            <w:tcW w:w="529" w:type="dxa"/>
            <w:gridSpan w:val="2"/>
            <w:tcBorders>
              <w:top w:val="nil"/>
              <w:left w:val="nil"/>
              <w:bottom w:val="nil"/>
              <w:right w:val="single" w:sz="4" w:space="0" w:color="FFFFFF"/>
            </w:tcBorders>
            <w:shd w:val="clear" w:color="000000" w:fill="001489"/>
            <w:noWrap/>
            <w:textDirection w:val="btLr"/>
            <w:vAlign w:val="bottom"/>
            <w:hideMark/>
          </w:tcPr>
          <w:p w14:paraId="4A2868BB"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Oct</w:t>
            </w:r>
          </w:p>
        </w:tc>
        <w:tc>
          <w:tcPr>
            <w:tcW w:w="529" w:type="dxa"/>
            <w:gridSpan w:val="2"/>
            <w:tcBorders>
              <w:top w:val="nil"/>
              <w:left w:val="nil"/>
              <w:bottom w:val="nil"/>
              <w:right w:val="single" w:sz="4" w:space="0" w:color="auto"/>
            </w:tcBorders>
            <w:shd w:val="clear" w:color="000000" w:fill="001489"/>
            <w:noWrap/>
            <w:textDirection w:val="btLr"/>
            <w:vAlign w:val="bottom"/>
            <w:hideMark/>
          </w:tcPr>
          <w:p w14:paraId="0B46AD01" w14:textId="77777777" w:rsidR="0007737A" w:rsidRPr="00255078" w:rsidRDefault="0007737A" w:rsidP="0007737A">
            <w:pPr>
              <w:spacing w:after="0"/>
              <w:jc w:val="center"/>
              <w:rPr>
                <w:rFonts w:ascii="Calibri" w:hAnsi="Calibri" w:cs="Calibri"/>
                <w:b/>
                <w:bCs/>
                <w:color w:val="FFFFFF"/>
                <w:sz w:val="20"/>
              </w:rPr>
            </w:pPr>
            <w:r w:rsidRPr="00255078">
              <w:rPr>
                <w:rFonts w:ascii="Calibri" w:hAnsi="Calibri" w:cs="Calibri"/>
                <w:b/>
                <w:bCs/>
                <w:color w:val="FFFFFF"/>
                <w:sz w:val="20"/>
              </w:rPr>
              <w:t>Nov</w:t>
            </w:r>
          </w:p>
        </w:tc>
      </w:tr>
      <w:tr w:rsidR="0007737A" w:rsidRPr="00255078" w14:paraId="591BD6CB" w14:textId="77777777" w:rsidTr="0007737A">
        <w:trPr>
          <w:gridAfter w:val="1"/>
          <w:wAfter w:w="8" w:type="dxa"/>
          <w:trHeight w:val="585"/>
        </w:trPr>
        <w:tc>
          <w:tcPr>
            <w:tcW w:w="4405" w:type="dxa"/>
            <w:gridSpan w:val="2"/>
            <w:tcBorders>
              <w:top w:val="nil"/>
              <w:left w:val="single" w:sz="4" w:space="0" w:color="auto"/>
              <w:bottom w:val="single" w:sz="4" w:space="0" w:color="auto"/>
              <w:right w:val="single" w:sz="4" w:space="0" w:color="000000"/>
            </w:tcBorders>
            <w:shd w:val="clear" w:color="auto" w:fill="auto"/>
            <w:vAlign w:val="center"/>
            <w:hideMark/>
          </w:tcPr>
          <w:p w14:paraId="7095872C"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Task 1 - Data Collection and Review</w:t>
            </w:r>
          </w:p>
        </w:tc>
        <w:tc>
          <w:tcPr>
            <w:tcW w:w="528" w:type="dxa"/>
            <w:tcBorders>
              <w:top w:val="single" w:sz="4" w:space="0" w:color="5B6770"/>
              <w:left w:val="nil"/>
              <w:bottom w:val="single" w:sz="4" w:space="0" w:color="auto"/>
              <w:right w:val="single" w:sz="4" w:space="0" w:color="5B6770"/>
            </w:tcBorders>
            <w:shd w:val="clear" w:color="000000" w:fill="BBE6FF"/>
            <w:vAlign w:val="center"/>
            <w:hideMark/>
          </w:tcPr>
          <w:p w14:paraId="336FA716"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tcBorders>
              <w:top w:val="single" w:sz="4" w:space="0" w:color="5B6770"/>
              <w:left w:val="nil"/>
              <w:bottom w:val="single" w:sz="4" w:space="0" w:color="auto"/>
              <w:right w:val="single" w:sz="4" w:space="0" w:color="5B6770"/>
            </w:tcBorders>
            <w:shd w:val="clear" w:color="000000" w:fill="BBE6FF"/>
            <w:vAlign w:val="center"/>
            <w:hideMark/>
          </w:tcPr>
          <w:p w14:paraId="5D69B375"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8" w:type="dxa"/>
            <w:gridSpan w:val="3"/>
            <w:tcBorders>
              <w:top w:val="single" w:sz="4" w:space="0" w:color="5B6770"/>
              <w:left w:val="nil"/>
              <w:bottom w:val="single" w:sz="4" w:space="0" w:color="auto"/>
              <w:right w:val="single" w:sz="4" w:space="0" w:color="5B6770"/>
            </w:tcBorders>
            <w:shd w:val="clear" w:color="000000" w:fill="BBE6FF"/>
            <w:vAlign w:val="center"/>
            <w:hideMark/>
          </w:tcPr>
          <w:p w14:paraId="3B167FBF"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single" w:sz="4" w:space="0" w:color="5B6770"/>
              <w:left w:val="nil"/>
              <w:bottom w:val="single" w:sz="4" w:space="0" w:color="auto"/>
              <w:right w:val="single" w:sz="4" w:space="0" w:color="5B6770"/>
            </w:tcBorders>
            <w:shd w:val="clear" w:color="000000" w:fill="BBE6FF"/>
            <w:vAlign w:val="center"/>
            <w:hideMark/>
          </w:tcPr>
          <w:p w14:paraId="692F9FF8"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single" w:sz="4" w:space="0" w:color="5B6770"/>
              <w:left w:val="nil"/>
              <w:bottom w:val="single" w:sz="4" w:space="0" w:color="auto"/>
              <w:right w:val="single" w:sz="4" w:space="0" w:color="5B6770"/>
            </w:tcBorders>
            <w:shd w:val="clear" w:color="auto" w:fill="auto"/>
            <w:vAlign w:val="center"/>
            <w:hideMark/>
          </w:tcPr>
          <w:p w14:paraId="6318E846"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8" w:type="dxa"/>
            <w:gridSpan w:val="2"/>
            <w:tcBorders>
              <w:top w:val="single" w:sz="4" w:space="0" w:color="5B6770"/>
              <w:left w:val="nil"/>
              <w:bottom w:val="single" w:sz="4" w:space="0" w:color="auto"/>
              <w:right w:val="single" w:sz="4" w:space="0" w:color="5B6770"/>
            </w:tcBorders>
            <w:shd w:val="clear" w:color="auto" w:fill="auto"/>
            <w:vAlign w:val="center"/>
            <w:hideMark/>
          </w:tcPr>
          <w:p w14:paraId="4D93B6F2"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single" w:sz="4" w:space="0" w:color="5B6770"/>
              <w:left w:val="nil"/>
              <w:bottom w:val="single" w:sz="4" w:space="0" w:color="auto"/>
              <w:right w:val="single" w:sz="4" w:space="0" w:color="5B6770"/>
            </w:tcBorders>
            <w:shd w:val="clear" w:color="auto" w:fill="auto"/>
            <w:vAlign w:val="center"/>
            <w:hideMark/>
          </w:tcPr>
          <w:p w14:paraId="36DE42DF"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single" w:sz="4" w:space="0" w:color="5B6770"/>
              <w:left w:val="nil"/>
              <w:bottom w:val="single" w:sz="4" w:space="0" w:color="auto"/>
              <w:right w:val="single" w:sz="4" w:space="0" w:color="5B6770"/>
            </w:tcBorders>
            <w:shd w:val="clear" w:color="auto" w:fill="auto"/>
            <w:vAlign w:val="center"/>
            <w:hideMark/>
          </w:tcPr>
          <w:p w14:paraId="07B84081"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8" w:type="dxa"/>
            <w:gridSpan w:val="2"/>
            <w:tcBorders>
              <w:top w:val="single" w:sz="4" w:space="0" w:color="5B6770"/>
              <w:left w:val="nil"/>
              <w:bottom w:val="single" w:sz="4" w:space="0" w:color="auto"/>
              <w:right w:val="single" w:sz="4" w:space="0" w:color="5B6770"/>
            </w:tcBorders>
            <w:shd w:val="clear" w:color="auto" w:fill="auto"/>
            <w:vAlign w:val="center"/>
            <w:hideMark/>
          </w:tcPr>
          <w:p w14:paraId="428F4006"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single" w:sz="4" w:space="0" w:color="5B6770"/>
              <w:left w:val="nil"/>
              <w:bottom w:val="single" w:sz="4" w:space="0" w:color="auto"/>
              <w:right w:val="single" w:sz="4" w:space="0" w:color="5B6770"/>
            </w:tcBorders>
            <w:shd w:val="clear" w:color="auto" w:fill="auto"/>
            <w:vAlign w:val="center"/>
            <w:hideMark/>
          </w:tcPr>
          <w:p w14:paraId="0C97F1A3"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single" w:sz="4" w:space="0" w:color="5B6770"/>
              <w:left w:val="nil"/>
              <w:bottom w:val="single" w:sz="4" w:space="0" w:color="auto"/>
              <w:right w:val="single" w:sz="4" w:space="0" w:color="auto"/>
            </w:tcBorders>
            <w:shd w:val="clear" w:color="auto" w:fill="auto"/>
            <w:vAlign w:val="center"/>
            <w:hideMark/>
          </w:tcPr>
          <w:p w14:paraId="3C1DAA52"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r>
      <w:tr w:rsidR="0007737A" w:rsidRPr="00255078" w14:paraId="4D92ECEE" w14:textId="77777777" w:rsidTr="0007737A">
        <w:trPr>
          <w:gridAfter w:val="1"/>
          <w:wAfter w:w="8" w:type="dxa"/>
          <w:trHeight w:val="585"/>
        </w:trPr>
        <w:tc>
          <w:tcPr>
            <w:tcW w:w="4405" w:type="dxa"/>
            <w:gridSpan w:val="2"/>
            <w:tcBorders>
              <w:top w:val="single" w:sz="4" w:space="0" w:color="auto"/>
              <w:left w:val="single" w:sz="4" w:space="0" w:color="auto"/>
              <w:bottom w:val="single" w:sz="4" w:space="0" w:color="5B6770"/>
              <w:right w:val="single" w:sz="4" w:space="0" w:color="000000"/>
            </w:tcBorders>
            <w:shd w:val="clear" w:color="auto" w:fill="auto"/>
            <w:vAlign w:val="center"/>
            <w:hideMark/>
          </w:tcPr>
          <w:p w14:paraId="1C0BFCC5"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Task 2 – Pilot Assessment of Ambient Water Quality in Select GMZs</w:t>
            </w:r>
          </w:p>
        </w:tc>
        <w:tc>
          <w:tcPr>
            <w:tcW w:w="528" w:type="dxa"/>
            <w:tcBorders>
              <w:top w:val="nil"/>
              <w:left w:val="nil"/>
              <w:bottom w:val="single" w:sz="4" w:space="0" w:color="auto"/>
              <w:right w:val="single" w:sz="4" w:space="0" w:color="5B6770"/>
            </w:tcBorders>
            <w:shd w:val="clear" w:color="auto" w:fill="auto"/>
            <w:vAlign w:val="center"/>
            <w:hideMark/>
          </w:tcPr>
          <w:p w14:paraId="12ECCEF0"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tcBorders>
              <w:top w:val="nil"/>
              <w:left w:val="nil"/>
              <w:bottom w:val="single" w:sz="4" w:space="0" w:color="auto"/>
              <w:right w:val="single" w:sz="4" w:space="0" w:color="5B6770"/>
            </w:tcBorders>
            <w:shd w:val="clear" w:color="000000" w:fill="BBE6FF"/>
            <w:vAlign w:val="center"/>
            <w:hideMark/>
          </w:tcPr>
          <w:p w14:paraId="21CB7799"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8" w:type="dxa"/>
            <w:gridSpan w:val="3"/>
            <w:tcBorders>
              <w:top w:val="nil"/>
              <w:left w:val="nil"/>
              <w:bottom w:val="single" w:sz="4" w:space="0" w:color="auto"/>
              <w:right w:val="single" w:sz="4" w:space="0" w:color="5B6770"/>
            </w:tcBorders>
            <w:shd w:val="clear" w:color="000000" w:fill="BBE6FF"/>
            <w:vAlign w:val="center"/>
            <w:hideMark/>
          </w:tcPr>
          <w:p w14:paraId="15B7FB15"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4E280794"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70B7A662"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8" w:type="dxa"/>
            <w:gridSpan w:val="2"/>
            <w:tcBorders>
              <w:top w:val="nil"/>
              <w:left w:val="nil"/>
              <w:bottom w:val="single" w:sz="4" w:space="0" w:color="auto"/>
              <w:right w:val="single" w:sz="4" w:space="0" w:color="5B6770"/>
            </w:tcBorders>
            <w:shd w:val="clear" w:color="000000" w:fill="BBE6FF"/>
            <w:vAlign w:val="center"/>
            <w:hideMark/>
          </w:tcPr>
          <w:p w14:paraId="5076F3D6"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auto" w:fill="auto"/>
            <w:vAlign w:val="center"/>
            <w:hideMark/>
          </w:tcPr>
          <w:p w14:paraId="7E754ADB"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auto" w:fill="auto"/>
            <w:vAlign w:val="center"/>
            <w:hideMark/>
          </w:tcPr>
          <w:p w14:paraId="74C5A5E5"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8" w:type="dxa"/>
            <w:gridSpan w:val="2"/>
            <w:tcBorders>
              <w:top w:val="nil"/>
              <w:left w:val="nil"/>
              <w:bottom w:val="single" w:sz="4" w:space="0" w:color="auto"/>
              <w:right w:val="single" w:sz="4" w:space="0" w:color="5B6770"/>
            </w:tcBorders>
            <w:shd w:val="clear" w:color="auto" w:fill="auto"/>
            <w:vAlign w:val="center"/>
            <w:hideMark/>
          </w:tcPr>
          <w:p w14:paraId="5D7A4996"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auto" w:fill="auto"/>
            <w:vAlign w:val="center"/>
            <w:hideMark/>
          </w:tcPr>
          <w:p w14:paraId="3765E206"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auto"/>
            </w:tcBorders>
            <w:shd w:val="clear" w:color="auto" w:fill="auto"/>
            <w:vAlign w:val="center"/>
            <w:hideMark/>
          </w:tcPr>
          <w:p w14:paraId="5A9CD48C"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r>
      <w:tr w:rsidR="0007737A" w:rsidRPr="00255078" w14:paraId="3DC75B2B" w14:textId="77777777" w:rsidTr="0007737A">
        <w:trPr>
          <w:gridAfter w:val="1"/>
          <w:wAfter w:w="8" w:type="dxa"/>
          <w:trHeight w:val="585"/>
        </w:trPr>
        <w:tc>
          <w:tcPr>
            <w:tcW w:w="4405" w:type="dxa"/>
            <w:gridSpan w:val="2"/>
            <w:tcBorders>
              <w:top w:val="single" w:sz="4" w:space="0" w:color="5B6770"/>
              <w:left w:val="single" w:sz="4" w:space="0" w:color="auto"/>
              <w:bottom w:val="single" w:sz="4" w:space="0" w:color="auto"/>
              <w:right w:val="single" w:sz="4" w:space="0" w:color="000000"/>
            </w:tcBorders>
            <w:shd w:val="clear" w:color="auto" w:fill="auto"/>
            <w:vAlign w:val="center"/>
            <w:hideMark/>
          </w:tcPr>
          <w:p w14:paraId="189839C9"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Task 3 - Develop Technical Approach and SNMP Implementation Plan</w:t>
            </w:r>
          </w:p>
        </w:tc>
        <w:tc>
          <w:tcPr>
            <w:tcW w:w="528" w:type="dxa"/>
            <w:tcBorders>
              <w:top w:val="nil"/>
              <w:left w:val="nil"/>
              <w:bottom w:val="single" w:sz="4" w:space="0" w:color="auto"/>
              <w:right w:val="single" w:sz="4" w:space="0" w:color="5B6770"/>
            </w:tcBorders>
            <w:shd w:val="clear" w:color="auto" w:fill="auto"/>
            <w:vAlign w:val="center"/>
            <w:hideMark/>
          </w:tcPr>
          <w:p w14:paraId="22ED86E6"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tcBorders>
              <w:top w:val="nil"/>
              <w:left w:val="nil"/>
              <w:bottom w:val="single" w:sz="4" w:space="0" w:color="auto"/>
              <w:right w:val="single" w:sz="4" w:space="0" w:color="5B6770"/>
            </w:tcBorders>
            <w:shd w:val="clear" w:color="auto" w:fill="auto"/>
            <w:vAlign w:val="center"/>
            <w:hideMark/>
          </w:tcPr>
          <w:p w14:paraId="0D5CE5D9"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8" w:type="dxa"/>
            <w:gridSpan w:val="3"/>
            <w:tcBorders>
              <w:top w:val="nil"/>
              <w:left w:val="nil"/>
              <w:bottom w:val="single" w:sz="4" w:space="0" w:color="auto"/>
              <w:right w:val="single" w:sz="4" w:space="0" w:color="5B6770"/>
            </w:tcBorders>
            <w:shd w:val="clear" w:color="auto" w:fill="auto"/>
            <w:vAlign w:val="center"/>
            <w:hideMark/>
          </w:tcPr>
          <w:p w14:paraId="3FEA6377"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auto" w:fill="auto"/>
            <w:vAlign w:val="center"/>
            <w:hideMark/>
          </w:tcPr>
          <w:p w14:paraId="1DF69776"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auto" w:fill="auto"/>
            <w:vAlign w:val="center"/>
            <w:hideMark/>
          </w:tcPr>
          <w:p w14:paraId="181D4B6F"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8" w:type="dxa"/>
            <w:gridSpan w:val="2"/>
            <w:tcBorders>
              <w:top w:val="nil"/>
              <w:left w:val="nil"/>
              <w:bottom w:val="single" w:sz="4" w:space="0" w:color="auto"/>
              <w:right w:val="single" w:sz="4" w:space="0" w:color="5B6770"/>
            </w:tcBorders>
            <w:shd w:val="clear" w:color="000000" w:fill="BBE6FF"/>
            <w:vAlign w:val="center"/>
            <w:hideMark/>
          </w:tcPr>
          <w:p w14:paraId="36E39254"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53717269"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423F1470"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8" w:type="dxa"/>
            <w:gridSpan w:val="2"/>
            <w:tcBorders>
              <w:top w:val="nil"/>
              <w:left w:val="nil"/>
              <w:bottom w:val="single" w:sz="4" w:space="0" w:color="auto"/>
              <w:right w:val="single" w:sz="4" w:space="0" w:color="5B6770"/>
            </w:tcBorders>
            <w:shd w:val="clear" w:color="auto" w:fill="auto"/>
            <w:vAlign w:val="center"/>
            <w:hideMark/>
          </w:tcPr>
          <w:p w14:paraId="08FFF4EB"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auto" w:fill="auto"/>
            <w:vAlign w:val="center"/>
            <w:hideMark/>
          </w:tcPr>
          <w:p w14:paraId="5E6381E2"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auto"/>
            </w:tcBorders>
            <w:shd w:val="clear" w:color="auto" w:fill="auto"/>
            <w:vAlign w:val="center"/>
            <w:hideMark/>
          </w:tcPr>
          <w:p w14:paraId="2A7AA2E1"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r>
      <w:tr w:rsidR="0007737A" w:rsidRPr="00255078" w14:paraId="1BCDF280" w14:textId="77777777" w:rsidTr="0007737A">
        <w:trPr>
          <w:gridAfter w:val="1"/>
          <w:wAfter w:w="8" w:type="dxa"/>
          <w:trHeight w:val="570"/>
        </w:trPr>
        <w:tc>
          <w:tcPr>
            <w:tcW w:w="44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015AC3"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Task 4 – Prepare Final Report</w:t>
            </w:r>
          </w:p>
        </w:tc>
        <w:tc>
          <w:tcPr>
            <w:tcW w:w="528" w:type="dxa"/>
            <w:tcBorders>
              <w:top w:val="nil"/>
              <w:left w:val="nil"/>
              <w:bottom w:val="single" w:sz="4" w:space="0" w:color="auto"/>
              <w:right w:val="single" w:sz="4" w:space="0" w:color="5B6770"/>
            </w:tcBorders>
            <w:shd w:val="clear" w:color="auto" w:fill="auto"/>
            <w:vAlign w:val="center"/>
            <w:hideMark/>
          </w:tcPr>
          <w:p w14:paraId="6303B205"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 </w:t>
            </w:r>
          </w:p>
        </w:tc>
        <w:tc>
          <w:tcPr>
            <w:tcW w:w="529" w:type="dxa"/>
            <w:tcBorders>
              <w:top w:val="nil"/>
              <w:left w:val="nil"/>
              <w:bottom w:val="single" w:sz="4" w:space="0" w:color="auto"/>
              <w:right w:val="single" w:sz="4" w:space="0" w:color="5B6770"/>
            </w:tcBorders>
            <w:shd w:val="clear" w:color="auto" w:fill="auto"/>
            <w:vAlign w:val="center"/>
            <w:hideMark/>
          </w:tcPr>
          <w:p w14:paraId="1FD15916"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 </w:t>
            </w:r>
          </w:p>
        </w:tc>
        <w:tc>
          <w:tcPr>
            <w:tcW w:w="528" w:type="dxa"/>
            <w:gridSpan w:val="3"/>
            <w:tcBorders>
              <w:top w:val="nil"/>
              <w:left w:val="nil"/>
              <w:bottom w:val="single" w:sz="4" w:space="0" w:color="auto"/>
              <w:right w:val="single" w:sz="4" w:space="0" w:color="5B6770"/>
            </w:tcBorders>
            <w:shd w:val="clear" w:color="auto" w:fill="auto"/>
            <w:vAlign w:val="center"/>
            <w:hideMark/>
          </w:tcPr>
          <w:p w14:paraId="3D5370B7"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auto" w:fill="auto"/>
            <w:vAlign w:val="center"/>
            <w:hideMark/>
          </w:tcPr>
          <w:p w14:paraId="45180082"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auto" w:fill="auto"/>
            <w:vAlign w:val="center"/>
            <w:hideMark/>
          </w:tcPr>
          <w:p w14:paraId="44D867DF"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 </w:t>
            </w:r>
          </w:p>
        </w:tc>
        <w:tc>
          <w:tcPr>
            <w:tcW w:w="528" w:type="dxa"/>
            <w:gridSpan w:val="2"/>
            <w:tcBorders>
              <w:top w:val="nil"/>
              <w:left w:val="nil"/>
              <w:bottom w:val="single" w:sz="4" w:space="0" w:color="auto"/>
              <w:right w:val="single" w:sz="4" w:space="0" w:color="5B6770"/>
            </w:tcBorders>
            <w:shd w:val="clear" w:color="auto" w:fill="auto"/>
            <w:vAlign w:val="center"/>
            <w:hideMark/>
          </w:tcPr>
          <w:p w14:paraId="3D15BE63"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auto" w:fill="auto"/>
            <w:vAlign w:val="center"/>
            <w:hideMark/>
          </w:tcPr>
          <w:p w14:paraId="0635B6C8"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55B1CFD3"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D</w:t>
            </w:r>
          </w:p>
        </w:tc>
        <w:tc>
          <w:tcPr>
            <w:tcW w:w="528" w:type="dxa"/>
            <w:gridSpan w:val="2"/>
            <w:tcBorders>
              <w:top w:val="nil"/>
              <w:left w:val="nil"/>
              <w:bottom w:val="single" w:sz="4" w:space="0" w:color="auto"/>
              <w:right w:val="single" w:sz="4" w:space="0" w:color="5B6770"/>
            </w:tcBorders>
            <w:shd w:val="clear" w:color="000000" w:fill="BBE6FF"/>
            <w:vAlign w:val="center"/>
            <w:hideMark/>
          </w:tcPr>
          <w:p w14:paraId="217EC232"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 </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16ECCB43"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F</w:t>
            </w:r>
          </w:p>
        </w:tc>
        <w:tc>
          <w:tcPr>
            <w:tcW w:w="529" w:type="dxa"/>
            <w:gridSpan w:val="2"/>
            <w:tcBorders>
              <w:top w:val="nil"/>
              <w:left w:val="nil"/>
              <w:bottom w:val="single" w:sz="4" w:space="0" w:color="auto"/>
              <w:right w:val="single" w:sz="4" w:space="0" w:color="auto"/>
            </w:tcBorders>
            <w:shd w:val="clear" w:color="auto" w:fill="auto"/>
            <w:vAlign w:val="center"/>
            <w:hideMark/>
          </w:tcPr>
          <w:p w14:paraId="153E8DAD"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 </w:t>
            </w:r>
          </w:p>
        </w:tc>
      </w:tr>
      <w:tr w:rsidR="0007737A" w:rsidRPr="00255078" w14:paraId="6BD88A12" w14:textId="77777777" w:rsidTr="0007737A">
        <w:trPr>
          <w:gridAfter w:val="1"/>
          <w:wAfter w:w="8" w:type="dxa"/>
          <w:trHeight w:val="570"/>
        </w:trPr>
        <w:tc>
          <w:tcPr>
            <w:tcW w:w="44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DCEB5F"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Task 5 – Task Force Workshops and Project Management</w:t>
            </w:r>
          </w:p>
        </w:tc>
        <w:tc>
          <w:tcPr>
            <w:tcW w:w="528" w:type="dxa"/>
            <w:tcBorders>
              <w:top w:val="nil"/>
              <w:left w:val="nil"/>
              <w:bottom w:val="single" w:sz="4" w:space="0" w:color="auto"/>
              <w:right w:val="single" w:sz="4" w:space="0" w:color="5B6770"/>
            </w:tcBorders>
            <w:shd w:val="clear" w:color="000000" w:fill="BBE6FF"/>
            <w:vAlign w:val="center"/>
            <w:hideMark/>
          </w:tcPr>
          <w:p w14:paraId="243E714E"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9" w:type="dxa"/>
            <w:tcBorders>
              <w:top w:val="nil"/>
              <w:left w:val="nil"/>
              <w:bottom w:val="single" w:sz="4" w:space="0" w:color="auto"/>
              <w:right w:val="single" w:sz="4" w:space="0" w:color="5B6770"/>
            </w:tcBorders>
            <w:shd w:val="clear" w:color="000000" w:fill="BBE6FF"/>
            <w:vAlign w:val="center"/>
            <w:hideMark/>
          </w:tcPr>
          <w:p w14:paraId="0A8D965B"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8" w:type="dxa"/>
            <w:gridSpan w:val="3"/>
            <w:tcBorders>
              <w:top w:val="nil"/>
              <w:left w:val="nil"/>
              <w:bottom w:val="single" w:sz="4" w:space="0" w:color="auto"/>
              <w:right w:val="single" w:sz="4" w:space="0" w:color="5B6770"/>
            </w:tcBorders>
            <w:shd w:val="clear" w:color="000000" w:fill="BBE6FF"/>
            <w:vAlign w:val="center"/>
            <w:hideMark/>
          </w:tcPr>
          <w:p w14:paraId="74CDCC70"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1628EB69"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3ADBE566"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8" w:type="dxa"/>
            <w:gridSpan w:val="2"/>
            <w:tcBorders>
              <w:top w:val="nil"/>
              <w:left w:val="nil"/>
              <w:bottom w:val="single" w:sz="4" w:space="0" w:color="auto"/>
              <w:right w:val="single" w:sz="4" w:space="0" w:color="5B6770"/>
            </w:tcBorders>
            <w:shd w:val="clear" w:color="000000" w:fill="BBE6FF"/>
            <w:vAlign w:val="center"/>
            <w:hideMark/>
          </w:tcPr>
          <w:p w14:paraId="20FC541F"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0B33E97B"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6190BA58"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8" w:type="dxa"/>
            <w:gridSpan w:val="2"/>
            <w:tcBorders>
              <w:top w:val="nil"/>
              <w:left w:val="nil"/>
              <w:bottom w:val="single" w:sz="4" w:space="0" w:color="auto"/>
              <w:right w:val="single" w:sz="4" w:space="0" w:color="5B6770"/>
            </w:tcBorders>
            <w:shd w:val="clear" w:color="000000" w:fill="BBE6FF"/>
            <w:vAlign w:val="center"/>
            <w:hideMark/>
          </w:tcPr>
          <w:p w14:paraId="0849B7AF"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9" w:type="dxa"/>
            <w:gridSpan w:val="2"/>
            <w:tcBorders>
              <w:top w:val="nil"/>
              <w:left w:val="nil"/>
              <w:bottom w:val="single" w:sz="4" w:space="0" w:color="auto"/>
              <w:right w:val="single" w:sz="4" w:space="0" w:color="5B6770"/>
            </w:tcBorders>
            <w:shd w:val="clear" w:color="000000" w:fill="BBE6FF"/>
            <w:vAlign w:val="center"/>
            <w:hideMark/>
          </w:tcPr>
          <w:p w14:paraId="0F1875C4"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w:t>
            </w:r>
          </w:p>
        </w:tc>
        <w:tc>
          <w:tcPr>
            <w:tcW w:w="529" w:type="dxa"/>
            <w:gridSpan w:val="2"/>
            <w:tcBorders>
              <w:top w:val="nil"/>
              <w:left w:val="nil"/>
              <w:bottom w:val="single" w:sz="4" w:space="0" w:color="auto"/>
              <w:right w:val="single" w:sz="4" w:space="0" w:color="auto"/>
            </w:tcBorders>
            <w:shd w:val="clear" w:color="000000" w:fill="BBE6FF"/>
            <w:vAlign w:val="center"/>
            <w:hideMark/>
          </w:tcPr>
          <w:p w14:paraId="386A94BB" w14:textId="77777777" w:rsidR="0007737A" w:rsidRPr="00255078" w:rsidRDefault="0007737A" w:rsidP="0007737A">
            <w:pPr>
              <w:spacing w:after="0"/>
              <w:jc w:val="center"/>
              <w:rPr>
                <w:rFonts w:ascii="Calibri" w:hAnsi="Calibri" w:cs="Calibri"/>
                <w:color w:val="000000"/>
                <w:sz w:val="20"/>
              </w:rPr>
            </w:pPr>
            <w:r w:rsidRPr="00255078">
              <w:rPr>
                <w:rFonts w:ascii="Calibri" w:hAnsi="Calibri" w:cs="Calibri"/>
                <w:color w:val="000000"/>
                <w:sz w:val="20"/>
              </w:rPr>
              <w:t>*</w:t>
            </w:r>
          </w:p>
        </w:tc>
      </w:tr>
      <w:tr w:rsidR="0007737A" w:rsidRPr="00255078" w14:paraId="001B8393" w14:textId="77777777" w:rsidTr="0007737A">
        <w:trPr>
          <w:gridAfter w:val="1"/>
          <w:wAfter w:w="8" w:type="dxa"/>
          <w:trHeight w:val="169"/>
        </w:trPr>
        <w:tc>
          <w:tcPr>
            <w:tcW w:w="508" w:type="dxa"/>
            <w:tcBorders>
              <w:top w:val="nil"/>
              <w:left w:val="single" w:sz="4" w:space="0" w:color="auto"/>
              <w:bottom w:val="nil"/>
              <w:right w:val="nil"/>
            </w:tcBorders>
            <w:shd w:val="clear" w:color="auto" w:fill="auto"/>
            <w:noWrap/>
            <w:hideMark/>
          </w:tcPr>
          <w:p w14:paraId="6D35C0F5"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3897" w:type="dxa"/>
            <w:tcBorders>
              <w:top w:val="nil"/>
              <w:left w:val="nil"/>
              <w:bottom w:val="nil"/>
              <w:right w:val="nil"/>
            </w:tcBorders>
            <w:shd w:val="clear" w:color="auto" w:fill="auto"/>
            <w:noWrap/>
            <w:hideMark/>
          </w:tcPr>
          <w:p w14:paraId="423870EA"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1080" w:type="dxa"/>
            <w:gridSpan w:val="3"/>
            <w:tcBorders>
              <w:top w:val="nil"/>
              <w:left w:val="nil"/>
              <w:bottom w:val="nil"/>
              <w:right w:val="nil"/>
            </w:tcBorders>
            <w:shd w:val="clear" w:color="auto" w:fill="auto"/>
            <w:noWrap/>
            <w:vAlign w:val="bottom"/>
            <w:hideMark/>
          </w:tcPr>
          <w:p w14:paraId="0A5088DE"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3" w:type="dxa"/>
            <w:tcBorders>
              <w:top w:val="nil"/>
              <w:left w:val="nil"/>
              <w:bottom w:val="nil"/>
              <w:right w:val="nil"/>
            </w:tcBorders>
            <w:shd w:val="clear" w:color="auto" w:fill="auto"/>
            <w:noWrap/>
            <w:vAlign w:val="bottom"/>
            <w:hideMark/>
          </w:tcPr>
          <w:p w14:paraId="4E9F678B"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3" w:type="dxa"/>
            <w:gridSpan w:val="2"/>
            <w:tcBorders>
              <w:top w:val="nil"/>
              <w:left w:val="nil"/>
              <w:bottom w:val="nil"/>
              <w:right w:val="nil"/>
            </w:tcBorders>
            <w:shd w:val="clear" w:color="auto" w:fill="auto"/>
            <w:noWrap/>
            <w:vAlign w:val="bottom"/>
            <w:hideMark/>
          </w:tcPr>
          <w:p w14:paraId="5454107E"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3" w:type="dxa"/>
            <w:gridSpan w:val="2"/>
            <w:tcBorders>
              <w:top w:val="nil"/>
              <w:left w:val="nil"/>
              <w:bottom w:val="nil"/>
              <w:right w:val="nil"/>
            </w:tcBorders>
            <w:shd w:val="clear" w:color="auto" w:fill="auto"/>
            <w:noWrap/>
            <w:vAlign w:val="bottom"/>
            <w:hideMark/>
          </w:tcPr>
          <w:p w14:paraId="3809992D"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3" w:type="dxa"/>
            <w:gridSpan w:val="2"/>
            <w:tcBorders>
              <w:top w:val="nil"/>
              <w:left w:val="nil"/>
              <w:bottom w:val="nil"/>
              <w:right w:val="nil"/>
            </w:tcBorders>
            <w:shd w:val="clear" w:color="auto" w:fill="auto"/>
            <w:noWrap/>
            <w:vAlign w:val="bottom"/>
            <w:hideMark/>
          </w:tcPr>
          <w:p w14:paraId="6346204C"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3" w:type="dxa"/>
            <w:gridSpan w:val="2"/>
            <w:tcBorders>
              <w:top w:val="nil"/>
              <w:left w:val="nil"/>
              <w:bottom w:val="nil"/>
              <w:right w:val="nil"/>
            </w:tcBorders>
            <w:shd w:val="clear" w:color="auto" w:fill="auto"/>
            <w:noWrap/>
            <w:vAlign w:val="bottom"/>
            <w:hideMark/>
          </w:tcPr>
          <w:p w14:paraId="1451F25B"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3" w:type="dxa"/>
            <w:gridSpan w:val="2"/>
            <w:tcBorders>
              <w:top w:val="nil"/>
              <w:left w:val="nil"/>
              <w:bottom w:val="nil"/>
              <w:right w:val="nil"/>
            </w:tcBorders>
            <w:shd w:val="clear" w:color="auto" w:fill="auto"/>
            <w:noWrap/>
            <w:vAlign w:val="bottom"/>
            <w:hideMark/>
          </w:tcPr>
          <w:p w14:paraId="26CB525E"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3" w:type="dxa"/>
            <w:gridSpan w:val="2"/>
            <w:tcBorders>
              <w:top w:val="nil"/>
              <w:left w:val="nil"/>
              <w:bottom w:val="nil"/>
              <w:right w:val="nil"/>
            </w:tcBorders>
            <w:shd w:val="clear" w:color="auto" w:fill="auto"/>
            <w:noWrap/>
            <w:vAlign w:val="bottom"/>
            <w:hideMark/>
          </w:tcPr>
          <w:p w14:paraId="6123BAA9"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3" w:type="dxa"/>
            <w:gridSpan w:val="2"/>
            <w:tcBorders>
              <w:top w:val="nil"/>
              <w:left w:val="nil"/>
              <w:bottom w:val="nil"/>
              <w:right w:val="nil"/>
            </w:tcBorders>
            <w:shd w:val="clear" w:color="auto" w:fill="auto"/>
            <w:noWrap/>
            <w:vAlign w:val="bottom"/>
            <w:hideMark/>
          </w:tcPr>
          <w:p w14:paraId="32BCCF6B"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3" w:type="dxa"/>
            <w:gridSpan w:val="2"/>
            <w:tcBorders>
              <w:top w:val="nil"/>
              <w:left w:val="nil"/>
              <w:bottom w:val="nil"/>
              <w:right w:val="nil"/>
            </w:tcBorders>
            <w:shd w:val="clear" w:color="auto" w:fill="auto"/>
            <w:noWrap/>
            <w:vAlign w:val="bottom"/>
            <w:hideMark/>
          </w:tcPr>
          <w:p w14:paraId="106E168A"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c>
          <w:tcPr>
            <w:tcW w:w="478" w:type="dxa"/>
            <w:tcBorders>
              <w:top w:val="nil"/>
              <w:left w:val="nil"/>
              <w:bottom w:val="nil"/>
              <w:right w:val="single" w:sz="4" w:space="0" w:color="auto"/>
            </w:tcBorders>
            <w:shd w:val="clear" w:color="auto" w:fill="auto"/>
            <w:noWrap/>
            <w:vAlign w:val="bottom"/>
            <w:hideMark/>
          </w:tcPr>
          <w:p w14:paraId="6A63575D"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r>
      <w:tr w:rsidR="0007737A" w:rsidRPr="00255078" w14:paraId="56168312" w14:textId="77777777" w:rsidTr="0007737A">
        <w:trPr>
          <w:gridAfter w:val="1"/>
          <w:wAfter w:w="8" w:type="dxa"/>
          <w:trHeight w:val="300"/>
        </w:trPr>
        <w:tc>
          <w:tcPr>
            <w:tcW w:w="4405" w:type="dxa"/>
            <w:gridSpan w:val="2"/>
            <w:tcBorders>
              <w:top w:val="nil"/>
              <w:left w:val="single" w:sz="4" w:space="0" w:color="auto"/>
              <w:bottom w:val="nil"/>
              <w:right w:val="nil"/>
            </w:tcBorders>
            <w:shd w:val="clear" w:color="auto" w:fill="auto"/>
            <w:noWrap/>
            <w:hideMark/>
          </w:tcPr>
          <w:p w14:paraId="3A934A63" w14:textId="77777777" w:rsidR="0007737A" w:rsidRPr="00255078" w:rsidRDefault="0007737A" w:rsidP="0007737A">
            <w:pPr>
              <w:spacing w:after="0"/>
              <w:jc w:val="left"/>
              <w:rPr>
                <w:rFonts w:ascii="Calibri" w:hAnsi="Calibri" w:cs="Calibri"/>
                <w:i/>
                <w:iCs/>
                <w:color w:val="000000"/>
                <w:sz w:val="20"/>
              </w:rPr>
            </w:pPr>
            <w:r w:rsidRPr="00255078">
              <w:rPr>
                <w:rFonts w:ascii="Calibri" w:hAnsi="Calibri" w:cs="Calibri"/>
                <w:i/>
                <w:iCs/>
                <w:color w:val="000000"/>
                <w:sz w:val="20"/>
              </w:rPr>
              <w:t>Notes:</w:t>
            </w:r>
          </w:p>
        </w:tc>
        <w:tc>
          <w:tcPr>
            <w:tcW w:w="1080" w:type="dxa"/>
            <w:gridSpan w:val="3"/>
            <w:tcBorders>
              <w:top w:val="nil"/>
              <w:left w:val="nil"/>
              <w:bottom w:val="nil"/>
              <w:right w:val="nil"/>
            </w:tcBorders>
            <w:shd w:val="clear" w:color="auto" w:fill="auto"/>
            <w:noWrap/>
            <w:vAlign w:val="bottom"/>
            <w:hideMark/>
          </w:tcPr>
          <w:p w14:paraId="3F998358" w14:textId="77777777" w:rsidR="0007737A" w:rsidRPr="00255078" w:rsidRDefault="0007737A" w:rsidP="0007737A">
            <w:pPr>
              <w:spacing w:after="0"/>
              <w:jc w:val="left"/>
              <w:rPr>
                <w:rFonts w:ascii="Calibri" w:hAnsi="Calibri" w:cs="Calibri"/>
                <w:i/>
                <w:iCs/>
                <w:color w:val="000000"/>
                <w:sz w:val="20"/>
              </w:rPr>
            </w:pPr>
          </w:p>
        </w:tc>
        <w:tc>
          <w:tcPr>
            <w:tcW w:w="473" w:type="dxa"/>
            <w:tcBorders>
              <w:top w:val="nil"/>
              <w:left w:val="nil"/>
              <w:bottom w:val="nil"/>
              <w:right w:val="nil"/>
            </w:tcBorders>
            <w:shd w:val="clear" w:color="auto" w:fill="auto"/>
            <w:noWrap/>
            <w:vAlign w:val="bottom"/>
            <w:hideMark/>
          </w:tcPr>
          <w:p w14:paraId="7F50A4DA"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53D12FE3"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1B26F880"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41180298"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51284E9E"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125CF598"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134674CE"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10FBB93D"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23FE07B1" w14:textId="77777777" w:rsidR="0007737A" w:rsidRPr="00255078" w:rsidRDefault="0007737A" w:rsidP="0007737A">
            <w:pPr>
              <w:spacing w:after="0"/>
              <w:jc w:val="left"/>
              <w:rPr>
                <w:rFonts w:ascii="Times New Roman" w:hAnsi="Times New Roman"/>
                <w:sz w:val="20"/>
              </w:rPr>
            </w:pPr>
          </w:p>
        </w:tc>
        <w:tc>
          <w:tcPr>
            <w:tcW w:w="478" w:type="dxa"/>
            <w:tcBorders>
              <w:top w:val="nil"/>
              <w:left w:val="nil"/>
              <w:bottom w:val="nil"/>
              <w:right w:val="single" w:sz="4" w:space="0" w:color="auto"/>
            </w:tcBorders>
            <w:shd w:val="clear" w:color="auto" w:fill="auto"/>
            <w:noWrap/>
            <w:vAlign w:val="bottom"/>
            <w:hideMark/>
          </w:tcPr>
          <w:p w14:paraId="6379E36C"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r>
      <w:tr w:rsidR="0007737A" w:rsidRPr="00255078" w14:paraId="5D913EA7" w14:textId="77777777" w:rsidTr="0007737A">
        <w:trPr>
          <w:gridAfter w:val="1"/>
          <w:wAfter w:w="8" w:type="dxa"/>
          <w:trHeight w:val="300"/>
        </w:trPr>
        <w:tc>
          <w:tcPr>
            <w:tcW w:w="4405" w:type="dxa"/>
            <w:gridSpan w:val="2"/>
            <w:tcBorders>
              <w:top w:val="nil"/>
              <w:left w:val="single" w:sz="4" w:space="0" w:color="auto"/>
              <w:bottom w:val="nil"/>
              <w:right w:val="nil"/>
            </w:tcBorders>
            <w:shd w:val="clear" w:color="auto" w:fill="auto"/>
            <w:noWrap/>
            <w:hideMark/>
          </w:tcPr>
          <w:p w14:paraId="38AF2567" w14:textId="77886DA4" w:rsidR="0007737A" w:rsidRPr="00255078" w:rsidRDefault="0007737A" w:rsidP="0007737A">
            <w:pPr>
              <w:spacing w:after="0"/>
              <w:jc w:val="left"/>
              <w:rPr>
                <w:rFonts w:ascii="Calibri" w:hAnsi="Calibri" w:cs="Calibri"/>
                <w:i/>
                <w:iCs/>
                <w:color w:val="000000"/>
                <w:sz w:val="20"/>
              </w:rPr>
            </w:pPr>
            <w:r>
              <w:rPr>
                <w:rFonts w:ascii="Calibri" w:hAnsi="Calibri" w:cs="Calibri"/>
                <w:i/>
                <w:iCs/>
                <w:color w:val="000000"/>
                <w:sz w:val="20"/>
              </w:rPr>
              <w:t xml:space="preserve">   </w:t>
            </w:r>
            <w:r w:rsidRPr="00255078">
              <w:rPr>
                <w:rFonts w:ascii="Calibri" w:hAnsi="Calibri" w:cs="Calibri"/>
                <w:i/>
                <w:iCs/>
                <w:color w:val="000000"/>
                <w:sz w:val="20"/>
              </w:rPr>
              <w:t>D = Draft Report</w:t>
            </w:r>
          </w:p>
        </w:tc>
        <w:tc>
          <w:tcPr>
            <w:tcW w:w="1080" w:type="dxa"/>
            <w:gridSpan w:val="3"/>
            <w:tcBorders>
              <w:top w:val="nil"/>
              <w:left w:val="nil"/>
              <w:bottom w:val="nil"/>
              <w:right w:val="nil"/>
            </w:tcBorders>
            <w:shd w:val="clear" w:color="auto" w:fill="auto"/>
            <w:noWrap/>
            <w:vAlign w:val="bottom"/>
            <w:hideMark/>
          </w:tcPr>
          <w:p w14:paraId="323AAE6B" w14:textId="77777777" w:rsidR="0007737A" w:rsidRPr="00255078" w:rsidRDefault="0007737A" w:rsidP="0007737A">
            <w:pPr>
              <w:spacing w:after="0"/>
              <w:jc w:val="left"/>
              <w:rPr>
                <w:rFonts w:ascii="Calibri" w:hAnsi="Calibri" w:cs="Calibri"/>
                <w:i/>
                <w:iCs/>
                <w:color w:val="000000"/>
                <w:sz w:val="20"/>
              </w:rPr>
            </w:pPr>
          </w:p>
        </w:tc>
        <w:tc>
          <w:tcPr>
            <w:tcW w:w="473" w:type="dxa"/>
            <w:tcBorders>
              <w:top w:val="nil"/>
              <w:left w:val="nil"/>
              <w:bottom w:val="nil"/>
              <w:right w:val="nil"/>
            </w:tcBorders>
            <w:shd w:val="clear" w:color="auto" w:fill="auto"/>
            <w:noWrap/>
            <w:vAlign w:val="bottom"/>
            <w:hideMark/>
          </w:tcPr>
          <w:p w14:paraId="10421C16"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533C29F8"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4622EEDA"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45320048"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2A4190E4"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3060404A"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778F18F7"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47BDC3E0"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561043DD" w14:textId="77777777" w:rsidR="0007737A" w:rsidRPr="00255078" w:rsidRDefault="0007737A" w:rsidP="0007737A">
            <w:pPr>
              <w:spacing w:after="0"/>
              <w:jc w:val="left"/>
              <w:rPr>
                <w:rFonts w:ascii="Times New Roman" w:hAnsi="Times New Roman"/>
                <w:sz w:val="20"/>
              </w:rPr>
            </w:pPr>
          </w:p>
        </w:tc>
        <w:tc>
          <w:tcPr>
            <w:tcW w:w="478" w:type="dxa"/>
            <w:tcBorders>
              <w:top w:val="nil"/>
              <w:left w:val="nil"/>
              <w:bottom w:val="nil"/>
              <w:right w:val="single" w:sz="4" w:space="0" w:color="auto"/>
            </w:tcBorders>
            <w:shd w:val="clear" w:color="auto" w:fill="auto"/>
            <w:noWrap/>
            <w:vAlign w:val="bottom"/>
            <w:hideMark/>
          </w:tcPr>
          <w:p w14:paraId="490846CF"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r>
      <w:tr w:rsidR="0007737A" w:rsidRPr="00255078" w14:paraId="665E580E" w14:textId="77777777" w:rsidTr="0007737A">
        <w:trPr>
          <w:gridAfter w:val="1"/>
          <w:wAfter w:w="8" w:type="dxa"/>
          <w:trHeight w:val="300"/>
        </w:trPr>
        <w:tc>
          <w:tcPr>
            <w:tcW w:w="4405" w:type="dxa"/>
            <w:gridSpan w:val="2"/>
            <w:tcBorders>
              <w:top w:val="nil"/>
              <w:left w:val="single" w:sz="4" w:space="0" w:color="auto"/>
              <w:bottom w:val="nil"/>
              <w:right w:val="nil"/>
            </w:tcBorders>
            <w:shd w:val="clear" w:color="auto" w:fill="auto"/>
            <w:noWrap/>
            <w:hideMark/>
          </w:tcPr>
          <w:p w14:paraId="281D6323" w14:textId="5C850790" w:rsidR="0007737A" w:rsidRPr="00255078" w:rsidRDefault="0007737A" w:rsidP="0007737A">
            <w:pPr>
              <w:spacing w:after="0"/>
              <w:jc w:val="left"/>
              <w:rPr>
                <w:rFonts w:ascii="Calibri" w:hAnsi="Calibri" w:cs="Calibri"/>
                <w:i/>
                <w:iCs/>
                <w:color w:val="000000"/>
                <w:sz w:val="20"/>
              </w:rPr>
            </w:pPr>
            <w:r>
              <w:rPr>
                <w:rFonts w:ascii="Calibri" w:hAnsi="Calibri" w:cs="Calibri"/>
                <w:i/>
                <w:iCs/>
                <w:color w:val="000000"/>
                <w:sz w:val="20"/>
              </w:rPr>
              <w:t xml:space="preserve">   </w:t>
            </w:r>
            <w:r w:rsidRPr="00255078">
              <w:rPr>
                <w:rFonts w:ascii="Calibri" w:hAnsi="Calibri" w:cs="Calibri"/>
                <w:i/>
                <w:iCs/>
                <w:color w:val="000000"/>
                <w:sz w:val="20"/>
              </w:rPr>
              <w:t>F = Final Report</w:t>
            </w:r>
          </w:p>
        </w:tc>
        <w:tc>
          <w:tcPr>
            <w:tcW w:w="1080" w:type="dxa"/>
            <w:gridSpan w:val="3"/>
            <w:tcBorders>
              <w:top w:val="nil"/>
              <w:left w:val="nil"/>
              <w:bottom w:val="nil"/>
              <w:right w:val="nil"/>
            </w:tcBorders>
            <w:shd w:val="clear" w:color="auto" w:fill="auto"/>
            <w:noWrap/>
            <w:vAlign w:val="bottom"/>
            <w:hideMark/>
          </w:tcPr>
          <w:p w14:paraId="0A7100B9" w14:textId="77777777" w:rsidR="0007737A" w:rsidRPr="00255078" w:rsidRDefault="0007737A" w:rsidP="0007737A">
            <w:pPr>
              <w:spacing w:after="0"/>
              <w:jc w:val="left"/>
              <w:rPr>
                <w:rFonts w:ascii="Calibri" w:hAnsi="Calibri" w:cs="Calibri"/>
                <w:i/>
                <w:iCs/>
                <w:color w:val="000000"/>
                <w:sz w:val="20"/>
              </w:rPr>
            </w:pPr>
          </w:p>
        </w:tc>
        <w:tc>
          <w:tcPr>
            <w:tcW w:w="473" w:type="dxa"/>
            <w:tcBorders>
              <w:top w:val="nil"/>
              <w:left w:val="nil"/>
              <w:bottom w:val="nil"/>
              <w:right w:val="nil"/>
            </w:tcBorders>
            <w:shd w:val="clear" w:color="auto" w:fill="auto"/>
            <w:noWrap/>
            <w:vAlign w:val="bottom"/>
            <w:hideMark/>
          </w:tcPr>
          <w:p w14:paraId="2C3565DE"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1791B304"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4B8D713A"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0C3D9092"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30DFE3FE"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183A4E88"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0FE38748"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26C9A0C3"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202916E2" w14:textId="77777777" w:rsidR="0007737A" w:rsidRPr="00255078" w:rsidRDefault="0007737A" w:rsidP="0007737A">
            <w:pPr>
              <w:spacing w:after="0"/>
              <w:jc w:val="left"/>
              <w:rPr>
                <w:rFonts w:ascii="Times New Roman" w:hAnsi="Times New Roman"/>
                <w:sz w:val="20"/>
              </w:rPr>
            </w:pPr>
          </w:p>
        </w:tc>
        <w:tc>
          <w:tcPr>
            <w:tcW w:w="478" w:type="dxa"/>
            <w:tcBorders>
              <w:top w:val="nil"/>
              <w:left w:val="nil"/>
              <w:bottom w:val="nil"/>
              <w:right w:val="single" w:sz="4" w:space="0" w:color="auto"/>
            </w:tcBorders>
            <w:shd w:val="clear" w:color="auto" w:fill="auto"/>
            <w:noWrap/>
            <w:vAlign w:val="bottom"/>
            <w:hideMark/>
          </w:tcPr>
          <w:p w14:paraId="635F9EDC"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r>
      <w:tr w:rsidR="0007737A" w:rsidRPr="00255078" w14:paraId="5014D361" w14:textId="77777777" w:rsidTr="0007737A">
        <w:trPr>
          <w:gridAfter w:val="1"/>
          <w:wAfter w:w="8" w:type="dxa"/>
          <w:trHeight w:val="300"/>
        </w:trPr>
        <w:tc>
          <w:tcPr>
            <w:tcW w:w="4405" w:type="dxa"/>
            <w:gridSpan w:val="2"/>
            <w:tcBorders>
              <w:top w:val="nil"/>
              <w:left w:val="single" w:sz="4" w:space="0" w:color="auto"/>
              <w:bottom w:val="nil"/>
              <w:right w:val="nil"/>
            </w:tcBorders>
            <w:shd w:val="clear" w:color="auto" w:fill="auto"/>
            <w:noWrap/>
            <w:hideMark/>
          </w:tcPr>
          <w:p w14:paraId="4C64EDC6" w14:textId="3F1E23F6" w:rsidR="0007737A" w:rsidRPr="00255078" w:rsidRDefault="0007737A" w:rsidP="0007737A">
            <w:pPr>
              <w:spacing w:after="0"/>
              <w:jc w:val="left"/>
              <w:rPr>
                <w:rFonts w:ascii="Calibri" w:hAnsi="Calibri" w:cs="Calibri"/>
                <w:i/>
                <w:iCs/>
                <w:color w:val="000000"/>
                <w:sz w:val="20"/>
              </w:rPr>
            </w:pPr>
            <w:r>
              <w:rPr>
                <w:rFonts w:ascii="Calibri" w:hAnsi="Calibri" w:cs="Calibri"/>
                <w:i/>
                <w:iCs/>
                <w:color w:val="000000"/>
                <w:sz w:val="20"/>
              </w:rPr>
              <w:t xml:space="preserve">   </w:t>
            </w:r>
            <w:r w:rsidRPr="00255078">
              <w:rPr>
                <w:rFonts w:ascii="Calibri" w:hAnsi="Calibri" w:cs="Calibri"/>
                <w:i/>
                <w:iCs/>
                <w:color w:val="000000"/>
                <w:sz w:val="20"/>
              </w:rPr>
              <w:t xml:space="preserve">W = </w:t>
            </w:r>
            <w:r>
              <w:rPr>
                <w:rFonts w:ascii="Calibri" w:hAnsi="Calibri" w:cs="Calibri"/>
                <w:i/>
                <w:iCs/>
                <w:color w:val="000000"/>
                <w:sz w:val="20"/>
              </w:rPr>
              <w:t xml:space="preserve">Task Force </w:t>
            </w:r>
            <w:r w:rsidRPr="00255078">
              <w:rPr>
                <w:rFonts w:ascii="Calibri" w:hAnsi="Calibri" w:cs="Calibri"/>
                <w:i/>
                <w:iCs/>
                <w:color w:val="000000"/>
                <w:sz w:val="20"/>
              </w:rPr>
              <w:t>Workshop</w:t>
            </w:r>
          </w:p>
        </w:tc>
        <w:tc>
          <w:tcPr>
            <w:tcW w:w="1080" w:type="dxa"/>
            <w:gridSpan w:val="3"/>
            <w:tcBorders>
              <w:top w:val="nil"/>
              <w:left w:val="nil"/>
              <w:bottom w:val="nil"/>
              <w:right w:val="nil"/>
            </w:tcBorders>
            <w:shd w:val="clear" w:color="auto" w:fill="auto"/>
            <w:noWrap/>
            <w:vAlign w:val="bottom"/>
            <w:hideMark/>
          </w:tcPr>
          <w:p w14:paraId="570292DB" w14:textId="77777777" w:rsidR="0007737A" w:rsidRPr="00255078" w:rsidRDefault="0007737A" w:rsidP="0007737A">
            <w:pPr>
              <w:spacing w:after="0"/>
              <w:jc w:val="left"/>
              <w:rPr>
                <w:rFonts w:ascii="Calibri" w:hAnsi="Calibri" w:cs="Calibri"/>
                <w:i/>
                <w:iCs/>
                <w:color w:val="000000"/>
                <w:sz w:val="20"/>
              </w:rPr>
            </w:pPr>
          </w:p>
        </w:tc>
        <w:tc>
          <w:tcPr>
            <w:tcW w:w="473" w:type="dxa"/>
            <w:tcBorders>
              <w:top w:val="nil"/>
              <w:left w:val="nil"/>
              <w:bottom w:val="nil"/>
              <w:right w:val="nil"/>
            </w:tcBorders>
            <w:shd w:val="clear" w:color="auto" w:fill="auto"/>
            <w:noWrap/>
            <w:vAlign w:val="bottom"/>
            <w:hideMark/>
          </w:tcPr>
          <w:p w14:paraId="18C8B1CE"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6659E1EF"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213D6D36"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4C936CDC"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4EC40F42"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528A40ED"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1CE997CC"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48711C77" w14:textId="77777777" w:rsidR="0007737A" w:rsidRPr="00255078" w:rsidRDefault="0007737A" w:rsidP="0007737A">
            <w:pPr>
              <w:spacing w:after="0"/>
              <w:jc w:val="left"/>
              <w:rPr>
                <w:rFonts w:ascii="Times New Roman" w:hAnsi="Times New Roman"/>
                <w:sz w:val="20"/>
              </w:rPr>
            </w:pPr>
          </w:p>
        </w:tc>
        <w:tc>
          <w:tcPr>
            <w:tcW w:w="473" w:type="dxa"/>
            <w:gridSpan w:val="2"/>
            <w:tcBorders>
              <w:top w:val="nil"/>
              <w:left w:val="nil"/>
              <w:bottom w:val="nil"/>
              <w:right w:val="nil"/>
            </w:tcBorders>
            <w:shd w:val="clear" w:color="auto" w:fill="auto"/>
            <w:noWrap/>
            <w:vAlign w:val="bottom"/>
            <w:hideMark/>
          </w:tcPr>
          <w:p w14:paraId="365DD347" w14:textId="77777777" w:rsidR="0007737A" w:rsidRPr="00255078" w:rsidRDefault="0007737A" w:rsidP="0007737A">
            <w:pPr>
              <w:spacing w:after="0"/>
              <w:jc w:val="left"/>
              <w:rPr>
                <w:rFonts w:ascii="Times New Roman" w:hAnsi="Times New Roman"/>
                <w:sz w:val="20"/>
              </w:rPr>
            </w:pPr>
          </w:p>
        </w:tc>
        <w:tc>
          <w:tcPr>
            <w:tcW w:w="478" w:type="dxa"/>
            <w:tcBorders>
              <w:top w:val="nil"/>
              <w:left w:val="nil"/>
              <w:bottom w:val="nil"/>
              <w:right w:val="single" w:sz="4" w:space="0" w:color="auto"/>
            </w:tcBorders>
            <w:shd w:val="clear" w:color="auto" w:fill="auto"/>
            <w:noWrap/>
            <w:vAlign w:val="bottom"/>
            <w:hideMark/>
          </w:tcPr>
          <w:p w14:paraId="487F20A9" w14:textId="77777777" w:rsidR="0007737A" w:rsidRPr="00255078" w:rsidRDefault="0007737A" w:rsidP="0007737A">
            <w:pPr>
              <w:spacing w:after="0"/>
              <w:jc w:val="left"/>
              <w:rPr>
                <w:rFonts w:ascii="Calibri" w:hAnsi="Calibri" w:cs="Calibri"/>
                <w:color w:val="000000"/>
                <w:sz w:val="20"/>
              </w:rPr>
            </w:pPr>
            <w:r w:rsidRPr="00255078">
              <w:rPr>
                <w:rFonts w:ascii="Calibri" w:hAnsi="Calibri" w:cs="Calibri"/>
                <w:color w:val="000000"/>
                <w:sz w:val="20"/>
              </w:rPr>
              <w:t> </w:t>
            </w:r>
          </w:p>
        </w:tc>
      </w:tr>
      <w:tr w:rsidR="0007737A" w:rsidRPr="00255078" w14:paraId="1A1EF62B" w14:textId="77777777" w:rsidTr="0007737A">
        <w:trPr>
          <w:gridAfter w:val="1"/>
          <w:wAfter w:w="8" w:type="dxa"/>
          <w:trHeight w:val="300"/>
        </w:trPr>
        <w:tc>
          <w:tcPr>
            <w:tcW w:w="4405" w:type="dxa"/>
            <w:gridSpan w:val="2"/>
            <w:tcBorders>
              <w:top w:val="nil"/>
              <w:left w:val="single" w:sz="4" w:space="0" w:color="auto"/>
              <w:bottom w:val="single" w:sz="4" w:space="0" w:color="auto"/>
              <w:right w:val="nil"/>
            </w:tcBorders>
            <w:shd w:val="clear" w:color="auto" w:fill="auto"/>
            <w:noWrap/>
            <w:hideMark/>
          </w:tcPr>
          <w:p w14:paraId="49FDFDDD" w14:textId="6931564E" w:rsidR="0007737A" w:rsidRPr="00255078" w:rsidRDefault="0007737A" w:rsidP="0007737A">
            <w:pPr>
              <w:spacing w:after="0"/>
              <w:jc w:val="left"/>
              <w:rPr>
                <w:rFonts w:ascii="Calibri" w:hAnsi="Calibri" w:cs="Calibri"/>
                <w:i/>
                <w:iCs/>
                <w:sz w:val="20"/>
              </w:rPr>
            </w:pPr>
            <w:r>
              <w:rPr>
                <w:rFonts w:ascii="Calibri" w:hAnsi="Calibri" w:cs="Calibri"/>
                <w:i/>
                <w:iCs/>
                <w:sz w:val="20"/>
              </w:rPr>
              <w:t xml:space="preserve">   </w:t>
            </w:r>
            <w:r w:rsidRPr="00255078">
              <w:rPr>
                <w:rFonts w:ascii="Calibri" w:hAnsi="Calibri" w:cs="Calibri"/>
                <w:i/>
                <w:iCs/>
                <w:sz w:val="20"/>
              </w:rPr>
              <w:t>* Project management only</w:t>
            </w:r>
          </w:p>
        </w:tc>
        <w:tc>
          <w:tcPr>
            <w:tcW w:w="1080" w:type="dxa"/>
            <w:gridSpan w:val="3"/>
            <w:tcBorders>
              <w:top w:val="nil"/>
              <w:left w:val="nil"/>
              <w:bottom w:val="single" w:sz="4" w:space="0" w:color="auto"/>
              <w:right w:val="nil"/>
            </w:tcBorders>
            <w:shd w:val="clear" w:color="auto" w:fill="auto"/>
            <w:noWrap/>
            <w:vAlign w:val="bottom"/>
            <w:hideMark/>
          </w:tcPr>
          <w:p w14:paraId="3000E805"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3" w:type="dxa"/>
            <w:tcBorders>
              <w:top w:val="nil"/>
              <w:left w:val="nil"/>
              <w:bottom w:val="single" w:sz="4" w:space="0" w:color="auto"/>
              <w:right w:val="nil"/>
            </w:tcBorders>
            <w:shd w:val="clear" w:color="auto" w:fill="auto"/>
            <w:noWrap/>
            <w:vAlign w:val="bottom"/>
            <w:hideMark/>
          </w:tcPr>
          <w:p w14:paraId="2DD1CE66"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3" w:type="dxa"/>
            <w:gridSpan w:val="2"/>
            <w:tcBorders>
              <w:top w:val="nil"/>
              <w:left w:val="nil"/>
              <w:bottom w:val="single" w:sz="4" w:space="0" w:color="auto"/>
              <w:right w:val="nil"/>
            </w:tcBorders>
            <w:shd w:val="clear" w:color="auto" w:fill="auto"/>
            <w:noWrap/>
            <w:vAlign w:val="bottom"/>
            <w:hideMark/>
          </w:tcPr>
          <w:p w14:paraId="64E7FCF0"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3" w:type="dxa"/>
            <w:gridSpan w:val="2"/>
            <w:tcBorders>
              <w:top w:val="nil"/>
              <w:left w:val="nil"/>
              <w:bottom w:val="single" w:sz="4" w:space="0" w:color="auto"/>
              <w:right w:val="nil"/>
            </w:tcBorders>
            <w:shd w:val="clear" w:color="auto" w:fill="auto"/>
            <w:noWrap/>
            <w:vAlign w:val="bottom"/>
            <w:hideMark/>
          </w:tcPr>
          <w:p w14:paraId="32DF73E1"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3" w:type="dxa"/>
            <w:gridSpan w:val="2"/>
            <w:tcBorders>
              <w:top w:val="nil"/>
              <w:left w:val="nil"/>
              <w:bottom w:val="single" w:sz="4" w:space="0" w:color="auto"/>
              <w:right w:val="nil"/>
            </w:tcBorders>
            <w:shd w:val="clear" w:color="auto" w:fill="auto"/>
            <w:noWrap/>
            <w:vAlign w:val="bottom"/>
            <w:hideMark/>
          </w:tcPr>
          <w:p w14:paraId="416D5FC5"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3" w:type="dxa"/>
            <w:gridSpan w:val="2"/>
            <w:tcBorders>
              <w:top w:val="nil"/>
              <w:left w:val="nil"/>
              <w:bottom w:val="single" w:sz="4" w:space="0" w:color="auto"/>
              <w:right w:val="nil"/>
            </w:tcBorders>
            <w:shd w:val="clear" w:color="auto" w:fill="auto"/>
            <w:noWrap/>
            <w:vAlign w:val="bottom"/>
            <w:hideMark/>
          </w:tcPr>
          <w:p w14:paraId="1BFFEB06"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3" w:type="dxa"/>
            <w:gridSpan w:val="2"/>
            <w:tcBorders>
              <w:top w:val="nil"/>
              <w:left w:val="nil"/>
              <w:bottom w:val="single" w:sz="4" w:space="0" w:color="auto"/>
              <w:right w:val="nil"/>
            </w:tcBorders>
            <w:shd w:val="clear" w:color="auto" w:fill="auto"/>
            <w:noWrap/>
            <w:vAlign w:val="bottom"/>
            <w:hideMark/>
          </w:tcPr>
          <w:p w14:paraId="43E81295"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3" w:type="dxa"/>
            <w:gridSpan w:val="2"/>
            <w:tcBorders>
              <w:top w:val="nil"/>
              <w:left w:val="nil"/>
              <w:bottom w:val="single" w:sz="4" w:space="0" w:color="auto"/>
              <w:right w:val="nil"/>
            </w:tcBorders>
            <w:shd w:val="clear" w:color="auto" w:fill="auto"/>
            <w:noWrap/>
            <w:vAlign w:val="bottom"/>
            <w:hideMark/>
          </w:tcPr>
          <w:p w14:paraId="391DA9F5"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3" w:type="dxa"/>
            <w:gridSpan w:val="2"/>
            <w:tcBorders>
              <w:top w:val="nil"/>
              <w:left w:val="nil"/>
              <w:bottom w:val="single" w:sz="4" w:space="0" w:color="auto"/>
              <w:right w:val="nil"/>
            </w:tcBorders>
            <w:shd w:val="clear" w:color="auto" w:fill="auto"/>
            <w:noWrap/>
            <w:vAlign w:val="bottom"/>
            <w:hideMark/>
          </w:tcPr>
          <w:p w14:paraId="420DEEF3"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3" w:type="dxa"/>
            <w:gridSpan w:val="2"/>
            <w:tcBorders>
              <w:top w:val="nil"/>
              <w:left w:val="nil"/>
              <w:bottom w:val="single" w:sz="4" w:space="0" w:color="auto"/>
              <w:right w:val="nil"/>
            </w:tcBorders>
            <w:shd w:val="clear" w:color="auto" w:fill="auto"/>
            <w:noWrap/>
            <w:vAlign w:val="bottom"/>
            <w:hideMark/>
          </w:tcPr>
          <w:p w14:paraId="2B94BD0A"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c>
          <w:tcPr>
            <w:tcW w:w="478" w:type="dxa"/>
            <w:tcBorders>
              <w:top w:val="nil"/>
              <w:left w:val="nil"/>
              <w:bottom w:val="single" w:sz="4" w:space="0" w:color="auto"/>
              <w:right w:val="single" w:sz="4" w:space="0" w:color="auto"/>
            </w:tcBorders>
            <w:shd w:val="clear" w:color="auto" w:fill="auto"/>
            <w:noWrap/>
            <w:vAlign w:val="bottom"/>
            <w:hideMark/>
          </w:tcPr>
          <w:p w14:paraId="0424FD88" w14:textId="77777777" w:rsidR="0007737A" w:rsidRPr="00255078" w:rsidRDefault="0007737A" w:rsidP="0007737A">
            <w:pPr>
              <w:spacing w:after="0"/>
              <w:jc w:val="left"/>
              <w:rPr>
                <w:rFonts w:ascii="Calibri" w:hAnsi="Calibri" w:cs="Calibri"/>
                <w:color w:val="000000"/>
                <w:szCs w:val="22"/>
              </w:rPr>
            </w:pPr>
            <w:r w:rsidRPr="00255078">
              <w:rPr>
                <w:rFonts w:ascii="Calibri" w:hAnsi="Calibri" w:cs="Calibri"/>
                <w:color w:val="000000"/>
                <w:szCs w:val="22"/>
              </w:rPr>
              <w:t> </w:t>
            </w:r>
          </w:p>
        </w:tc>
      </w:tr>
    </w:tbl>
    <w:p w14:paraId="119C064D" w14:textId="77777777" w:rsidR="008E550B" w:rsidRPr="00672F6B" w:rsidRDefault="008E550B" w:rsidP="00672F6B"/>
    <w:p w14:paraId="261C0D92" w14:textId="3739F6FE" w:rsidR="00BA328A" w:rsidRDefault="00672F6B" w:rsidP="00BA328A">
      <w:pPr>
        <w:pStyle w:val="Heading2"/>
      </w:pPr>
      <w:bookmarkStart w:id="48" w:name="_Toc117719807"/>
      <w:r>
        <w:t>Budget Level Cost Estimate</w:t>
      </w:r>
      <w:bookmarkEnd w:id="48"/>
    </w:p>
    <w:p w14:paraId="1D416CB0" w14:textId="7C44B49E" w:rsidR="00BA328A" w:rsidRDefault="00435A4B" w:rsidP="00BA328A">
      <w:r>
        <w:t xml:space="preserve">Table </w:t>
      </w:r>
      <w:r w:rsidR="007817C1">
        <w:t>4</w:t>
      </w:r>
      <w:r w:rsidR="0007737A">
        <w:t>-2</w:t>
      </w:r>
      <w:r>
        <w:t xml:space="preserve"> presents a budget-level cost estimate to perform the 2021 AWQ Pilot Study.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Description w:val="Example table"/>
      </w:tblPr>
      <w:tblGrid>
        <w:gridCol w:w="6025"/>
        <w:gridCol w:w="3330"/>
      </w:tblGrid>
      <w:tr w:rsidR="008E550B" w14:paraId="56E60127" w14:textId="77777777" w:rsidTr="008E550B">
        <w:trPr>
          <w:trHeight w:val="570"/>
          <w:tblHeader/>
        </w:trPr>
        <w:tc>
          <w:tcPr>
            <w:tcW w:w="9355" w:type="dxa"/>
            <w:gridSpan w:val="2"/>
            <w:tcBorders>
              <w:bottom w:val="single" w:sz="4" w:space="0" w:color="FFFFFF" w:themeColor="background1"/>
            </w:tcBorders>
            <w:vAlign w:val="center"/>
            <w:hideMark/>
          </w:tcPr>
          <w:p w14:paraId="5292702B" w14:textId="7337FEA5" w:rsidR="008E550B" w:rsidRDefault="008E550B" w:rsidP="00435A4B">
            <w:pPr>
              <w:pStyle w:val="TableTitle"/>
            </w:pPr>
            <w:bookmarkStart w:id="49" w:name="_Toc117705883"/>
            <w:r>
              <w:lastRenderedPageBreak/>
              <w:t>Table</w:t>
            </w:r>
            <w:r w:rsidR="0036220D">
              <w:t xml:space="preserve"> </w:t>
            </w:r>
            <w:r w:rsidR="00C06F2F">
              <w:fldChar w:fldCharType="begin"/>
            </w:r>
            <w:r w:rsidR="00C06F2F">
              <w:instrText xml:space="preserve"> STYLEREF 1 \s </w:instrText>
            </w:r>
            <w:r w:rsidR="00C06F2F">
              <w:fldChar w:fldCharType="separate"/>
            </w:r>
            <w:r w:rsidR="00B65193">
              <w:rPr>
                <w:noProof/>
              </w:rPr>
              <w:t>4</w:t>
            </w:r>
            <w:r w:rsidR="00C06F2F">
              <w:rPr>
                <w:noProof/>
              </w:rPr>
              <w:fldChar w:fldCharType="end"/>
            </w:r>
            <w:r w:rsidR="0036220D">
              <w:noBreakHyphen/>
            </w:r>
            <w:r w:rsidR="00C06F2F">
              <w:fldChar w:fldCharType="begin"/>
            </w:r>
            <w:r w:rsidR="00C06F2F">
              <w:instrText xml:space="preserve"> SEQ Table \* ARABIC \s 1 </w:instrText>
            </w:r>
            <w:r w:rsidR="00C06F2F">
              <w:fldChar w:fldCharType="separate"/>
            </w:r>
            <w:r w:rsidR="00B65193">
              <w:rPr>
                <w:noProof/>
              </w:rPr>
              <w:t>2</w:t>
            </w:r>
            <w:r w:rsidR="00C06F2F">
              <w:rPr>
                <w:noProof/>
              </w:rPr>
              <w:fldChar w:fldCharType="end"/>
            </w:r>
            <w:r w:rsidRPr="0007737A">
              <w:rPr>
                <w:sz w:val="20"/>
                <w:szCs w:val="24"/>
              </w:rPr>
              <w:t xml:space="preserve">. </w:t>
            </w:r>
            <w:r w:rsidR="00435A4B" w:rsidRPr="0007737A">
              <w:rPr>
                <w:sz w:val="20"/>
                <w:szCs w:val="24"/>
              </w:rPr>
              <w:t>Budget Level Cost Estimate to Perform the 2021 Ambient Water Quality Pilot Study</w:t>
            </w:r>
            <w:bookmarkEnd w:id="49"/>
          </w:p>
        </w:tc>
      </w:tr>
      <w:tr w:rsidR="008E550B" w:rsidRPr="00343134" w14:paraId="3E81FACE" w14:textId="77777777" w:rsidTr="008E550B">
        <w:trPr>
          <w:trHeight w:val="125"/>
          <w:tblHeader/>
        </w:trPr>
        <w:tc>
          <w:tcPr>
            <w:tcW w:w="6025" w:type="dxa"/>
            <w:tcBorders>
              <w:top w:val="single" w:sz="4" w:space="0" w:color="FFFFFF" w:themeColor="background1"/>
              <w:left w:val="single" w:sz="4" w:space="0" w:color="5B6770" w:themeColor="accent6"/>
              <w:bottom w:val="single" w:sz="4" w:space="0" w:color="FFFFFF" w:themeColor="background1"/>
              <w:right w:val="single" w:sz="4" w:space="0" w:color="FFFFFF" w:themeColor="background1"/>
            </w:tcBorders>
            <w:shd w:val="clear" w:color="auto" w:fill="001489" w:themeFill="accent1"/>
            <w:vAlign w:val="bottom"/>
            <w:hideMark/>
          </w:tcPr>
          <w:p w14:paraId="50C725B6" w14:textId="6B4D42DB" w:rsidR="008E550B" w:rsidRPr="00343134" w:rsidRDefault="008E550B">
            <w:pPr>
              <w:pStyle w:val="Table"/>
              <w:jc w:val="center"/>
              <w:rPr>
                <w:rFonts w:cstheme="minorHAnsi"/>
                <w:color w:val="FFFFFF" w:themeColor="background1"/>
              </w:rPr>
            </w:pPr>
            <w:r>
              <w:rPr>
                <w:rFonts w:cstheme="minorHAnsi"/>
                <w:color w:val="FFFFFF" w:themeColor="background1"/>
              </w:rPr>
              <w:t>Task</w:t>
            </w:r>
          </w:p>
        </w:tc>
        <w:tc>
          <w:tcPr>
            <w:tcW w:w="3330" w:type="dxa"/>
            <w:tcBorders>
              <w:top w:val="single" w:sz="4" w:space="0" w:color="FFFFFF" w:themeColor="background1"/>
              <w:left w:val="single" w:sz="4" w:space="0" w:color="FFFFFF" w:themeColor="background1"/>
              <w:bottom w:val="single" w:sz="4" w:space="0" w:color="FFFFFF" w:themeColor="background1"/>
              <w:right w:val="single" w:sz="4" w:space="0" w:color="5B6770" w:themeColor="accent6"/>
            </w:tcBorders>
            <w:shd w:val="clear" w:color="auto" w:fill="001489" w:themeFill="accent1"/>
            <w:vAlign w:val="bottom"/>
            <w:hideMark/>
          </w:tcPr>
          <w:p w14:paraId="13805D24" w14:textId="13877DF4" w:rsidR="008E550B" w:rsidRPr="00343134" w:rsidRDefault="008E550B">
            <w:pPr>
              <w:pStyle w:val="Table"/>
              <w:jc w:val="center"/>
              <w:rPr>
                <w:rFonts w:cstheme="minorHAnsi"/>
                <w:color w:val="FFFFFF" w:themeColor="background1"/>
              </w:rPr>
            </w:pPr>
            <w:r>
              <w:rPr>
                <w:rFonts w:cstheme="minorHAnsi"/>
                <w:color w:val="FFFFFF" w:themeColor="background1"/>
              </w:rPr>
              <w:t>Cost Estimate</w:t>
            </w:r>
          </w:p>
        </w:tc>
      </w:tr>
      <w:tr w:rsidR="008E550B" w14:paraId="4CE8BC83" w14:textId="77777777" w:rsidTr="008E550B">
        <w:trPr>
          <w:trHeight w:val="300"/>
        </w:trPr>
        <w:tc>
          <w:tcPr>
            <w:tcW w:w="6025" w:type="dxa"/>
            <w:vAlign w:val="center"/>
          </w:tcPr>
          <w:p w14:paraId="63D80302" w14:textId="5DB84FA2" w:rsidR="008E550B" w:rsidRDefault="008E550B">
            <w:pPr>
              <w:pStyle w:val="Table"/>
              <w:ind w:left="245"/>
              <w:rPr>
                <w:rFonts w:cstheme="minorHAnsi"/>
                <w:color w:val="000000"/>
              </w:rPr>
            </w:pPr>
            <w:r>
              <w:rPr>
                <w:rFonts w:cstheme="minorHAnsi"/>
                <w:color w:val="000000"/>
              </w:rPr>
              <w:t xml:space="preserve">Task 1 </w:t>
            </w:r>
            <w:r w:rsidR="00E67B3C">
              <w:rPr>
                <w:rFonts w:cstheme="minorHAnsi"/>
                <w:iCs/>
              </w:rPr>
              <w:t xml:space="preserve">– </w:t>
            </w:r>
            <w:r>
              <w:rPr>
                <w:rFonts w:cstheme="minorHAnsi"/>
                <w:color w:val="000000"/>
              </w:rPr>
              <w:t>Data Collection and Review</w:t>
            </w:r>
          </w:p>
        </w:tc>
        <w:tc>
          <w:tcPr>
            <w:tcW w:w="3330" w:type="dxa"/>
            <w:vAlign w:val="center"/>
          </w:tcPr>
          <w:p w14:paraId="7EB3A5B3" w14:textId="17D3F954" w:rsidR="008E550B" w:rsidRDefault="008E550B">
            <w:pPr>
              <w:pStyle w:val="Table"/>
              <w:jc w:val="center"/>
              <w:rPr>
                <w:rFonts w:cstheme="minorHAnsi"/>
                <w:color w:val="000000"/>
              </w:rPr>
            </w:pPr>
            <w:r>
              <w:rPr>
                <w:rFonts w:cstheme="minorHAnsi"/>
                <w:color w:val="000000"/>
              </w:rPr>
              <w:t>$</w:t>
            </w:r>
            <w:r w:rsidR="0007737A">
              <w:rPr>
                <w:rFonts w:cstheme="minorHAnsi"/>
                <w:color w:val="000000"/>
              </w:rPr>
              <w:t>76,000</w:t>
            </w:r>
          </w:p>
        </w:tc>
      </w:tr>
      <w:tr w:rsidR="008E550B" w:rsidRPr="0038599E" w14:paraId="3F4BD219" w14:textId="77777777" w:rsidTr="008E550B">
        <w:trPr>
          <w:trHeight w:val="300"/>
        </w:trPr>
        <w:tc>
          <w:tcPr>
            <w:tcW w:w="6025" w:type="dxa"/>
            <w:vAlign w:val="center"/>
          </w:tcPr>
          <w:p w14:paraId="1794CA6E" w14:textId="12E4C0AF" w:rsidR="008E550B" w:rsidRPr="0038599E" w:rsidRDefault="008E550B">
            <w:pPr>
              <w:pStyle w:val="Table"/>
              <w:ind w:left="245"/>
              <w:rPr>
                <w:rFonts w:cstheme="minorHAnsi"/>
                <w:iCs/>
              </w:rPr>
            </w:pPr>
            <w:r>
              <w:rPr>
                <w:rFonts w:cstheme="minorHAnsi"/>
                <w:iCs/>
              </w:rPr>
              <w:t>Task 2 – Perform Pilot Ambient Water Quality Analysis</w:t>
            </w:r>
          </w:p>
        </w:tc>
        <w:tc>
          <w:tcPr>
            <w:tcW w:w="3330" w:type="dxa"/>
            <w:vAlign w:val="center"/>
          </w:tcPr>
          <w:p w14:paraId="3AEA0843" w14:textId="32840507" w:rsidR="008E550B" w:rsidRPr="0038599E" w:rsidRDefault="008E550B">
            <w:pPr>
              <w:pStyle w:val="Table"/>
              <w:jc w:val="center"/>
              <w:rPr>
                <w:rFonts w:cstheme="minorHAnsi"/>
                <w:iCs/>
              </w:rPr>
            </w:pPr>
            <w:r>
              <w:rPr>
                <w:rFonts w:cstheme="minorHAnsi"/>
                <w:iCs/>
              </w:rPr>
              <w:t>$</w:t>
            </w:r>
            <w:r w:rsidR="0007737A">
              <w:rPr>
                <w:rFonts w:cstheme="minorHAnsi"/>
                <w:iCs/>
              </w:rPr>
              <w:t>128,000</w:t>
            </w:r>
          </w:p>
        </w:tc>
      </w:tr>
      <w:tr w:rsidR="008E550B" w14:paraId="276CA4F1" w14:textId="77777777" w:rsidTr="008E550B">
        <w:trPr>
          <w:trHeight w:val="300"/>
        </w:trPr>
        <w:tc>
          <w:tcPr>
            <w:tcW w:w="6025" w:type="dxa"/>
            <w:tcBorders>
              <w:bottom w:val="single" w:sz="4" w:space="0" w:color="auto"/>
            </w:tcBorders>
            <w:vAlign w:val="center"/>
          </w:tcPr>
          <w:p w14:paraId="5AC7E82A" w14:textId="44F5FAFB" w:rsidR="008E550B" w:rsidRDefault="008E550B">
            <w:pPr>
              <w:pStyle w:val="Table"/>
              <w:ind w:left="245"/>
              <w:rPr>
                <w:rFonts w:cstheme="minorHAnsi"/>
                <w:color w:val="000000"/>
              </w:rPr>
            </w:pPr>
            <w:r>
              <w:rPr>
                <w:rFonts w:cstheme="minorHAnsi"/>
                <w:color w:val="000000"/>
              </w:rPr>
              <w:t>Task 3 – Develop AWQ Technical Approach and AWQ Work Plan</w:t>
            </w:r>
          </w:p>
        </w:tc>
        <w:tc>
          <w:tcPr>
            <w:tcW w:w="3330" w:type="dxa"/>
            <w:tcBorders>
              <w:bottom w:val="single" w:sz="4" w:space="0" w:color="auto"/>
            </w:tcBorders>
            <w:vAlign w:val="center"/>
          </w:tcPr>
          <w:p w14:paraId="6D4C6932" w14:textId="3CB2BB47" w:rsidR="008E550B" w:rsidRDefault="008E550B">
            <w:pPr>
              <w:pStyle w:val="Table"/>
              <w:jc w:val="center"/>
              <w:rPr>
                <w:rFonts w:cstheme="minorHAnsi"/>
                <w:color w:val="000000"/>
              </w:rPr>
            </w:pPr>
            <w:r>
              <w:rPr>
                <w:rFonts w:cstheme="minorHAnsi"/>
                <w:color w:val="000000"/>
              </w:rPr>
              <w:t>$</w:t>
            </w:r>
            <w:r w:rsidR="0007737A">
              <w:rPr>
                <w:rFonts w:cstheme="minorHAnsi"/>
                <w:color w:val="000000"/>
              </w:rPr>
              <w:t>41,000</w:t>
            </w:r>
          </w:p>
        </w:tc>
      </w:tr>
      <w:tr w:rsidR="008E550B" w14:paraId="52467832" w14:textId="77777777" w:rsidTr="008E550B">
        <w:trPr>
          <w:trHeight w:val="300"/>
        </w:trPr>
        <w:tc>
          <w:tcPr>
            <w:tcW w:w="6025" w:type="dxa"/>
            <w:tcBorders>
              <w:bottom w:val="single" w:sz="4" w:space="0" w:color="auto"/>
            </w:tcBorders>
            <w:vAlign w:val="center"/>
          </w:tcPr>
          <w:p w14:paraId="018FA574" w14:textId="2738A1B3" w:rsidR="008E550B" w:rsidRDefault="008E550B">
            <w:pPr>
              <w:pStyle w:val="Table"/>
              <w:ind w:left="245"/>
              <w:rPr>
                <w:rFonts w:cstheme="minorHAnsi"/>
                <w:color w:val="000000"/>
              </w:rPr>
            </w:pPr>
            <w:r>
              <w:rPr>
                <w:rFonts w:cstheme="minorHAnsi"/>
                <w:color w:val="000000"/>
              </w:rPr>
              <w:t xml:space="preserve">Task 4 – </w:t>
            </w:r>
            <w:r w:rsidR="00486EAA">
              <w:rPr>
                <w:rFonts w:cstheme="minorHAnsi"/>
                <w:color w:val="000000"/>
              </w:rPr>
              <w:t>Prepare Final Report</w:t>
            </w:r>
            <w:r>
              <w:rPr>
                <w:rFonts w:cstheme="minorHAnsi"/>
                <w:color w:val="000000"/>
              </w:rPr>
              <w:t xml:space="preserve"> </w:t>
            </w:r>
          </w:p>
        </w:tc>
        <w:tc>
          <w:tcPr>
            <w:tcW w:w="3330" w:type="dxa"/>
            <w:tcBorders>
              <w:bottom w:val="single" w:sz="4" w:space="0" w:color="auto"/>
            </w:tcBorders>
            <w:shd w:val="clear" w:color="auto" w:fill="auto"/>
            <w:vAlign w:val="center"/>
          </w:tcPr>
          <w:p w14:paraId="72661BD4" w14:textId="4C16038D" w:rsidR="008E550B" w:rsidRDefault="008E550B">
            <w:pPr>
              <w:pStyle w:val="Table"/>
              <w:jc w:val="center"/>
              <w:rPr>
                <w:rFonts w:cstheme="minorHAnsi"/>
                <w:color w:val="000000"/>
              </w:rPr>
            </w:pPr>
            <w:r>
              <w:rPr>
                <w:rFonts w:cstheme="minorHAnsi"/>
                <w:color w:val="000000"/>
              </w:rPr>
              <w:t>$</w:t>
            </w:r>
            <w:r w:rsidR="0007737A">
              <w:rPr>
                <w:rFonts w:cstheme="minorHAnsi"/>
                <w:color w:val="000000"/>
              </w:rPr>
              <w:t>35,000</w:t>
            </w:r>
          </w:p>
        </w:tc>
      </w:tr>
      <w:tr w:rsidR="008E550B" w14:paraId="26584A99" w14:textId="77777777" w:rsidTr="008E550B">
        <w:trPr>
          <w:trHeight w:val="300"/>
        </w:trPr>
        <w:tc>
          <w:tcPr>
            <w:tcW w:w="6025" w:type="dxa"/>
            <w:tcBorders>
              <w:bottom w:val="single" w:sz="4" w:space="0" w:color="auto"/>
            </w:tcBorders>
            <w:vAlign w:val="center"/>
          </w:tcPr>
          <w:p w14:paraId="747DEA75" w14:textId="298D7DE1" w:rsidR="008E550B" w:rsidRDefault="008E550B">
            <w:pPr>
              <w:pStyle w:val="Table"/>
              <w:ind w:left="245"/>
              <w:rPr>
                <w:rFonts w:cstheme="minorHAnsi"/>
                <w:color w:val="000000"/>
              </w:rPr>
            </w:pPr>
            <w:r>
              <w:rPr>
                <w:rFonts w:cstheme="minorHAnsi"/>
                <w:color w:val="000000"/>
              </w:rPr>
              <w:t>Task 5 – Task Force Workshops and Project Management</w:t>
            </w:r>
          </w:p>
        </w:tc>
        <w:tc>
          <w:tcPr>
            <w:tcW w:w="3330" w:type="dxa"/>
            <w:tcBorders>
              <w:bottom w:val="single" w:sz="4" w:space="0" w:color="auto"/>
            </w:tcBorders>
            <w:shd w:val="clear" w:color="auto" w:fill="auto"/>
            <w:vAlign w:val="center"/>
          </w:tcPr>
          <w:p w14:paraId="14D7655D" w14:textId="1DDBC087" w:rsidR="008E550B" w:rsidRDefault="008E550B">
            <w:pPr>
              <w:pStyle w:val="Table"/>
              <w:jc w:val="center"/>
              <w:rPr>
                <w:rFonts w:cstheme="minorHAnsi"/>
                <w:color w:val="000000"/>
              </w:rPr>
            </w:pPr>
            <w:r>
              <w:rPr>
                <w:rFonts w:cstheme="minorHAnsi"/>
                <w:color w:val="000000"/>
              </w:rPr>
              <w:t>$</w:t>
            </w:r>
            <w:r w:rsidR="0007737A">
              <w:rPr>
                <w:rFonts w:cstheme="minorHAnsi"/>
                <w:color w:val="000000"/>
              </w:rPr>
              <w:t>40,000</w:t>
            </w:r>
          </w:p>
        </w:tc>
      </w:tr>
      <w:tr w:rsidR="008E550B" w14:paraId="7D2A2B57" w14:textId="77777777" w:rsidTr="00486EAA">
        <w:trPr>
          <w:trHeight w:val="300"/>
        </w:trPr>
        <w:tc>
          <w:tcPr>
            <w:tcW w:w="6025" w:type="dxa"/>
            <w:tcBorders>
              <w:top w:val="double" w:sz="4" w:space="0" w:color="auto"/>
              <w:bottom w:val="double" w:sz="4" w:space="0" w:color="auto"/>
            </w:tcBorders>
            <w:vAlign w:val="center"/>
            <w:hideMark/>
          </w:tcPr>
          <w:p w14:paraId="127042EA" w14:textId="77777777" w:rsidR="008E550B" w:rsidRDefault="008E550B">
            <w:pPr>
              <w:pStyle w:val="Table"/>
              <w:jc w:val="right"/>
              <w:rPr>
                <w:rFonts w:cstheme="minorHAnsi"/>
                <w:b/>
                <w:bCs/>
                <w:color w:val="000000"/>
              </w:rPr>
            </w:pPr>
            <w:r>
              <w:rPr>
                <w:rFonts w:cstheme="minorHAnsi"/>
                <w:b/>
                <w:bCs/>
                <w:color w:val="000000"/>
              </w:rPr>
              <w:t>Total</w:t>
            </w:r>
          </w:p>
        </w:tc>
        <w:tc>
          <w:tcPr>
            <w:tcW w:w="3330" w:type="dxa"/>
            <w:tcBorders>
              <w:top w:val="double" w:sz="4" w:space="0" w:color="auto"/>
              <w:bottom w:val="double" w:sz="4" w:space="0" w:color="auto"/>
            </w:tcBorders>
            <w:vAlign w:val="center"/>
          </w:tcPr>
          <w:p w14:paraId="7F3A5DB7" w14:textId="63D09A2C" w:rsidR="008E550B" w:rsidRDefault="00435A4B">
            <w:pPr>
              <w:pStyle w:val="Table"/>
              <w:jc w:val="center"/>
              <w:rPr>
                <w:rFonts w:cstheme="minorHAnsi"/>
                <w:b/>
                <w:bCs/>
                <w:color w:val="000000"/>
              </w:rPr>
            </w:pPr>
            <w:r>
              <w:rPr>
                <w:rFonts w:cstheme="minorHAnsi"/>
                <w:b/>
                <w:bCs/>
                <w:color w:val="000000"/>
              </w:rPr>
              <w:t>$3</w:t>
            </w:r>
            <w:r w:rsidR="0007737A">
              <w:rPr>
                <w:rFonts w:cstheme="minorHAnsi"/>
                <w:b/>
                <w:bCs/>
                <w:color w:val="000000"/>
              </w:rPr>
              <w:t>20</w:t>
            </w:r>
            <w:r>
              <w:rPr>
                <w:rFonts w:cstheme="minorHAnsi"/>
                <w:b/>
                <w:bCs/>
                <w:color w:val="000000"/>
              </w:rPr>
              <w:t>,000</w:t>
            </w:r>
          </w:p>
        </w:tc>
      </w:tr>
      <w:tr w:rsidR="00486EAA" w14:paraId="11456F2F" w14:textId="77777777">
        <w:trPr>
          <w:trHeight w:val="300"/>
        </w:trPr>
        <w:tc>
          <w:tcPr>
            <w:tcW w:w="9355" w:type="dxa"/>
            <w:gridSpan w:val="2"/>
            <w:tcBorders>
              <w:top w:val="double" w:sz="4" w:space="0" w:color="auto"/>
              <w:bottom w:val="single" w:sz="4" w:space="0" w:color="auto"/>
            </w:tcBorders>
            <w:vAlign w:val="center"/>
          </w:tcPr>
          <w:p w14:paraId="41E88BBB" w14:textId="393EC1FA" w:rsidR="00486EAA" w:rsidRPr="00D82E4B" w:rsidRDefault="00486EAA" w:rsidP="00D82E4B">
            <w:pPr>
              <w:pStyle w:val="Table"/>
              <w:ind w:left="720"/>
              <w:rPr>
                <w:rFonts w:cstheme="minorHAnsi"/>
                <w:i/>
                <w:iCs/>
                <w:color w:val="000000"/>
              </w:rPr>
            </w:pPr>
          </w:p>
        </w:tc>
      </w:tr>
    </w:tbl>
    <w:p w14:paraId="22F8E443" w14:textId="4159A1DA" w:rsidR="008E550B" w:rsidRDefault="008E550B" w:rsidP="00BA328A"/>
    <w:p w14:paraId="26A2F4EC" w14:textId="49337A4B" w:rsidR="008E550B" w:rsidRDefault="008E550B" w:rsidP="00BA328A"/>
    <w:p w14:paraId="56E75D78" w14:textId="77777777" w:rsidR="008E550B" w:rsidRDefault="008E550B" w:rsidP="00BA328A"/>
    <w:p w14:paraId="02B7CEE3" w14:textId="608891D6" w:rsidR="008A0E2B" w:rsidRDefault="008A0E2B">
      <w:pPr>
        <w:spacing w:after="0"/>
        <w:jc w:val="left"/>
      </w:pPr>
      <w:r>
        <w:br w:type="page"/>
      </w:r>
    </w:p>
    <w:p w14:paraId="24D69DD6" w14:textId="24E3E24B" w:rsidR="008C5918" w:rsidRDefault="008A0E2B" w:rsidP="008C5918">
      <w:pPr>
        <w:pStyle w:val="Heading1"/>
      </w:pPr>
      <w:bookmarkStart w:id="50" w:name="_Toc117719808"/>
      <w:r>
        <w:lastRenderedPageBreak/>
        <w:t>Implementation Plan</w:t>
      </w:r>
      <w:bookmarkEnd w:id="50"/>
    </w:p>
    <w:p w14:paraId="5871EA77" w14:textId="78D644DF" w:rsidR="008C5918" w:rsidRDefault="00A32B47" w:rsidP="008C5918">
      <w:r>
        <w:t xml:space="preserve">The Task Force was formed to support implementation of the Basin Plan SNMP and ensure its member agencies comply with the monitoring and reporting requirements. </w:t>
      </w:r>
      <w:r w:rsidR="00D90837">
        <w:t>One of the goals of this 2022 GMP was to id</w:t>
      </w:r>
      <w:r w:rsidR="00D90837" w:rsidRPr="00D90837">
        <w:t>entify the work th</w:t>
      </w:r>
      <w:r w:rsidR="00D90837">
        <w:t xml:space="preserve">at the </w:t>
      </w:r>
      <w:r>
        <w:t xml:space="preserve">Task Force, its member agencies, and the </w:t>
      </w:r>
      <w:r w:rsidR="0001516D">
        <w:t>Santa Ana Water Board</w:t>
      </w:r>
      <w:r>
        <w:t xml:space="preserve"> will need to perform through fiscal year 2028/29 to comply with the Basin Plan SNMP, including anticipated activities that will address the 2019 Recycled Water Policy. For each work item, a brief summary is provided. Table 5-1 shows a schedule for when the work items generally need to be performed. The final report that will be prepared for the 2021 AWQ Pilot study will help to refine the scope and schedule of the future work items. </w:t>
      </w:r>
    </w:p>
    <w:p w14:paraId="5EF0095D" w14:textId="7CDEA2CD" w:rsidR="00A32B47" w:rsidRDefault="00A32B47" w:rsidP="008C5918">
      <w:r w:rsidRPr="00D90837">
        <w:rPr>
          <w:b/>
          <w:bCs/>
        </w:rPr>
        <w:t>Complete the 2021 AWQ Pilot Study</w:t>
      </w:r>
      <w:r w:rsidR="00D90837">
        <w:t xml:space="preserve">. The 2021 AWQ Pilot Study is required by the Basin Plan (2021 amendment). The </w:t>
      </w:r>
      <w:r w:rsidR="00B333AF">
        <w:t xml:space="preserve">objectives, </w:t>
      </w:r>
      <w:r w:rsidR="00D90837">
        <w:t xml:space="preserve">scope of work, schedule, and budget are described in detail in Section 4 of this 2022 GMP. </w:t>
      </w:r>
      <w:r w:rsidR="003F0F71">
        <w:t xml:space="preserve">The </w:t>
      </w:r>
      <w:r w:rsidR="00E534DE">
        <w:t xml:space="preserve">2021 AWQ Pilot Study </w:t>
      </w:r>
      <w:r w:rsidR="003F0F71">
        <w:t>must be completed by October 1, 2023.</w:t>
      </w:r>
    </w:p>
    <w:p w14:paraId="6E894072" w14:textId="68017844" w:rsidR="00A32B47" w:rsidRDefault="003F0F71" w:rsidP="008C5918">
      <w:r w:rsidRPr="003F0F71">
        <w:rPr>
          <w:b/>
          <w:bCs/>
        </w:rPr>
        <w:t xml:space="preserve">Complete </w:t>
      </w:r>
      <w:r w:rsidR="00A32B47" w:rsidRPr="003F0F71">
        <w:rPr>
          <w:b/>
          <w:bCs/>
        </w:rPr>
        <w:t>the</w:t>
      </w:r>
      <w:r w:rsidRPr="003F0F71">
        <w:rPr>
          <w:b/>
          <w:bCs/>
        </w:rPr>
        <w:t xml:space="preserve"> </w:t>
      </w:r>
      <w:r w:rsidR="00EB7F88">
        <w:rPr>
          <w:b/>
          <w:bCs/>
        </w:rPr>
        <w:t>F</w:t>
      </w:r>
      <w:r w:rsidR="00EB7F88" w:rsidRPr="003F0F71">
        <w:rPr>
          <w:b/>
          <w:bCs/>
        </w:rPr>
        <w:t xml:space="preserve">irst </w:t>
      </w:r>
      <w:r w:rsidR="00EB7F88">
        <w:rPr>
          <w:b/>
          <w:bCs/>
        </w:rPr>
        <w:t>F</w:t>
      </w:r>
      <w:r w:rsidR="00F63153">
        <w:rPr>
          <w:b/>
          <w:bCs/>
        </w:rPr>
        <w:t>ive</w:t>
      </w:r>
      <w:r w:rsidR="00A32B47" w:rsidRPr="003F0F71">
        <w:rPr>
          <w:b/>
          <w:bCs/>
        </w:rPr>
        <w:t>-</w:t>
      </w:r>
      <w:r w:rsidR="00EB7F88">
        <w:rPr>
          <w:b/>
          <w:bCs/>
        </w:rPr>
        <w:t>Y</w:t>
      </w:r>
      <w:r w:rsidR="00EB7F88" w:rsidRPr="003F0F71">
        <w:rPr>
          <w:b/>
          <w:bCs/>
        </w:rPr>
        <w:t xml:space="preserve">ear </w:t>
      </w:r>
      <w:r w:rsidR="00EB7F88">
        <w:rPr>
          <w:b/>
          <w:bCs/>
        </w:rPr>
        <w:t>A</w:t>
      </w:r>
      <w:r w:rsidR="00EB7F88" w:rsidRPr="003F0F71">
        <w:rPr>
          <w:b/>
          <w:bCs/>
        </w:rPr>
        <w:t xml:space="preserve">ssessment </w:t>
      </w:r>
      <w:r w:rsidR="00A32B47" w:rsidRPr="003F0F71">
        <w:rPr>
          <w:b/>
          <w:bCs/>
        </w:rPr>
        <w:t>of the Basin Plan SNMP</w:t>
      </w:r>
      <w:r w:rsidRPr="003F0F71">
        <w:rPr>
          <w:b/>
          <w:bCs/>
        </w:rPr>
        <w:t>.</w:t>
      </w:r>
      <w:r>
        <w:t xml:space="preserve"> This is a task that must be completed by the </w:t>
      </w:r>
      <w:r w:rsidR="00602D7C">
        <w:t>Santa Ana Water Board</w:t>
      </w:r>
      <w:r>
        <w:t xml:space="preserve"> by April of 2024. The Task Force’s role is to support the development of (1) the approach and document that demonstrates the Basin Plan’s conformance with the 2019 Recycled Water Policy and (2) any associated Basin Plan amendments to modify the SNMP.</w:t>
      </w:r>
    </w:p>
    <w:p w14:paraId="791E1739" w14:textId="09E0DAE4" w:rsidR="003F0F71" w:rsidRPr="003F0F71" w:rsidRDefault="003F0F71" w:rsidP="003F0F71">
      <w:r w:rsidRPr="003F0F71">
        <w:rPr>
          <w:b/>
          <w:bCs/>
        </w:rPr>
        <w:t>Address Potential Data Gaps</w:t>
      </w:r>
      <w:r>
        <w:rPr>
          <w:b/>
          <w:bCs/>
        </w:rPr>
        <w:t xml:space="preserve">. </w:t>
      </w:r>
      <w:r>
        <w:t xml:space="preserve">The </w:t>
      </w:r>
      <w:r w:rsidR="0001516D">
        <w:t>R</w:t>
      </w:r>
      <w:r>
        <w:t xml:space="preserve">esponsible Parties identified in </w:t>
      </w:r>
      <w:r w:rsidRPr="00A075DC">
        <w:t>Table 3-</w:t>
      </w:r>
      <w:r w:rsidR="004807EF" w:rsidRPr="00A075DC">
        <w:t>1</w:t>
      </w:r>
      <w:r>
        <w:t xml:space="preserve"> will follow the process outlined in Section </w:t>
      </w:r>
      <w:r w:rsidRPr="00A075DC">
        <w:t>3.</w:t>
      </w:r>
      <w:r w:rsidR="0001516D" w:rsidRPr="00A075DC">
        <w:t>2.2</w:t>
      </w:r>
      <w:r>
        <w:t xml:space="preserve"> of this report to address the potential data gaps documented in Appendix C. The potential data gaps must be resolved before the next </w:t>
      </w:r>
      <w:r w:rsidR="0001516D">
        <w:t xml:space="preserve">round of technical work for the </w:t>
      </w:r>
      <w:r>
        <w:t>five-year assessment of the Basin Plan SNMP</w:t>
      </w:r>
      <w:r w:rsidR="0001516D">
        <w:t xml:space="preserve"> begins</w:t>
      </w:r>
      <w:r>
        <w:t>.</w:t>
      </w:r>
    </w:p>
    <w:p w14:paraId="2E8CDDF2" w14:textId="123A0D89" w:rsidR="00A32B47" w:rsidRPr="003F0F71" w:rsidRDefault="00A32B47" w:rsidP="008C5918">
      <w:r w:rsidRPr="003F0F71">
        <w:rPr>
          <w:b/>
          <w:bCs/>
        </w:rPr>
        <w:t>Annual Data Collection</w:t>
      </w:r>
      <w:r w:rsidR="003F0F71">
        <w:rPr>
          <w:b/>
          <w:bCs/>
        </w:rPr>
        <w:t xml:space="preserve">. </w:t>
      </w:r>
      <w:r w:rsidR="003F0F71">
        <w:t xml:space="preserve">To comply with the 2019 Recycled Water Policy, the Task Force will need to annually compile the data used in the five-year AWQ and assimilative capacity assessments. </w:t>
      </w:r>
      <w:r w:rsidR="0001516D">
        <w:t xml:space="preserve">This work is assumed to begin after the Santa Ana Water Board completes its first </w:t>
      </w:r>
      <w:r w:rsidR="005033B4">
        <w:t>five</w:t>
      </w:r>
      <w:r w:rsidR="0001516D">
        <w:t xml:space="preserve">-year review of the Basin Plan SNMP in April 2024. Each July the Task Force will need to compile and process the water quality data from the preceding calendar year into a centralized database for use in future five-year data assessments. </w:t>
      </w:r>
    </w:p>
    <w:p w14:paraId="28B923FB" w14:textId="460D3842" w:rsidR="00A32B47" w:rsidRDefault="00A32B47" w:rsidP="008C5918">
      <w:r w:rsidRPr="003F0F71">
        <w:rPr>
          <w:b/>
          <w:bCs/>
        </w:rPr>
        <w:t>Update GMZ Aquifer Storage Properties</w:t>
      </w:r>
      <w:r w:rsidR="003F0F71" w:rsidRPr="003F0F71">
        <w:rPr>
          <w:b/>
          <w:bCs/>
        </w:rPr>
        <w:t>.</w:t>
      </w:r>
      <w:r w:rsidR="003F0F71">
        <w:t xml:space="preserve"> The </w:t>
      </w:r>
      <w:r w:rsidR="0001516D">
        <w:t>Santa Ana Water Board</w:t>
      </w:r>
      <w:r w:rsidR="003F0F71">
        <w:t xml:space="preserve"> has identified that GMZ aquifer storage properties are a high priority and must be resolved before the 2026 AWQ and assimilative capacity assessment. Following completion of the 2021 </w:t>
      </w:r>
      <w:r w:rsidR="00EF650C">
        <w:t>AWQ</w:t>
      </w:r>
      <w:r w:rsidR="003F0F71">
        <w:t xml:space="preserve"> Pilot Study, </w:t>
      </w:r>
      <w:r w:rsidR="0001516D">
        <w:t xml:space="preserve">the Task Force should </w:t>
      </w:r>
      <w:r w:rsidR="003F0F71">
        <w:t>begin</w:t>
      </w:r>
      <w:r w:rsidR="0001516D">
        <w:t xml:space="preserve"> this work</w:t>
      </w:r>
      <w:r w:rsidR="003F0F71">
        <w:t>.</w:t>
      </w:r>
      <w:r w:rsidR="0001516D">
        <w:t xml:space="preserve"> </w:t>
      </w:r>
      <w:r w:rsidR="00EB6FE2">
        <w:t>The initial steps to</w:t>
      </w:r>
      <w:r w:rsidR="0001516D">
        <w:t xml:space="preserve"> </w:t>
      </w:r>
      <w:r w:rsidR="00EB6FE2">
        <w:t>implement will likely consist of (1</w:t>
      </w:r>
      <w:proofErr w:type="gramStart"/>
      <w:r w:rsidR="00EB6FE2">
        <w:t xml:space="preserve">) </w:t>
      </w:r>
      <w:r w:rsidR="0001516D">
        <w:t xml:space="preserve"> identify</w:t>
      </w:r>
      <w:r w:rsidR="00EB6FE2">
        <w:t>ing</w:t>
      </w:r>
      <w:proofErr w:type="gramEnd"/>
      <w:r w:rsidR="0001516D">
        <w:t xml:space="preserve"> the GMZs that require updates and </w:t>
      </w:r>
      <w:r w:rsidR="00EB6FE2">
        <w:t xml:space="preserve">(2) preparing a </w:t>
      </w:r>
      <w:r w:rsidR="0001516D">
        <w:t xml:space="preserve">schedule to complete the updates for all applicable GMZs. </w:t>
      </w:r>
      <w:r w:rsidR="00EB7F88">
        <w:t>Depending on the project cost, i</w:t>
      </w:r>
      <w:r w:rsidR="0001516D">
        <w:t xml:space="preserve">t may be prudent to </w:t>
      </w:r>
      <w:r w:rsidR="00B30E0A">
        <w:t>distribute</w:t>
      </w:r>
      <w:r w:rsidR="0001516D">
        <w:t xml:space="preserve"> the work over multiple years to manage the cost of the work. </w:t>
      </w:r>
      <w:r w:rsidR="003F0F71">
        <w:t xml:space="preserve"> </w:t>
      </w:r>
    </w:p>
    <w:p w14:paraId="366E20C2" w14:textId="676EEF38" w:rsidR="0001516D" w:rsidRDefault="0001516D" w:rsidP="0001516D">
      <w:r>
        <w:rPr>
          <w:b/>
          <w:bCs/>
        </w:rPr>
        <w:t xml:space="preserve">Second </w:t>
      </w:r>
      <w:r w:rsidR="00EB7F88">
        <w:rPr>
          <w:b/>
          <w:bCs/>
        </w:rPr>
        <w:t>Five</w:t>
      </w:r>
      <w:r>
        <w:rPr>
          <w:b/>
          <w:bCs/>
        </w:rPr>
        <w:t>-Year Assessment of the Basin Plan SNMP</w:t>
      </w:r>
      <w:r w:rsidRPr="0001516D">
        <w:rPr>
          <w:b/>
          <w:bCs/>
        </w:rPr>
        <w:t>.</w:t>
      </w:r>
      <w:r w:rsidRPr="0001516D">
        <w:t xml:space="preserve"> </w:t>
      </w:r>
      <w:r>
        <w:t xml:space="preserve">Pursuant to the 2019 Recycled Water Policy, the Basin Plan SNMP must provide for a five-year assessment of the data, monitoring networks, and SNMP. This work will be performed in </w:t>
      </w:r>
      <w:r w:rsidR="0003778B">
        <w:t xml:space="preserve">the following </w:t>
      </w:r>
      <w:r>
        <w:t>steps:</w:t>
      </w:r>
    </w:p>
    <w:p w14:paraId="77B2C341" w14:textId="7B8AB770" w:rsidR="0001516D" w:rsidRPr="0001516D" w:rsidRDefault="0001516D" w:rsidP="0001516D">
      <w:pPr>
        <w:ind w:left="720"/>
      </w:pPr>
      <w:r>
        <w:rPr>
          <w:b/>
          <w:bCs/>
        </w:rPr>
        <w:t>Identify New P</w:t>
      </w:r>
      <w:r w:rsidRPr="003F0F71">
        <w:rPr>
          <w:b/>
          <w:bCs/>
        </w:rPr>
        <w:t>otential Data Gaps</w:t>
      </w:r>
      <w:r>
        <w:rPr>
          <w:b/>
          <w:bCs/>
        </w:rPr>
        <w:t xml:space="preserve">. </w:t>
      </w:r>
      <w:r>
        <w:t>The Task Force will review the status of the monitoring networks and identify an</w:t>
      </w:r>
      <w:r w:rsidR="0003778B">
        <w:t>y</w:t>
      </w:r>
      <w:r>
        <w:t xml:space="preserve"> new potential data gaps to be addressed. </w:t>
      </w:r>
    </w:p>
    <w:p w14:paraId="53E5F844" w14:textId="19EB1545" w:rsidR="0001516D" w:rsidRDefault="00A32B47" w:rsidP="0001516D">
      <w:pPr>
        <w:ind w:left="720"/>
      </w:pPr>
      <w:r w:rsidRPr="0001516D">
        <w:rPr>
          <w:b/>
          <w:bCs/>
        </w:rPr>
        <w:t>Complete the 2026 Ambient Water Quality and Assimilative Capacity Assessment</w:t>
      </w:r>
      <w:r w:rsidR="0001516D" w:rsidRPr="0001516D">
        <w:rPr>
          <w:b/>
          <w:bCs/>
        </w:rPr>
        <w:t>.</w:t>
      </w:r>
      <w:r w:rsidR="0001516D">
        <w:t xml:space="preserve"> The Task Force will perform the </w:t>
      </w:r>
      <w:r w:rsidR="005D48B7">
        <w:t xml:space="preserve">2026 </w:t>
      </w:r>
      <w:r w:rsidR="0001516D">
        <w:t>AWQ and assimilative capacity assessment pursuant to the methodology defined in the 2021 AWQ Pilot Study report. This must be completed by October 1, 2028.</w:t>
      </w:r>
    </w:p>
    <w:p w14:paraId="1BBBDB99" w14:textId="387819D3" w:rsidR="0001516D" w:rsidRDefault="0001516D" w:rsidP="0001516D">
      <w:pPr>
        <w:ind w:left="720"/>
        <w:rPr>
          <w:b/>
          <w:bCs/>
        </w:rPr>
      </w:pPr>
      <w:r>
        <w:rPr>
          <w:b/>
          <w:bCs/>
        </w:rPr>
        <w:lastRenderedPageBreak/>
        <w:t xml:space="preserve">Complete the </w:t>
      </w:r>
      <w:r w:rsidR="00E12983">
        <w:rPr>
          <w:b/>
          <w:bCs/>
        </w:rPr>
        <w:t>Five</w:t>
      </w:r>
      <w:r>
        <w:rPr>
          <w:b/>
          <w:bCs/>
        </w:rPr>
        <w:t>-Year Assessment of the Basin Plan SNMP.</w:t>
      </w:r>
      <w:r>
        <w:t xml:space="preserve"> This is a task that must be completed by the Santa Ana Water Board by April of 2029 – it could be in the form of </w:t>
      </w:r>
      <w:r w:rsidR="000B0C37">
        <w:t xml:space="preserve">an </w:t>
      </w:r>
      <w:r>
        <w:t xml:space="preserve">approval of a report prepared by the Task Force at the Executive Officer level, or an action by the </w:t>
      </w:r>
      <w:r w:rsidR="000B0C37">
        <w:t>Santa Ana Water</w:t>
      </w:r>
      <w:r>
        <w:t xml:space="preserve"> Board. This is to be determined in the future. The Task Force’s role is to support the development of any documents or </w:t>
      </w:r>
      <w:r w:rsidR="00E70453">
        <w:t>Santa Ana Water Board</w:t>
      </w:r>
      <w:r>
        <w:t xml:space="preserve"> staff reports that </w:t>
      </w:r>
      <w:r w:rsidR="00D00AC6">
        <w:t>describe</w:t>
      </w:r>
      <w:r>
        <w:t xml:space="preserve"> the outcomes of the latest five-year data assessments.</w:t>
      </w:r>
      <w:r w:rsidRPr="0001516D">
        <w:rPr>
          <w:b/>
          <w:bCs/>
        </w:rPr>
        <w:t xml:space="preserve"> </w:t>
      </w:r>
    </w:p>
    <w:p w14:paraId="4AF661B8" w14:textId="6220C0EE" w:rsidR="00A32B47" w:rsidRDefault="0001516D" w:rsidP="008C5918">
      <w:r>
        <w:t>Table 5-1 shows the estimated schedule to complete the work to comply with the Basin Plan SNMP through Fiscal Year 2028/29</w:t>
      </w:r>
      <w:r w:rsidR="00A06833">
        <w:t xml:space="preserve"> as well as the entity leading the effort</w:t>
      </w:r>
      <w:r>
        <w:t>.</w:t>
      </w:r>
    </w:p>
    <w:tbl>
      <w:tblPr>
        <w:tblW w:w="9418" w:type="dxa"/>
        <w:tblLayout w:type="fixed"/>
        <w:tblLook w:val="04A0" w:firstRow="1" w:lastRow="0" w:firstColumn="1" w:lastColumn="0" w:noHBand="0" w:noVBand="1"/>
      </w:tblPr>
      <w:tblGrid>
        <w:gridCol w:w="3595"/>
        <w:gridCol w:w="830"/>
        <w:gridCol w:w="831"/>
        <w:gridCol w:w="831"/>
        <w:gridCol w:w="830"/>
        <w:gridCol w:w="831"/>
        <w:gridCol w:w="831"/>
        <w:gridCol w:w="831"/>
        <w:gridCol w:w="8"/>
      </w:tblGrid>
      <w:tr w:rsidR="00D90837" w:rsidRPr="00255078" w14:paraId="27EF3EAA" w14:textId="77777777" w:rsidTr="004D4475">
        <w:trPr>
          <w:trHeight w:val="610"/>
          <w:tblHeader/>
        </w:trPr>
        <w:tc>
          <w:tcPr>
            <w:tcW w:w="9418" w:type="dxa"/>
            <w:gridSpan w:val="9"/>
            <w:tcBorders>
              <w:top w:val="single" w:sz="4" w:space="0" w:color="auto"/>
              <w:left w:val="single" w:sz="4" w:space="0" w:color="auto"/>
              <w:right w:val="single" w:sz="4" w:space="0" w:color="auto"/>
            </w:tcBorders>
            <w:shd w:val="clear" w:color="auto" w:fill="auto"/>
            <w:noWrap/>
            <w:vAlign w:val="center"/>
            <w:hideMark/>
          </w:tcPr>
          <w:p w14:paraId="72079515" w14:textId="222EFD46" w:rsidR="00D90837" w:rsidRPr="00255078" w:rsidRDefault="00D90837">
            <w:pPr>
              <w:spacing w:after="0"/>
              <w:jc w:val="center"/>
              <w:rPr>
                <w:rFonts w:ascii="Calibri" w:hAnsi="Calibri" w:cs="Calibri"/>
                <w:b/>
                <w:bCs/>
                <w:color w:val="000000"/>
                <w:szCs w:val="22"/>
              </w:rPr>
            </w:pPr>
            <w:r w:rsidRPr="003E142C">
              <w:rPr>
                <w:b/>
                <w:sz w:val="20"/>
              </w:rPr>
              <w:t>Table</w:t>
            </w:r>
            <w:r w:rsidR="00663B36" w:rsidRPr="003E142C">
              <w:rPr>
                <w:b/>
                <w:sz w:val="20"/>
              </w:rPr>
              <w:t xml:space="preserve"> </w:t>
            </w:r>
            <w:r w:rsidR="00663B36" w:rsidRPr="003E142C">
              <w:rPr>
                <w:b/>
                <w:sz w:val="20"/>
              </w:rPr>
              <w:fldChar w:fldCharType="begin"/>
            </w:r>
            <w:r w:rsidR="00663B36" w:rsidRPr="003E142C">
              <w:rPr>
                <w:b/>
                <w:sz w:val="20"/>
              </w:rPr>
              <w:instrText xml:space="preserve"> STYLEREF 1 \s </w:instrText>
            </w:r>
            <w:r w:rsidR="00663B36" w:rsidRPr="003E142C">
              <w:rPr>
                <w:b/>
                <w:sz w:val="20"/>
              </w:rPr>
              <w:fldChar w:fldCharType="separate"/>
            </w:r>
            <w:r w:rsidR="00B65193">
              <w:rPr>
                <w:b/>
                <w:noProof/>
                <w:sz w:val="20"/>
              </w:rPr>
              <w:t>5</w:t>
            </w:r>
            <w:r w:rsidR="00663B36" w:rsidRPr="003E142C">
              <w:rPr>
                <w:b/>
                <w:sz w:val="20"/>
              </w:rPr>
              <w:fldChar w:fldCharType="end"/>
            </w:r>
            <w:r w:rsidR="00663B36" w:rsidRPr="003E142C">
              <w:rPr>
                <w:b/>
                <w:sz w:val="20"/>
              </w:rPr>
              <w:noBreakHyphen/>
            </w:r>
            <w:r w:rsidR="00663B36" w:rsidRPr="003E142C">
              <w:rPr>
                <w:b/>
                <w:sz w:val="20"/>
              </w:rPr>
              <w:fldChar w:fldCharType="begin"/>
            </w:r>
            <w:r w:rsidR="00663B36" w:rsidRPr="003E142C">
              <w:rPr>
                <w:b/>
                <w:sz w:val="20"/>
              </w:rPr>
              <w:instrText xml:space="preserve"> SEQ Table \* ARABIC \s 1 </w:instrText>
            </w:r>
            <w:r w:rsidR="00663B36" w:rsidRPr="003E142C">
              <w:rPr>
                <w:b/>
                <w:sz w:val="20"/>
              </w:rPr>
              <w:fldChar w:fldCharType="separate"/>
            </w:r>
            <w:r w:rsidR="00B65193">
              <w:rPr>
                <w:b/>
                <w:noProof/>
                <w:sz w:val="20"/>
              </w:rPr>
              <w:t>1</w:t>
            </w:r>
            <w:r w:rsidR="00663B36" w:rsidRPr="003E142C">
              <w:rPr>
                <w:b/>
                <w:sz w:val="20"/>
              </w:rPr>
              <w:fldChar w:fldCharType="end"/>
            </w:r>
            <w:r w:rsidRPr="003E142C">
              <w:rPr>
                <w:b/>
                <w:sz w:val="20"/>
              </w:rPr>
              <w:t>.</w:t>
            </w:r>
            <w:r w:rsidRPr="0007737A">
              <w:rPr>
                <w:b/>
                <w:bCs/>
                <w:sz w:val="20"/>
                <w:szCs w:val="18"/>
              </w:rPr>
              <w:t xml:space="preserve"> </w:t>
            </w:r>
            <w:r w:rsidR="003E142C">
              <w:rPr>
                <w:b/>
                <w:bCs/>
                <w:sz w:val="20"/>
                <w:szCs w:val="18"/>
              </w:rPr>
              <w:t xml:space="preserve">Task Force </w:t>
            </w:r>
            <w:r w:rsidRPr="0007737A">
              <w:rPr>
                <w:b/>
                <w:bCs/>
                <w:sz w:val="20"/>
                <w:szCs w:val="18"/>
              </w:rPr>
              <w:t xml:space="preserve">Schedule </w:t>
            </w:r>
            <w:r w:rsidR="00667F68">
              <w:rPr>
                <w:b/>
                <w:bCs/>
                <w:sz w:val="20"/>
                <w:szCs w:val="18"/>
              </w:rPr>
              <w:t>of Work to Comply with the Basin Plan SNMP</w:t>
            </w:r>
          </w:p>
        </w:tc>
      </w:tr>
      <w:tr w:rsidR="00D90837" w:rsidRPr="00255078" w14:paraId="5FCDB370" w14:textId="77777777" w:rsidTr="004D4475">
        <w:trPr>
          <w:trHeight w:val="300"/>
          <w:tblHeader/>
        </w:trPr>
        <w:tc>
          <w:tcPr>
            <w:tcW w:w="3595" w:type="dxa"/>
            <w:vMerge w:val="restart"/>
            <w:tcBorders>
              <w:top w:val="single" w:sz="4" w:space="0" w:color="auto"/>
              <w:left w:val="single" w:sz="4" w:space="0" w:color="auto"/>
              <w:bottom w:val="single" w:sz="4" w:space="0" w:color="FFFFFF"/>
              <w:right w:val="single" w:sz="4" w:space="0" w:color="FFFFFF"/>
            </w:tcBorders>
            <w:shd w:val="clear" w:color="000000" w:fill="001489"/>
            <w:vAlign w:val="center"/>
            <w:hideMark/>
          </w:tcPr>
          <w:p w14:paraId="2EB2149C" w14:textId="77777777" w:rsidR="00667F68" w:rsidRDefault="00D90837">
            <w:pPr>
              <w:spacing w:after="0"/>
              <w:jc w:val="center"/>
              <w:rPr>
                <w:rFonts w:ascii="Calibri" w:hAnsi="Calibri" w:cs="Calibri"/>
                <w:b/>
                <w:bCs/>
                <w:color w:val="FFFFFF"/>
                <w:sz w:val="20"/>
              </w:rPr>
            </w:pPr>
            <w:r w:rsidRPr="00255078">
              <w:rPr>
                <w:rFonts w:ascii="Calibri" w:hAnsi="Calibri" w:cs="Calibri"/>
                <w:b/>
                <w:bCs/>
                <w:color w:val="FFFFFF"/>
                <w:sz w:val="20"/>
              </w:rPr>
              <w:t xml:space="preserve">Task </w:t>
            </w:r>
          </w:p>
          <w:p w14:paraId="2043D94D" w14:textId="50CFEB95" w:rsidR="00D90837" w:rsidRPr="00255078" w:rsidRDefault="00667F68">
            <w:pPr>
              <w:spacing w:after="0"/>
              <w:jc w:val="center"/>
              <w:rPr>
                <w:rFonts w:ascii="Calibri" w:hAnsi="Calibri" w:cs="Calibri"/>
                <w:b/>
                <w:bCs/>
                <w:color w:val="FFFFFF"/>
                <w:sz w:val="20"/>
              </w:rPr>
            </w:pPr>
            <w:r>
              <w:rPr>
                <w:rFonts w:ascii="Calibri" w:hAnsi="Calibri" w:cs="Calibri"/>
                <w:b/>
                <w:bCs/>
                <w:color w:val="FFFFFF"/>
                <w:sz w:val="20"/>
              </w:rPr>
              <w:t>(Task Lead)</w:t>
            </w:r>
          </w:p>
        </w:tc>
        <w:tc>
          <w:tcPr>
            <w:tcW w:w="5823" w:type="dxa"/>
            <w:gridSpan w:val="8"/>
            <w:tcBorders>
              <w:top w:val="single" w:sz="4" w:space="0" w:color="auto"/>
              <w:left w:val="nil"/>
              <w:bottom w:val="single" w:sz="4" w:space="0" w:color="FFFFFF"/>
              <w:right w:val="single" w:sz="4" w:space="0" w:color="000000"/>
            </w:tcBorders>
            <w:shd w:val="clear" w:color="000000" w:fill="001489"/>
            <w:noWrap/>
            <w:vAlign w:val="bottom"/>
            <w:hideMark/>
          </w:tcPr>
          <w:p w14:paraId="65F414C5" w14:textId="77777777" w:rsidR="00D90837" w:rsidRPr="00255078" w:rsidRDefault="00D90837">
            <w:pPr>
              <w:spacing w:after="0"/>
              <w:jc w:val="center"/>
              <w:rPr>
                <w:rFonts w:ascii="Calibri" w:hAnsi="Calibri" w:cs="Calibri"/>
                <w:b/>
                <w:bCs/>
                <w:color w:val="FFFFFF"/>
                <w:sz w:val="20"/>
              </w:rPr>
            </w:pPr>
            <w:r w:rsidRPr="00255078">
              <w:rPr>
                <w:rFonts w:ascii="Calibri" w:hAnsi="Calibri" w:cs="Calibri"/>
                <w:b/>
                <w:bCs/>
                <w:color w:val="FFFFFF"/>
                <w:sz w:val="20"/>
              </w:rPr>
              <w:t>Task Duration</w:t>
            </w:r>
          </w:p>
        </w:tc>
      </w:tr>
      <w:tr w:rsidR="00D90837" w:rsidRPr="00255078" w14:paraId="2D5DB81A" w14:textId="77777777" w:rsidTr="004D4475">
        <w:trPr>
          <w:trHeight w:val="300"/>
          <w:tblHeader/>
        </w:trPr>
        <w:tc>
          <w:tcPr>
            <w:tcW w:w="3595" w:type="dxa"/>
            <w:vMerge/>
            <w:tcBorders>
              <w:top w:val="single" w:sz="4" w:space="0" w:color="auto"/>
              <w:left w:val="single" w:sz="4" w:space="0" w:color="auto"/>
              <w:bottom w:val="single" w:sz="4" w:space="0" w:color="FFFFFF"/>
              <w:right w:val="single" w:sz="4" w:space="0" w:color="FFFFFF"/>
            </w:tcBorders>
            <w:vAlign w:val="center"/>
            <w:hideMark/>
          </w:tcPr>
          <w:p w14:paraId="7169C2C6" w14:textId="77777777" w:rsidR="00D90837" w:rsidRPr="00255078" w:rsidRDefault="00D90837">
            <w:pPr>
              <w:spacing w:after="0"/>
              <w:jc w:val="left"/>
              <w:rPr>
                <w:rFonts w:ascii="Calibri" w:hAnsi="Calibri" w:cs="Calibri"/>
                <w:b/>
                <w:bCs/>
                <w:color w:val="FFFFFF"/>
                <w:sz w:val="20"/>
              </w:rPr>
            </w:pPr>
          </w:p>
        </w:tc>
        <w:tc>
          <w:tcPr>
            <w:tcW w:w="5823" w:type="dxa"/>
            <w:gridSpan w:val="8"/>
            <w:tcBorders>
              <w:top w:val="single" w:sz="4" w:space="0" w:color="FFFFFF"/>
              <w:left w:val="nil"/>
              <w:bottom w:val="single" w:sz="4" w:space="0" w:color="FFFFFF"/>
              <w:right w:val="single" w:sz="4" w:space="0" w:color="000000"/>
            </w:tcBorders>
            <w:shd w:val="clear" w:color="000000" w:fill="001489"/>
            <w:noWrap/>
            <w:vAlign w:val="bottom"/>
            <w:hideMark/>
          </w:tcPr>
          <w:p w14:paraId="01622623" w14:textId="34D90403" w:rsidR="00D90837" w:rsidRPr="00255078" w:rsidRDefault="00D90837">
            <w:pPr>
              <w:spacing w:after="0"/>
              <w:jc w:val="center"/>
              <w:rPr>
                <w:rFonts w:ascii="Calibri" w:hAnsi="Calibri" w:cs="Calibri"/>
                <w:b/>
                <w:bCs/>
                <w:color w:val="FFFFFF"/>
                <w:sz w:val="20"/>
              </w:rPr>
            </w:pPr>
            <w:r>
              <w:rPr>
                <w:rFonts w:ascii="Calibri" w:hAnsi="Calibri" w:cs="Calibri"/>
                <w:b/>
                <w:bCs/>
                <w:color w:val="FFFFFF"/>
                <w:sz w:val="20"/>
              </w:rPr>
              <w:t>Fiscal Year</w:t>
            </w:r>
          </w:p>
        </w:tc>
      </w:tr>
      <w:tr w:rsidR="00D90837" w:rsidRPr="00255078" w14:paraId="19AF3E92" w14:textId="77777777" w:rsidTr="004D4475">
        <w:trPr>
          <w:gridAfter w:val="1"/>
          <w:wAfter w:w="8" w:type="dxa"/>
          <w:trHeight w:val="980"/>
          <w:tblHeader/>
        </w:trPr>
        <w:tc>
          <w:tcPr>
            <w:tcW w:w="3595" w:type="dxa"/>
            <w:vMerge/>
            <w:tcBorders>
              <w:top w:val="single" w:sz="4" w:space="0" w:color="auto"/>
              <w:left w:val="single" w:sz="4" w:space="0" w:color="auto"/>
              <w:bottom w:val="single" w:sz="4" w:space="0" w:color="FFFFFF"/>
              <w:right w:val="single" w:sz="4" w:space="0" w:color="FFFFFF"/>
            </w:tcBorders>
            <w:vAlign w:val="center"/>
            <w:hideMark/>
          </w:tcPr>
          <w:p w14:paraId="7F6C7770" w14:textId="77777777" w:rsidR="00D90837" w:rsidRPr="00255078" w:rsidRDefault="00D90837">
            <w:pPr>
              <w:spacing w:after="0"/>
              <w:jc w:val="left"/>
              <w:rPr>
                <w:rFonts w:ascii="Calibri" w:hAnsi="Calibri" w:cs="Calibri"/>
                <w:b/>
                <w:bCs/>
                <w:color w:val="FFFFFF"/>
                <w:sz w:val="20"/>
              </w:rPr>
            </w:pPr>
          </w:p>
        </w:tc>
        <w:tc>
          <w:tcPr>
            <w:tcW w:w="830" w:type="dxa"/>
            <w:tcBorders>
              <w:top w:val="nil"/>
              <w:left w:val="nil"/>
              <w:bottom w:val="nil"/>
              <w:right w:val="single" w:sz="4" w:space="0" w:color="FFFFFF"/>
            </w:tcBorders>
            <w:shd w:val="clear" w:color="000000" w:fill="001489"/>
            <w:noWrap/>
            <w:textDirection w:val="btLr"/>
            <w:vAlign w:val="center"/>
            <w:hideMark/>
          </w:tcPr>
          <w:p w14:paraId="6B8091AF" w14:textId="4CAB373A" w:rsidR="00D90837" w:rsidRPr="00255078" w:rsidRDefault="009A1491" w:rsidP="00D90837">
            <w:pPr>
              <w:spacing w:after="0"/>
              <w:jc w:val="center"/>
              <w:rPr>
                <w:rFonts w:ascii="Calibri" w:hAnsi="Calibri" w:cs="Calibri"/>
                <w:b/>
                <w:bCs/>
                <w:color w:val="FFFFFF"/>
                <w:sz w:val="20"/>
              </w:rPr>
            </w:pPr>
            <w:r>
              <w:rPr>
                <w:rFonts w:ascii="Calibri" w:hAnsi="Calibri" w:cs="Calibri"/>
                <w:b/>
                <w:bCs/>
                <w:color w:val="FFFFFF"/>
                <w:sz w:val="20"/>
              </w:rPr>
              <w:t>2</w:t>
            </w:r>
            <w:r w:rsidR="00D90837">
              <w:rPr>
                <w:rFonts w:ascii="Calibri" w:hAnsi="Calibri" w:cs="Calibri"/>
                <w:b/>
                <w:bCs/>
                <w:color w:val="FFFFFF"/>
                <w:sz w:val="20"/>
              </w:rPr>
              <w:t>022/23</w:t>
            </w:r>
          </w:p>
        </w:tc>
        <w:tc>
          <w:tcPr>
            <w:tcW w:w="831" w:type="dxa"/>
            <w:tcBorders>
              <w:top w:val="nil"/>
              <w:left w:val="nil"/>
              <w:bottom w:val="nil"/>
              <w:right w:val="single" w:sz="4" w:space="0" w:color="FFFFFF"/>
            </w:tcBorders>
            <w:shd w:val="clear" w:color="000000" w:fill="001489"/>
            <w:noWrap/>
            <w:textDirection w:val="btLr"/>
            <w:vAlign w:val="center"/>
            <w:hideMark/>
          </w:tcPr>
          <w:p w14:paraId="3E61CE20" w14:textId="5C938B92" w:rsidR="00D90837" w:rsidRPr="00255078" w:rsidRDefault="00D90837" w:rsidP="00D90837">
            <w:pPr>
              <w:spacing w:after="0"/>
              <w:jc w:val="center"/>
              <w:rPr>
                <w:rFonts w:ascii="Calibri" w:hAnsi="Calibri" w:cs="Calibri"/>
                <w:b/>
                <w:bCs/>
                <w:color w:val="FFFFFF"/>
                <w:sz w:val="20"/>
              </w:rPr>
            </w:pPr>
            <w:r>
              <w:rPr>
                <w:rFonts w:ascii="Calibri" w:hAnsi="Calibri" w:cs="Calibri"/>
                <w:b/>
                <w:bCs/>
                <w:color w:val="FFFFFF"/>
                <w:sz w:val="20"/>
              </w:rPr>
              <w:t>2023/24</w:t>
            </w:r>
          </w:p>
        </w:tc>
        <w:tc>
          <w:tcPr>
            <w:tcW w:w="831" w:type="dxa"/>
            <w:tcBorders>
              <w:top w:val="nil"/>
              <w:left w:val="nil"/>
              <w:bottom w:val="nil"/>
              <w:right w:val="single" w:sz="4" w:space="0" w:color="FFFFFF"/>
            </w:tcBorders>
            <w:shd w:val="clear" w:color="000000" w:fill="001489"/>
            <w:noWrap/>
            <w:textDirection w:val="btLr"/>
            <w:vAlign w:val="center"/>
            <w:hideMark/>
          </w:tcPr>
          <w:p w14:paraId="492D7CAA" w14:textId="30B4781C" w:rsidR="00D90837" w:rsidRPr="00255078" w:rsidRDefault="00D90837" w:rsidP="00D90837">
            <w:pPr>
              <w:spacing w:after="0"/>
              <w:jc w:val="center"/>
              <w:rPr>
                <w:rFonts w:ascii="Calibri" w:hAnsi="Calibri" w:cs="Calibri"/>
                <w:b/>
                <w:bCs/>
                <w:color w:val="FFFFFF"/>
                <w:sz w:val="20"/>
              </w:rPr>
            </w:pPr>
            <w:r>
              <w:rPr>
                <w:rFonts w:ascii="Calibri" w:hAnsi="Calibri" w:cs="Calibri"/>
                <w:b/>
                <w:bCs/>
                <w:color w:val="FFFFFF"/>
                <w:sz w:val="20"/>
              </w:rPr>
              <w:t>2024/25</w:t>
            </w:r>
          </w:p>
        </w:tc>
        <w:tc>
          <w:tcPr>
            <w:tcW w:w="830" w:type="dxa"/>
            <w:tcBorders>
              <w:top w:val="nil"/>
              <w:left w:val="nil"/>
              <w:bottom w:val="nil"/>
              <w:right w:val="single" w:sz="4" w:space="0" w:color="FFFFFF"/>
            </w:tcBorders>
            <w:shd w:val="clear" w:color="000000" w:fill="001489"/>
            <w:noWrap/>
            <w:textDirection w:val="btLr"/>
            <w:vAlign w:val="center"/>
            <w:hideMark/>
          </w:tcPr>
          <w:p w14:paraId="711453D5" w14:textId="29A980B9" w:rsidR="00D90837" w:rsidRPr="00255078" w:rsidRDefault="00D90837" w:rsidP="00D90837">
            <w:pPr>
              <w:spacing w:after="0"/>
              <w:jc w:val="center"/>
              <w:rPr>
                <w:rFonts w:ascii="Calibri" w:hAnsi="Calibri" w:cs="Calibri"/>
                <w:b/>
                <w:bCs/>
                <w:color w:val="FFFFFF"/>
                <w:sz w:val="20"/>
              </w:rPr>
            </w:pPr>
            <w:r>
              <w:rPr>
                <w:rFonts w:ascii="Calibri" w:hAnsi="Calibri" w:cs="Calibri"/>
                <w:b/>
                <w:bCs/>
                <w:color w:val="FFFFFF"/>
                <w:sz w:val="20"/>
              </w:rPr>
              <w:t>2025/26</w:t>
            </w:r>
          </w:p>
        </w:tc>
        <w:tc>
          <w:tcPr>
            <w:tcW w:w="831" w:type="dxa"/>
            <w:tcBorders>
              <w:top w:val="nil"/>
              <w:left w:val="nil"/>
              <w:bottom w:val="nil"/>
              <w:right w:val="single" w:sz="4" w:space="0" w:color="FFFFFF"/>
            </w:tcBorders>
            <w:shd w:val="clear" w:color="000000" w:fill="001489"/>
            <w:noWrap/>
            <w:textDirection w:val="btLr"/>
            <w:vAlign w:val="center"/>
            <w:hideMark/>
          </w:tcPr>
          <w:p w14:paraId="33E0F68F" w14:textId="5A89DCF1" w:rsidR="00D90837" w:rsidRPr="00255078" w:rsidRDefault="00D90837" w:rsidP="00D90837">
            <w:pPr>
              <w:spacing w:after="0"/>
              <w:jc w:val="center"/>
              <w:rPr>
                <w:rFonts w:ascii="Calibri" w:hAnsi="Calibri" w:cs="Calibri"/>
                <w:b/>
                <w:bCs/>
                <w:color w:val="FFFFFF"/>
                <w:sz w:val="20"/>
              </w:rPr>
            </w:pPr>
            <w:r>
              <w:rPr>
                <w:rFonts w:ascii="Calibri" w:hAnsi="Calibri" w:cs="Calibri"/>
                <w:b/>
                <w:bCs/>
                <w:color w:val="FFFFFF"/>
                <w:sz w:val="20"/>
              </w:rPr>
              <w:t>2026/27</w:t>
            </w:r>
          </w:p>
        </w:tc>
        <w:tc>
          <w:tcPr>
            <w:tcW w:w="831" w:type="dxa"/>
            <w:tcBorders>
              <w:top w:val="nil"/>
              <w:left w:val="nil"/>
              <w:bottom w:val="nil"/>
              <w:right w:val="single" w:sz="4" w:space="0" w:color="FFFFFF"/>
            </w:tcBorders>
            <w:shd w:val="clear" w:color="000000" w:fill="001489"/>
            <w:noWrap/>
            <w:textDirection w:val="btLr"/>
            <w:vAlign w:val="center"/>
            <w:hideMark/>
          </w:tcPr>
          <w:p w14:paraId="585FA03E" w14:textId="44C0C0AF" w:rsidR="00D90837" w:rsidRPr="00255078" w:rsidRDefault="00D90837" w:rsidP="00D90837">
            <w:pPr>
              <w:spacing w:after="0"/>
              <w:jc w:val="center"/>
              <w:rPr>
                <w:rFonts w:ascii="Calibri" w:hAnsi="Calibri" w:cs="Calibri"/>
                <w:b/>
                <w:bCs/>
                <w:color w:val="FFFFFF"/>
                <w:sz w:val="20"/>
              </w:rPr>
            </w:pPr>
            <w:r>
              <w:rPr>
                <w:rFonts w:ascii="Calibri" w:hAnsi="Calibri" w:cs="Calibri"/>
                <w:b/>
                <w:bCs/>
                <w:color w:val="FFFFFF"/>
                <w:sz w:val="20"/>
              </w:rPr>
              <w:t>2027/28</w:t>
            </w:r>
          </w:p>
        </w:tc>
        <w:tc>
          <w:tcPr>
            <w:tcW w:w="831" w:type="dxa"/>
            <w:tcBorders>
              <w:top w:val="nil"/>
              <w:left w:val="nil"/>
              <w:bottom w:val="nil"/>
              <w:right w:val="single" w:sz="4" w:space="0" w:color="auto"/>
            </w:tcBorders>
            <w:shd w:val="clear" w:color="000000" w:fill="001489"/>
            <w:noWrap/>
            <w:textDirection w:val="btLr"/>
            <w:vAlign w:val="center"/>
            <w:hideMark/>
          </w:tcPr>
          <w:p w14:paraId="6793519F" w14:textId="54724BD7" w:rsidR="00D90837" w:rsidRPr="00255078" w:rsidRDefault="00D90837" w:rsidP="00D90837">
            <w:pPr>
              <w:spacing w:after="0"/>
              <w:jc w:val="center"/>
              <w:rPr>
                <w:rFonts w:ascii="Calibri" w:hAnsi="Calibri" w:cs="Calibri"/>
                <w:b/>
                <w:bCs/>
                <w:color w:val="FFFFFF"/>
                <w:sz w:val="20"/>
              </w:rPr>
            </w:pPr>
            <w:r>
              <w:rPr>
                <w:rFonts w:ascii="Calibri" w:hAnsi="Calibri" w:cs="Calibri"/>
                <w:b/>
                <w:bCs/>
                <w:color w:val="FFFFFF"/>
                <w:sz w:val="20"/>
              </w:rPr>
              <w:t>2028/29</w:t>
            </w:r>
          </w:p>
        </w:tc>
      </w:tr>
      <w:tr w:rsidR="00D90837" w:rsidRPr="00255078" w14:paraId="71CB8682" w14:textId="77777777" w:rsidTr="0001516D">
        <w:trPr>
          <w:gridAfter w:val="1"/>
          <w:wAfter w:w="8" w:type="dxa"/>
          <w:trHeight w:val="977"/>
        </w:trPr>
        <w:tc>
          <w:tcPr>
            <w:tcW w:w="3595" w:type="dxa"/>
            <w:tcBorders>
              <w:top w:val="nil"/>
              <w:left w:val="single" w:sz="4" w:space="0" w:color="auto"/>
              <w:bottom w:val="single" w:sz="4" w:space="0" w:color="auto"/>
              <w:right w:val="single" w:sz="4" w:space="0" w:color="000000"/>
            </w:tcBorders>
            <w:shd w:val="clear" w:color="auto" w:fill="auto"/>
            <w:vAlign w:val="center"/>
            <w:hideMark/>
          </w:tcPr>
          <w:p w14:paraId="65DD205F" w14:textId="77777777" w:rsidR="00667F68" w:rsidRDefault="00D90837">
            <w:pPr>
              <w:spacing w:after="0"/>
              <w:jc w:val="left"/>
              <w:rPr>
                <w:rFonts w:ascii="Calibri" w:hAnsi="Calibri" w:cs="Calibri"/>
                <w:color w:val="000000"/>
                <w:sz w:val="20"/>
              </w:rPr>
            </w:pPr>
            <w:r>
              <w:rPr>
                <w:rFonts w:ascii="Calibri" w:hAnsi="Calibri" w:cs="Calibri"/>
                <w:color w:val="000000"/>
                <w:sz w:val="20"/>
              </w:rPr>
              <w:t>2021 Ambient Water Quality Pilot Study</w:t>
            </w:r>
            <w:r w:rsidR="00667F68">
              <w:rPr>
                <w:rFonts w:ascii="Calibri" w:hAnsi="Calibri" w:cs="Calibri"/>
                <w:color w:val="000000"/>
                <w:sz w:val="20"/>
              </w:rPr>
              <w:t xml:space="preserve"> </w:t>
            </w:r>
          </w:p>
          <w:p w14:paraId="7300198A" w14:textId="00CD7A65" w:rsidR="00D90837" w:rsidRPr="00255078" w:rsidRDefault="00667F68">
            <w:pPr>
              <w:spacing w:after="0"/>
              <w:jc w:val="left"/>
              <w:rPr>
                <w:rFonts w:ascii="Calibri" w:hAnsi="Calibri" w:cs="Calibri"/>
                <w:color w:val="000000"/>
                <w:sz w:val="20"/>
              </w:rPr>
            </w:pPr>
            <w:r>
              <w:rPr>
                <w:rFonts w:ascii="Calibri" w:hAnsi="Calibri" w:cs="Calibri"/>
                <w:color w:val="000000"/>
                <w:sz w:val="20"/>
              </w:rPr>
              <w:t>(Task Force)</w:t>
            </w:r>
          </w:p>
        </w:tc>
        <w:tc>
          <w:tcPr>
            <w:tcW w:w="830" w:type="dxa"/>
            <w:tcBorders>
              <w:top w:val="single" w:sz="4" w:space="0" w:color="5B6770"/>
              <w:left w:val="nil"/>
              <w:bottom w:val="single" w:sz="4" w:space="0" w:color="auto"/>
              <w:right w:val="single" w:sz="4" w:space="0" w:color="5B6770"/>
            </w:tcBorders>
            <w:shd w:val="clear" w:color="000000" w:fill="BBE6FF"/>
            <w:vAlign w:val="center"/>
            <w:hideMark/>
          </w:tcPr>
          <w:p w14:paraId="62242272" w14:textId="0E99B98B"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Start: </w:t>
            </w:r>
            <w:r w:rsidR="00667F68">
              <w:rPr>
                <w:rFonts w:ascii="Calibri" w:hAnsi="Calibri" w:cs="Calibri"/>
                <w:color w:val="000000"/>
                <w:sz w:val="20"/>
              </w:rPr>
              <w:t>Jan 2023</w:t>
            </w:r>
          </w:p>
          <w:p w14:paraId="47C05BA0" w14:textId="5DCB4C22" w:rsidR="00D90837" w:rsidRPr="00255078" w:rsidRDefault="00D90837" w:rsidP="0001516D">
            <w:pPr>
              <w:spacing w:after="0"/>
              <w:jc w:val="center"/>
              <w:rPr>
                <w:rFonts w:ascii="Calibri" w:hAnsi="Calibri" w:cs="Calibri"/>
                <w:color w:val="000000"/>
                <w:sz w:val="20"/>
              </w:rPr>
            </w:pPr>
          </w:p>
        </w:tc>
        <w:tc>
          <w:tcPr>
            <w:tcW w:w="831" w:type="dxa"/>
            <w:tcBorders>
              <w:top w:val="single" w:sz="4" w:space="0" w:color="5B6770"/>
              <w:left w:val="nil"/>
              <w:bottom w:val="single" w:sz="4" w:space="0" w:color="auto"/>
              <w:right w:val="single" w:sz="4" w:space="0" w:color="5B6770"/>
            </w:tcBorders>
            <w:shd w:val="clear" w:color="auto" w:fill="BCE5FF" w:themeFill="accent2" w:themeFillTint="33"/>
            <w:vAlign w:val="center"/>
            <w:hideMark/>
          </w:tcPr>
          <w:p w14:paraId="3987F47F" w14:textId="67FA94D2"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Finish: </w:t>
            </w:r>
            <w:r w:rsidR="00667F68">
              <w:rPr>
                <w:rFonts w:ascii="Calibri" w:hAnsi="Calibri" w:cs="Calibri"/>
                <w:color w:val="000000"/>
                <w:sz w:val="20"/>
              </w:rPr>
              <w:t>Oct 2023</w:t>
            </w:r>
          </w:p>
        </w:tc>
        <w:tc>
          <w:tcPr>
            <w:tcW w:w="831" w:type="dxa"/>
            <w:tcBorders>
              <w:top w:val="single" w:sz="4" w:space="0" w:color="5B6770"/>
              <w:left w:val="nil"/>
              <w:bottom w:val="single" w:sz="4" w:space="0" w:color="auto"/>
              <w:right w:val="single" w:sz="4" w:space="0" w:color="5B6770"/>
            </w:tcBorders>
            <w:shd w:val="clear" w:color="auto" w:fill="auto"/>
            <w:vAlign w:val="center"/>
            <w:hideMark/>
          </w:tcPr>
          <w:p w14:paraId="2FBB9124" w14:textId="099906FA" w:rsidR="00D90837" w:rsidRPr="00255078" w:rsidRDefault="00D90837" w:rsidP="0001516D">
            <w:pPr>
              <w:spacing w:after="0"/>
              <w:jc w:val="center"/>
              <w:rPr>
                <w:rFonts w:ascii="Calibri" w:hAnsi="Calibri" w:cs="Calibri"/>
                <w:color w:val="000000"/>
                <w:sz w:val="20"/>
              </w:rPr>
            </w:pPr>
          </w:p>
        </w:tc>
        <w:tc>
          <w:tcPr>
            <w:tcW w:w="830" w:type="dxa"/>
            <w:tcBorders>
              <w:top w:val="single" w:sz="4" w:space="0" w:color="5B6770"/>
              <w:left w:val="nil"/>
              <w:bottom w:val="single" w:sz="4" w:space="0" w:color="auto"/>
              <w:right w:val="single" w:sz="4" w:space="0" w:color="5B6770"/>
            </w:tcBorders>
            <w:shd w:val="clear" w:color="auto" w:fill="auto"/>
            <w:vAlign w:val="center"/>
            <w:hideMark/>
          </w:tcPr>
          <w:p w14:paraId="49BBE639" w14:textId="4EAD60B0" w:rsidR="00D90837" w:rsidRPr="00255078" w:rsidRDefault="00D90837" w:rsidP="0001516D">
            <w:pPr>
              <w:spacing w:after="0"/>
              <w:jc w:val="center"/>
              <w:rPr>
                <w:rFonts w:ascii="Calibri" w:hAnsi="Calibri" w:cs="Calibri"/>
                <w:color w:val="000000"/>
                <w:sz w:val="20"/>
              </w:rPr>
            </w:pPr>
          </w:p>
        </w:tc>
        <w:tc>
          <w:tcPr>
            <w:tcW w:w="831" w:type="dxa"/>
            <w:tcBorders>
              <w:top w:val="single" w:sz="4" w:space="0" w:color="5B6770"/>
              <w:left w:val="nil"/>
              <w:bottom w:val="single" w:sz="4" w:space="0" w:color="auto"/>
              <w:right w:val="single" w:sz="4" w:space="0" w:color="5B6770"/>
            </w:tcBorders>
            <w:shd w:val="clear" w:color="auto" w:fill="auto"/>
            <w:vAlign w:val="center"/>
            <w:hideMark/>
          </w:tcPr>
          <w:p w14:paraId="487BF1DF" w14:textId="6C631ECB" w:rsidR="00D90837" w:rsidRPr="00255078" w:rsidRDefault="00D90837" w:rsidP="0001516D">
            <w:pPr>
              <w:spacing w:after="0"/>
              <w:jc w:val="center"/>
              <w:rPr>
                <w:rFonts w:ascii="Calibri" w:hAnsi="Calibri" w:cs="Calibri"/>
                <w:color w:val="000000"/>
                <w:sz w:val="20"/>
              </w:rPr>
            </w:pPr>
          </w:p>
        </w:tc>
        <w:tc>
          <w:tcPr>
            <w:tcW w:w="831" w:type="dxa"/>
            <w:tcBorders>
              <w:top w:val="single" w:sz="4" w:space="0" w:color="5B6770"/>
              <w:left w:val="nil"/>
              <w:bottom w:val="single" w:sz="4" w:space="0" w:color="auto"/>
              <w:right w:val="single" w:sz="4" w:space="0" w:color="5B6770"/>
            </w:tcBorders>
            <w:shd w:val="clear" w:color="auto" w:fill="auto"/>
            <w:vAlign w:val="center"/>
            <w:hideMark/>
          </w:tcPr>
          <w:p w14:paraId="55FAD7B2" w14:textId="31A1504D" w:rsidR="00D90837" w:rsidRPr="00255078" w:rsidRDefault="00D90837" w:rsidP="0001516D">
            <w:pPr>
              <w:spacing w:after="0"/>
              <w:jc w:val="center"/>
              <w:rPr>
                <w:rFonts w:ascii="Calibri" w:hAnsi="Calibri" w:cs="Calibri"/>
                <w:color w:val="000000"/>
                <w:sz w:val="20"/>
              </w:rPr>
            </w:pPr>
          </w:p>
        </w:tc>
        <w:tc>
          <w:tcPr>
            <w:tcW w:w="831" w:type="dxa"/>
            <w:tcBorders>
              <w:top w:val="single" w:sz="4" w:space="0" w:color="5B6770"/>
              <w:left w:val="nil"/>
              <w:bottom w:val="single" w:sz="4" w:space="0" w:color="auto"/>
              <w:right w:val="single" w:sz="4" w:space="0" w:color="auto"/>
            </w:tcBorders>
            <w:shd w:val="clear" w:color="auto" w:fill="auto"/>
            <w:vAlign w:val="center"/>
            <w:hideMark/>
          </w:tcPr>
          <w:p w14:paraId="13319FC8" w14:textId="14926BDF" w:rsidR="00D90837" w:rsidRPr="00255078" w:rsidRDefault="00D90837" w:rsidP="0001516D">
            <w:pPr>
              <w:spacing w:after="0"/>
              <w:jc w:val="center"/>
              <w:rPr>
                <w:rFonts w:ascii="Calibri" w:hAnsi="Calibri" w:cs="Calibri"/>
                <w:color w:val="000000"/>
                <w:sz w:val="20"/>
              </w:rPr>
            </w:pPr>
          </w:p>
        </w:tc>
      </w:tr>
      <w:tr w:rsidR="00D90837" w:rsidRPr="00255078" w14:paraId="3F06D393" w14:textId="77777777" w:rsidTr="0001516D">
        <w:trPr>
          <w:gridAfter w:val="1"/>
          <w:wAfter w:w="8" w:type="dxa"/>
          <w:trHeight w:val="977"/>
        </w:trPr>
        <w:tc>
          <w:tcPr>
            <w:tcW w:w="3595" w:type="dxa"/>
            <w:tcBorders>
              <w:top w:val="single" w:sz="4" w:space="0" w:color="auto"/>
              <w:left w:val="single" w:sz="4" w:space="0" w:color="auto"/>
              <w:bottom w:val="single" w:sz="4" w:space="0" w:color="A2AAAD" w:themeColor="accent5"/>
              <w:right w:val="single" w:sz="4" w:space="0" w:color="000000"/>
            </w:tcBorders>
            <w:shd w:val="clear" w:color="auto" w:fill="auto"/>
            <w:vAlign w:val="center"/>
            <w:hideMark/>
          </w:tcPr>
          <w:p w14:paraId="27F414AD" w14:textId="3A2006F2" w:rsidR="00D90837" w:rsidRPr="00255078" w:rsidRDefault="00D90837">
            <w:pPr>
              <w:spacing w:after="0"/>
              <w:jc w:val="left"/>
              <w:rPr>
                <w:rFonts w:ascii="Calibri" w:hAnsi="Calibri" w:cs="Calibri"/>
                <w:color w:val="000000"/>
                <w:sz w:val="20"/>
              </w:rPr>
            </w:pPr>
            <w:r>
              <w:rPr>
                <w:rFonts w:ascii="Calibri" w:hAnsi="Calibri" w:cs="Calibri"/>
                <w:color w:val="000000"/>
                <w:sz w:val="20"/>
              </w:rPr>
              <w:t xml:space="preserve">Complete First </w:t>
            </w:r>
            <w:r w:rsidR="009A1491">
              <w:rPr>
                <w:rFonts w:ascii="Calibri" w:hAnsi="Calibri" w:cs="Calibri"/>
                <w:color w:val="000000"/>
                <w:sz w:val="20"/>
              </w:rPr>
              <w:t>Five</w:t>
            </w:r>
            <w:r>
              <w:rPr>
                <w:rFonts w:ascii="Calibri" w:hAnsi="Calibri" w:cs="Calibri"/>
                <w:color w:val="000000"/>
                <w:sz w:val="20"/>
              </w:rPr>
              <w:t>-Year Assessment of the Basin Plan SNMP</w:t>
            </w:r>
            <w:r w:rsidR="00667F68">
              <w:rPr>
                <w:rFonts w:ascii="Calibri" w:hAnsi="Calibri" w:cs="Calibri"/>
                <w:color w:val="000000"/>
                <w:sz w:val="20"/>
              </w:rPr>
              <w:t xml:space="preserve"> (Santa Ana Water Board</w:t>
            </w:r>
            <w:r w:rsidR="00C547BB">
              <w:rPr>
                <w:rFonts w:ascii="Calibri" w:hAnsi="Calibri" w:cs="Calibri"/>
                <w:color w:val="000000"/>
                <w:sz w:val="20"/>
              </w:rPr>
              <w:t>, with Task Force Support</w:t>
            </w:r>
            <w:r w:rsidR="00667F68">
              <w:rPr>
                <w:rFonts w:ascii="Calibri" w:hAnsi="Calibri" w:cs="Calibri"/>
                <w:color w:val="000000"/>
                <w:sz w:val="20"/>
              </w:rPr>
              <w:t>)</w:t>
            </w:r>
          </w:p>
        </w:tc>
        <w:tc>
          <w:tcPr>
            <w:tcW w:w="830" w:type="dxa"/>
            <w:tcBorders>
              <w:top w:val="nil"/>
              <w:left w:val="nil"/>
              <w:bottom w:val="single" w:sz="4" w:space="0" w:color="A2AAAD" w:themeColor="accent5"/>
              <w:right w:val="single" w:sz="4" w:space="0" w:color="5B6770"/>
            </w:tcBorders>
            <w:shd w:val="clear" w:color="auto" w:fill="BCE5FF" w:themeFill="accent2" w:themeFillTint="33"/>
            <w:vAlign w:val="center"/>
            <w:hideMark/>
          </w:tcPr>
          <w:p w14:paraId="7632617E" w14:textId="470EB0BB"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Start: </w:t>
            </w:r>
            <w:r w:rsidR="00667F68">
              <w:rPr>
                <w:rFonts w:ascii="Calibri" w:hAnsi="Calibri" w:cs="Calibri"/>
                <w:color w:val="000000"/>
                <w:sz w:val="20"/>
              </w:rPr>
              <w:t>Jul 2023</w:t>
            </w:r>
          </w:p>
        </w:tc>
        <w:tc>
          <w:tcPr>
            <w:tcW w:w="831" w:type="dxa"/>
            <w:tcBorders>
              <w:top w:val="nil"/>
              <w:left w:val="nil"/>
              <w:bottom w:val="single" w:sz="4" w:space="0" w:color="A2AAAD" w:themeColor="accent5"/>
              <w:right w:val="single" w:sz="4" w:space="0" w:color="5B6770"/>
            </w:tcBorders>
            <w:shd w:val="clear" w:color="000000" w:fill="BBE6FF"/>
            <w:vAlign w:val="center"/>
            <w:hideMark/>
          </w:tcPr>
          <w:p w14:paraId="05D30F05" w14:textId="3EB15DB7"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Finish: </w:t>
            </w:r>
            <w:r w:rsidR="00667F68">
              <w:rPr>
                <w:rFonts w:ascii="Calibri" w:hAnsi="Calibri" w:cs="Calibri"/>
                <w:color w:val="000000"/>
                <w:sz w:val="20"/>
              </w:rPr>
              <w:t>April 2024</w:t>
            </w:r>
          </w:p>
        </w:tc>
        <w:tc>
          <w:tcPr>
            <w:tcW w:w="831" w:type="dxa"/>
            <w:tcBorders>
              <w:top w:val="nil"/>
              <w:left w:val="nil"/>
              <w:bottom w:val="single" w:sz="4" w:space="0" w:color="A2AAAD" w:themeColor="accent5"/>
              <w:right w:val="single" w:sz="4" w:space="0" w:color="5B6770"/>
            </w:tcBorders>
            <w:shd w:val="clear" w:color="auto" w:fill="auto"/>
            <w:vAlign w:val="center"/>
            <w:hideMark/>
          </w:tcPr>
          <w:p w14:paraId="0CF3EA31" w14:textId="7E5AC92A" w:rsidR="00D90837" w:rsidRPr="00255078" w:rsidRDefault="00D90837" w:rsidP="0001516D">
            <w:pPr>
              <w:spacing w:after="0"/>
              <w:jc w:val="center"/>
              <w:rPr>
                <w:rFonts w:ascii="Calibri" w:hAnsi="Calibri" w:cs="Calibri"/>
                <w:color w:val="000000"/>
                <w:sz w:val="20"/>
              </w:rPr>
            </w:pPr>
          </w:p>
        </w:tc>
        <w:tc>
          <w:tcPr>
            <w:tcW w:w="830" w:type="dxa"/>
            <w:tcBorders>
              <w:top w:val="nil"/>
              <w:left w:val="nil"/>
              <w:bottom w:val="single" w:sz="4" w:space="0" w:color="A2AAAD" w:themeColor="accent5"/>
              <w:right w:val="single" w:sz="4" w:space="0" w:color="5B6770"/>
            </w:tcBorders>
            <w:shd w:val="clear" w:color="auto" w:fill="auto"/>
            <w:vAlign w:val="center"/>
            <w:hideMark/>
          </w:tcPr>
          <w:p w14:paraId="046C1632" w14:textId="7BE45E8B"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2AAAD" w:themeColor="accent5"/>
              <w:right w:val="single" w:sz="4" w:space="0" w:color="5B6770"/>
            </w:tcBorders>
            <w:shd w:val="clear" w:color="auto" w:fill="auto"/>
            <w:vAlign w:val="center"/>
            <w:hideMark/>
          </w:tcPr>
          <w:p w14:paraId="419C3F13" w14:textId="030BF84E"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2AAAD" w:themeColor="accent5"/>
              <w:right w:val="single" w:sz="4" w:space="0" w:color="5B6770"/>
            </w:tcBorders>
            <w:shd w:val="clear" w:color="auto" w:fill="auto"/>
            <w:vAlign w:val="center"/>
            <w:hideMark/>
          </w:tcPr>
          <w:p w14:paraId="222C9D9C" w14:textId="7D417AE9"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2AAAD" w:themeColor="accent5"/>
              <w:right w:val="single" w:sz="4" w:space="0" w:color="auto"/>
            </w:tcBorders>
            <w:shd w:val="clear" w:color="auto" w:fill="auto"/>
            <w:vAlign w:val="center"/>
            <w:hideMark/>
          </w:tcPr>
          <w:p w14:paraId="24A73E1E" w14:textId="54152DCA" w:rsidR="00D90837" w:rsidRPr="00255078" w:rsidRDefault="00D90837" w:rsidP="0001516D">
            <w:pPr>
              <w:spacing w:after="0"/>
              <w:jc w:val="center"/>
              <w:rPr>
                <w:rFonts w:ascii="Calibri" w:hAnsi="Calibri" w:cs="Calibri"/>
                <w:color w:val="000000"/>
                <w:sz w:val="20"/>
              </w:rPr>
            </w:pPr>
          </w:p>
        </w:tc>
      </w:tr>
      <w:tr w:rsidR="00D90837" w:rsidRPr="00255078" w14:paraId="3A0EEB16" w14:textId="77777777" w:rsidTr="0001516D">
        <w:trPr>
          <w:gridAfter w:val="1"/>
          <w:wAfter w:w="8" w:type="dxa"/>
          <w:trHeight w:val="977"/>
        </w:trPr>
        <w:tc>
          <w:tcPr>
            <w:tcW w:w="3595" w:type="dxa"/>
            <w:tcBorders>
              <w:top w:val="single" w:sz="4" w:space="0" w:color="A2AAAD" w:themeColor="accent5"/>
              <w:left w:val="single" w:sz="4" w:space="0" w:color="auto"/>
              <w:bottom w:val="single" w:sz="4" w:space="0" w:color="auto"/>
              <w:right w:val="single" w:sz="4" w:space="0" w:color="000000"/>
            </w:tcBorders>
            <w:shd w:val="clear" w:color="auto" w:fill="auto"/>
            <w:vAlign w:val="center"/>
            <w:hideMark/>
          </w:tcPr>
          <w:p w14:paraId="03EF7D9B" w14:textId="1D2543BC" w:rsidR="00D90837" w:rsidRPr="00255078" w:rsidRDefault="00BB159E">
            <w:pPr>
              <w:spacing w:after="0"/>
              <w:jc w:val="left"/>
              <w:rPr>
                <w:rFonts w:ascii="Calibri" w:hAnsi="Calibri" w:cs="Calibri"/>
                <w:color w:val="000000"/>
                <w:sz w:val="20"/>
              </w:rPr>
            </w:pPr>
            <w:r>
              <w:rPr>
                <w:rFonts w:ascii="Calibri" w:hAnsi="Calibri" w:cs="Calibri"/>
                <w:color w:val="000000"/>
                <w:sz w:val="20"/>
              </w:rPr>
              <w:t xml:space="preserve">Perform </w:t>
            </w:r>
            <w:r w:rsidR="004A7782">
              <w:rPr>
                <w:rFonts w:ascii="Calibri" w:hAnsi="Calibri" w:cs="Calibri"/>
                <w:color w:val="000000"/>
                <w:sz w:val="20"/>
              </w:rPr>
              <w:t xml:space="preserve">Four-Step Process to </w:t>
            </w:r>
            <w:r w:rsidR="00D90837">
              <w:rPr>
                <w:rFonts w:ascii="Calibri" w:hAnsi="Calibri" w:cs="Calibri"/>
                <w:color w:val="000000"/>
                <w:sz w:val="20"/>
              </w:rPr>
              <w:t>Address Potential Data Gaps Identified in 2022 GMP</w:t>
            </w:r>
            <w:r w:rsidR="00667F68">
              <w:rPr>
                <w:rFonts w:ascii="Calibri" w:hAnsi="Calibri" w:cs="Calibri"/>
                <w:color w:val="000000"/>
                <w:sz w:val="20"/>
              </w:rPr>
              <w:t xml:space="preserve"> (Responsible Parties)</w:t>
            </w:r>
          </w:p>
        </w:tc>
        <w:tc>
          <w:tcPr>
            <w:tcW w:w="830" w:type="dxa"/>
            <w:tcBorders>
              <w:top w:val="single" w:sz="4" w:space="0" w:color="A2AAAD" w:themeColor="accent5"/>
              <w:left w:val="nil"/>
              <w:bottom w:val="single" w:sz="4" w:space="0" w:color="auto"/>
              <w:right w:val="single" w:sz="4" w:space="0" w:color="5B6770"/>
            </w:tcBorders>
            <w:shd w:val="clear" w:color="auto" w:fill="FFFFFF" w:themeFill="background1"/>
            <w:vAlign w:val="center"/>
          </w:tcPr>
          <w:p w14:paraId="199B4182" w14:textId="0287E0FB" w:rsidR="00D90837" w:rsidRPr="00255078" w:rsidRDefault="00D90837" w:rsidP="0001516D">
            <w:pPr>
              <w:spacing w:after="0"/>
              <w:jc w:val="center"/>
              <w:rPr>
                <w:rFonts w:ascii="Calibri" w:hAnsi="Calibri" w:cs="Calibri"/>
                <w:color w:val="000000"/>
                <w:sz w:val="20"/>
              </w:rPr>
            </w:pPr>
          </w:p>
        </w:tc>
        <w:tc>
          <w:tcPr>
            <w:tcW w:w="831" w:type="dxa"/>
            <w:tcBorders>
              <w:top w:val="single" w:sz="4" w:space="0" w:color="A2AAAD" w:themeColor="accent5"/>
              <w:left w:val="nil"/>
              <w:bottom w:val="single" w:sz="4" w:space="0" w:color="auto"/>
              <w:right w:val="single" w:sz="4" w:space="0" w:color="5B6770"/>
            </w:tcBorders>
            <w:shd w:val="clear" w:color="auto" w:fill="BCE5FF" w:themeFill="accent2" w:themeFillTint="33"/>
            <w:vAlign w:val="center"/>
          </w:tcPr>
          <w:p w14:paraId="742CD405" w14:textId="1FECA511"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Start: </w:t>
            </w:r>
            <w:r w:rsidR="00667F68">
              <w:rPr>
                <w:rFonts w:ascii="Calibri" w:hAnsi="Calibri" w:cs="Calibri"/>
                <w:color w:val="000000"/>
                <w:sz w:val="20"/>
              </w:rPr>
              <w:t>Jan 2023</w:t>
            </w:r>
          </w:p>
        </w:tc>
        <w:tc>
          <w:tcPr>
            <w:tcW w:w="831" w:type="dxa"/>
            <w:tcBorders>
              <w:top w:val="single" w:sz="4" w:space="0" w:color="A2AAAD" w:themeColor="accent5"/>
              <w:left w:val="nil"/>
              <w:bottom w:val="single" w:sz="4" w:space="0" w:color="auto"/>
              <w:right w:val="single" w:sz="4" w:space="0" w:color="5B6770"/>
            </w:tcBorders>
            <w:shd w:val="clear" w:color="auto" w:fill="BCE5FF" w:themeFill="accent2" w:themeFillTint="33"/>
            <w:vAlign w:val="center"/>
          </w:tcPr>
          <w:p w14:paraId="76CEAA12" w14:textId="1FEEFCB9" w:rsidR="00D90837" w:rsidRPr="00255078" w:rsidRDefault="00D90837" w:rsidP="0001516D">
            <w:pPr>
              <w:spacing w:after="0"/>
              <w:jc w:val="center"/>
              <w:rPr>
                <w:rFonts w:ascii="Calibri" w:hAnsi="Calibri" w:cs="Calibri"/>
                <w:color w:val="000000"/>
                <w:sz w:val="20"/>
              </w:rPr>
            </w:pPr>
          </w:p>
        </w:tc>
        <w:tc>
          <w:tcPr>
            <w:tcW w:w="830" w:type="dxa"/>
            <w:tcBorders>
              <w:top w:val="single" w:sz="4" w:space="0" w:color="A2AAAD" w:themeColor="accent5"/>
              <w:left w:val="nil"/>
              <w:bottom w:val="single" w:sz="4" w:space="0" w:color="auto"/>
              <w:right w:val="single" w:sz="4" w:space="0" w:color="5B6770"/>
            </w:tcBorders>
            <w:shd w:val="clear" w:color="auto" w:fill="BCE5FF" w:themeFill="accent2" w:themeFillTint="33"/>
            <w:vAlign w:val="center"/>
          </w:tcPr>
          <w:p w14:paraId="715F7A49" w14:textId="3951AF00"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Finish: </w:t>
            </w:r>
            <w:r w:rsidR="00667F68">
              <w:rPr>
                <w:rFonts w:ascii="Calibri" w:hAnsi="Calibri" w:cs="Calibri"/>
                <w:color w:val="000000"/>
                <w:sz w:val="20"/>
              </w:rPr>
              <w:t>Dec 2025</w:t>
            </w:r>
          </w:p>
        </w:tc>
        <w:tc>
          <w:tcPr>
            <w:tcW w:w="831" w:type="dxa"/>
            <w:tcBorders>
              <w:top w:val="single" w:sz="4" w:space="0" w:color="A2AAAD" w:themeColor="accent5"/>
              <w:left w:val="nil"/>
              <w:bottom w:val="single" w:sz="4" w:space="0" w:color="auto"/>
              <w:right w:val="single" w:sz="4" w:space="0" w:color="5B6770"/>
            </w:tcBorders>
            <w:shd w:val="clear" w:color="auto" w:fill="FFFFFF" w:themeFill="background1"/>
            <w:vAlign w:val="center"/>
          </w:tcPr>
          <w:p w14:paraId="76E32532" w14:textId="2CDE1313" w:rsidR="00D90837" w:rsidRPr="00255078" w:rsidRDefault="00D90837" w:rsidP="0001516D">
            <w:pPr>
              <w:spacing w:after="0"/>
              <w:jc w:val="center"/>
              <w:rPr>
                <w:rFonts w:ascii="Calibri" w:hAnsi="Calibri" w:cs="Calibri"/>
                <w:color w:val="000000"/>
                <w:sz w:val="20"/>
              </w:rPr>
            </w:pPr>
          </w:p>
        </w:tc>
        <w:tc>
          <w:tcPr>
            <w:tcW w:w="831" w:type="dxa"/>
            <w:tcBorders>
              <w:top w:val="single" w:sz="4" w:space="0" w:color="A2AAAD" w:themeColor="accent5"/>
              <w:left w:val="nil"/>
              <w:bottom w:val="single" w:sz="4" w:space="0" w:color="auto"/>
              <w:right w:val="single" w:sz="4" w:space="0" w:color="5B6770"/>
            </w:tcBorders>
            <w:shd w:val="clear" w:color="auto" w:fill="FFFFFF" w:themeFill="background1"/>
            <w:vAlign w:val="center"/>
          </w:tcPr>
          <w:p w14:paraId="0316F7EA" w14:textId="0F00CDA6" w:rsidR="00D90837" w:rsidRPr="00255078" w:rsidRDefault="00D90837" w:rsidP="0001516D">
            <w:pPr>
              <w:spacing w:after="0"/>
              <w:jc w:val="center"/>
              <w:rPr>
                <w:rFonts w:ascii="Calibri" w:hAnsi="Calibri" w:cs="Calibri"/>
                <w:color w:val="000000"/>
                <w:sz w:val="20"/>
              </w:rPr>
            </w:pPr>
          </w:p>
        </w:tc>
        <w:tc>
          <w:tcPr>
            <w:tcW w:w="831" w:type="dxa"/>
            <w:tcBorders>
              <w:top w:val="single" w:sz="4" w:space="0" w:color="A2AAAD" w:themeColor="accent5"/>
              <w:left w:val="nil"/>
              <w:bottom w:val="single" w:sz="4" w:space="0" w:color="auto"/>
              <w:right w:val="single" w:sz="4" w:space="0" w:color="auto"/>
            </w:tcBorders>
            <w:shd w:val="clear" w:color="auto" w:fill="FFFFFF" w:themeFill="background1"/>
            <w:vAlign w:val="center"/>
          </w:tcPr>
          <w:p w14:paraId="23316C27" w14:textId="269DCE51" w:rsidR="00D90837" w:rsidRPr="00255078" w:rsidRDefault="00D90837" w:rsidP="0001516D">
            <w:pPr>
              <w:spacing w:after="0"/>
              <w:jc w:val="center"/>
              <w:rPr>
                <w:rFonts w:ascii="Calibri" w:hAnsi="Calibri" w:cs="Calibri"/>
                <w:color w:val="000000"/>
                <w:sz w:val="20"/>
              </w:rPr>
            </w:pPr>
          </w:p>
        </w:tc>
      </w:tr>
      <w:tr w:rsidR="00D90837" w:rsidRPr="00255078" w14:paraId="11630D14" w14:textId="77777777" w:rsidTr="0001516D">
        <w:trPr>
          <w:gridAfter w:val="1"/>
          <w:wAfter w:w="8" w:type="dxa"/>
          <w:trHeight w:val="977"/>
        </w:trPr>
        <w:tc>
          <w:tcPr>
            <w:tcW w:w="359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E6E5202" w14:textId="77777777" w:rsidR="00667F68" w:rsidRDefault="00D90837">
            <w:pPr>
              <w:spacing w:after="0"/>
              <w:jc w:val="left"/>
              <w:rPr>
                <w:rFonts w:ascii="Calibri" w:hAnsi="Calibri" w:cs="Calibri"/>
                <w:color w:val="000000"/>
                <w:sz w:val="20"/>
              </w:rPr>
            </w:pPr>
            <w:r>
              <w:rPr>
                <w:rFonts w:ascii="Calibri" w:hAnsi="Calibri" w:cs="Calibri"/>
                <w:color w:val="000000"/>
                <w:sz w:val="20"/>
              </w:rPr>
              <w:t>Annual Data Collection</w:t>
            </w:r>
            <w:r w:rsidR="00667F68">
              <w:rPr>
                <w:rFonts w:ascii="Calibri" w:hAnsi="Calibri" w:cs="Calibri"/>
                <w:color w:val="000000"/>
                <w:sz w:val="20"/>
              </w:rPr>
              <w:t xml:space="preserve"> </w:t>
            </w:r>
          </w:p>
          <w:p w14:paraId="695D9071" w14:textId="40FB295B" w:rsidR="00D90837" w:rsidRPr="00255078" w:rsidRDefault="00667F68">
            <w:pPr>
              <w:spacing w:after="0"/>
              <w:jc w:val="left"/>
              <w:rPr>
                <w:rFonts w:ascii="Calibri" w:hAnsi="Calibri" w:cs="Calibri"/>
                <w:color w:val="000000"/>
                <w:sz w:val="20"/>
              </w:rPr>
            </w:pPr>
            <w:r>
              <w:rPr>
                <w:rFonts w:ascii="Calibri" w:hAnsi="Calibri" w:cs="Calibri"/>
                <w:color w:val="000000"/>
                <w:sz w:val="20"/>
              </w:rPr>
              <w:t>(Task Force)</w:t>
            </w:r>
          </w:p>
        </w:tc>
        <w:tc>
          <w:tcPr>
            <w:tcW w:w="830" w:type="dxa"/>
            <w:tcBorders>
              <w:top w:val="nil"/>
              <w:left w:val="nil"/>
              <w:bottom w:val="single" w:sz="4" w:space="0" w:color="auto"/>
              <w:right w:val="single" w:sz="4" w:space="0" w:color="5B6770"/>
            </w:tcBorders>
            <w:shd w:val="clear" w:color="auto" w:fill="FFFFFF" w:themeFill="background1"/>
            <w:vAlign w:val="center"/>
          </w:tcPr>
          <w:p w14:paraId="4A2CDCD8" w14:textId="145EF931"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362128BB" w14:textId="69F5C3A1"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BCE5FF" w:themeFill="accent2" w:themeFillTint="33"/>
            <w:vAlign w:val="center"/>
          </w:tcPr>
          <w:p w14:paraId="312454BE" w14:textId="46FC57BB" w:rsidR="00D90837" w:rsidRPr="00255078" w:rsidRDefault="00667F68" w:rsidP="0001516D">
            <w:pPr>
              <w:spacing w:after="0"/>
              <w:jc w:val="center"/>
              <w:rPr>
                <w:rFonts w:ascii="Calibri" w:hAnsi="Calibri" w:cs="Calibri"/>
                <w:color w:val="000000"/>
                <w:sz w:val="20"/>
              </w:rPr>
            </w:pPr>
            <w:r>
              <w:rPr>
                <w:rFonts w:ascii="Calibri" w:hAnsi="Calibri" w:cs="Calibri"/>
                <w:color w:val="000000"/>
                <w:sz w:val="20"/>
              </w:rPr>
              <w:t>Jul-Dec 2024</w:t>
            </w:r>
          </w:p>
        </w:tc>
        <w:tc>
          <w:tcPr>
            <w:tcW w:w="830" w:type="dxa"/>
            <w:tcBorders>
              <w:top w:val="nil"/>
              <w:left w:val="nil"/>
              <w:bottom w:val="single" w:sz="4" w:space="0" w:color="auto"/>
              <w:right w:val="single" w:sz="4" w:space="0" w:color="5B6770"/>
            </w:tcBorders>
            <w:shd w:val="clear" w:color="auto" w:fill="BCE5FF" w:themeFill="accent2" w:themeFillTint="33"/>
            <w:vAlign w:val="center"/>
          </w:tcPr>
          <w:p w14:paraId="59D3C973" w14:textId="79B6FC4F" w:rsidR="00D90837" w:rsidRPr="00255078" w:rsidRDefault="00667F68" w:rsidP="0001516D">
            <w:pPr>
              <w:spacing w:after="0"/>
              <w:jc w:val="center"/>
              <w:rPr>
                <w:rFonts w:ascii="Calibri" w:hAnsi="Calibri" w:cs="Calibri"/>
                <w:color w:val="000000"/>
                <w:sz w:val="20"/>
              </w:rPr>
            </w:pPr>
            <w:r>
              <w:rPr>
                <w:rFonts w:ascii="Calibri" w:hAnsi="Calibri" w:cs="Calibri"/>
                <w:color w:val="000000"/>
                <w:sz w:val="20"/>
              </w:rPr>
              <w:t>Jul-Dec 2025</w:t>
            </w:r>
          </w:p>
        </w:tc>
        <w:tc>
          <w:tcPr>
            <w:tcW w:w="831" w:type="dxa"/>
            <w:tcBorders>
              <w:top w:val="nil"/>
              <w:left w:val="nil"/>
              <w:bottom w:val="single" w:sz="4" w:space="0" w:color="auto"/>
              <w:right w:val="single" w:sz="4" w:space="0" w:color="5B6770"/>
            </w:tcBorders>
            <w:shd w:val="clear" w:color="auto" w:fill="BCE5FF" w:themeFill="accent2" w:themeFillTint="33"/>
            <w:vAlign w:val="center"/>
          </w:tcPr>
          <w:p w14:paraId="2CE4251C" w14:textId="793FCB68" w:rsidR="00D90837" w:rsidRPr="00255078" w:rsidRDefault="00667F68" w:rsidP="0001516D">
            <w:pPr>
              <w:spacing w:after="0"/>
              <w:jc w:val="center"/>
              <w:rPr>
                <w:rFonts w:ascii="Calibri" w:hAnsi="Calibri" w:cs="Calibri"/>
                <w:color w:val="000000"/>
                <w:sz w:val="20"/>
              </w:rPr>
            </w:pPr>
            <w:r>
              <w:rPr>
                <w:rFonts w:ascii="Calibri" w:hAnsi="Calibri" w:cs="Calibri"/>
                <w:color w:val="000000"/>
                <w:sz w:val="20"/>
              </w:rPr>
              <w:t>Jul-Dec 2026</w:t>
            </w:r>
          </w:p>
        </w:tc>
        <w:tc>
          <w:tcPr>
            <w:tcW w:w="831" w:type="dxa"/>
            <w:tcBorders>
              <w:top w:val="nil"/>
              <w:left w:val="nil"/>
              <w:bottom w:val="single" w:sz="4" w:space="0" w:color="auto"/>
              <w:right w:val="single" w:sz="4" w:space="0" w:color="5B6770"/>
            </w:tcBorders>
            <w:shd w:val="clear" w:color="auto" w:fill="BCE5FF" w:themeFill="accent2" w:themeFillTint="33"/>
            <w:vAlign w:val="center"/>
          </w:tcPr>
          <w:p w14:paraId="47705EF7" w14:textId="5DEDCA9E" w:rsidR="00D90837" w:rsidRPr="00255078" w:rsidRDefault="00667F68" w:rsidP="0001516D">
            <w:pPr>
              <w:spacing w:after="0"/>
              <w:jc w:val="center"/>
              <w:rPr>
                <w:rFonts w:ascii="Calibri" w:hAnsi="Calibri" w:cs="Calibri"/>
                <w:color w:val="000000"/>
                <w:sz w:val="20"/>
              </w:rPr>
            </w:pPr>
            <w:r>
              <w:rPr>
                <w:rFonts w:ascii="Calibri" w:hAnsi="Calibri" w:cs="Calibri"/>
                <w:color w:val="000000"/>
                <w:sz w:val="20"/>
              </w:rPr>
              <w:t>Jul-Dec 2027</w:t>
            </w:r>
          </w:p>
        </w:tc>
        <w:tc>
          <w:tcPr>
            <w:tcW w:w="831" w:type="dxa"/>
            <w:tcBorders>
              <w:top w:val="nil"/>
              <w:left w:val="nil"/>
              <w:bottom w:val="single" w:sz="4" w:space="0" w:color="auto"/>
              <w:right w:val="single" w:sz="4" w:space="0" w:color="auto"/>
            </w:tcBorders>
            <w:shd w:val="clear" w:color="auto" w:fill="BCE5FF" w:themeFill="accent2" w:themeFillTint="33"/>
            <w:vAlign w:val="center"/>
          </w:tcPr>
          <w:p w14:paraId="3CF8019F" w14:textId="773C54F6" w:rsidR="00D90837" w:rsidRPr="00255078" w:rsidRDefault="00667F68" w:rsidP="0001516D">
            <w:pPr>
              <w:spacing w:after="0"/>
              <w:jc w:val="center"/>
              <w:rPr>
                <w:rFonts w:ascii="Calibri" w:hAnsi="Calibri" w:cs="Calibri"/>
                <w:color w:val="000000"/>
                <w:sz w:val="20"/>
              </w:rPr>
            </w:pPr>
            <w:r>
              <w:rPr>
                <w:rFonts w:ascii="Calibri" w:hAnsi="Calibri" w:cs="Calibri"/>
                <w:color w:val="000000"/>
                <w:sz w:val="20"/>
              </w:rPr>
              <w:t>Jul-Dec 2028</w:t>
            </w:r>
          </w:p>
        </w:tc>
      </w:tr>
      <w:tr w:rsidR="00D90837" w:rsidRPr="00255078" w14:paraId="20296499" w14:textId="77777777" w:rsidTr="0001516D">
        <w:trPr>
          <w:gridAfter w:val="1"/>
          <w:wAfter w:w="8" w:type="dxa"/>
          <w:trHeight w:val="977"/>
        </w:trPr>
        <w:tc>
          <w:tcPr>
            <w:tcW w:w="3595" w:type="dxa"/>
            <w:tcBorders>
              <w:top w:val="single" w:sz="4" w:space="0" w:color="auto"/>
              <w:left w:val="single" w:sz="4" w:space="0" w:color="auto"/>
              <w:bottom w:val="single" w:sz="4" w:space="0" w:color="auto"/>
              <w:right w:val="single" w:sz="4" w:space="0" w:color="000000"/>
            </w:tcBorders>
            <w:shd w:val="clear" w:color="auto" w:fill="auto"/>
            <w:vAlign w:val="center"/>
          </w:tcPr>
          <w:p w14:paraId="4F1087CA" w14:textId="77777777" w:rsidR="00667F68" w:rsidRDefault="00D90837">
            <w:pPr>
              <w:spacing w:after="0"/>
              <w:jc w:val="left"/>
              <w:rPr>
                <w:rFonts w:ascii="Calibri" w:hAnsi="Calibri" w:cs="Calibri"/>
                <w:color w:val="000000"/>
                <w:sz w:val="20"/>
              </w:rPr>
            </w:pPr>
            <w:r>
              <w:rPr>
                <w:rFonts w:ascii="Calibri" w:hAnsi="Calibri" w:cs="Calibri"/>
                <w:color w:val="000000"/>
                <w:sz w:val="20"/>
              </w:rPr>
              <w:t>Update GMZ Aquifer Storage Models</w:t>
            </w:r>
            <w:r w:rsidR="00667F68">
              <w:rPr>
                <w:rFonts w:ascii="Calibri" w:hAnsi="Calibri" w:cs="Calibri"/>
                <w:color w:val="000000"/>
                <w:sz w:val="20"/>
              </w:rPr>
              <w:t xml:space="preserve"> </w:t>
            </w:r>
          </w:p>
          <w:p w14:paraId="66233924" w14:textId="694D21A4" w:rsidR="00D90837" w:rsidRDefault="00667F68">
            <w:pPr>
              <w:spacing w:after="0"/>
              <w:jc w:val="left"/>
              <w:rPr>
                <w:rFonts w:ascii="Calibri" w:hAnsi="Calibri" w:cs="Calibri"/>
                <w:color w:val="000000"/>
                <w:sz w:val="20"/>
              </w:rPr>
            </w:pPr>
            <w:r>
              <w:rPr>
                <w:rFonts w:ascii="Calibri" w:hAnsi="Calibri" w:cs="Calibri"/>
                <w:color w:val="000000"/>
                <w:sz w:val="20"/>
              </w:rPr>
              <w:t>(Task Force)</w:t>
            </w:r>
          </w:p>
        </w:tc>
        <w:tc>
          <w:tcPr>
            <w:tcW w:w="830" w:type="dxa"/>
            <w:tcBorders>
              <w:top w:val="nil"/>
              <w:left w:val="nil"/>
              <w:bottom w:val="single" w:sz="4" w:space="0" w:color="auto"/>
              <w:right w:val="single" w:sz="4" w:space="0" w:color="5B6770"/>
            </w:tcBorders>
            <w:shd w:val="clear" w:color="auto" w:fill="FFFFFF" w:themeFill="background1"/>
            <w:vAlign w:val="center"/>
          </w:tcPr>
          <w:p w14:paraId="70540B5E"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63450790"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BCE5FF" w:themeFill="accent2" w:themeFillTint="33"/>
            <w:vAlign w:val="center"/>
          </w:tcPr>
          <w:p w14:paraId="6A40073C" w14:textId="56C557AB"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Start: </w:t>
            </w:r>
            <w:r w:rsidR="00667F68">
              <w:rPr>
                <w:rFonts w:ascii="Calibri" w:hAnsi="Calibri" w:cs="Calibri"/>
                <w:color w:val="000000"/>
                <w:sz w:val="20"/>
              </w:rPr>
              <w:t>Jul 2024</w:t>
            </w:r>
          </w:p>
        </w:tc>
        <w:tc>
          <w:tcPr>
            <w:tcW w:w="830" w:type="dxa"/>
            <w:tcBorders>
              <w:top w:val="nil"/>
              <w:left w:val="nil"/>
              <w:bottom w:val="single" w:sz="4" w:space="0" w:color="auto"/>
              <w:right w:val="single" w:sz="4" w:space="0" w:color="5B6770"/>
            </w:tcBorders>
            <w:shd w:val="clear" w:color="auto" w:fill="BCE5FF" w:themeFill="accent2" w:themeFillTint="33"/>
            <w:vAlign w:val="center"/>
          </w:tcPr>
          <w:p w14:paraId="35628687"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BCE5FF" w:themeFill="accent2" w:themeFillTint="33"/>
            <w:vAlign w:val="center"/>
          </w:tcPr>
          <w:p w14:paraId="1FCFBAF1" w14:textId="475BE31B"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Finish: </w:t>
            </w:r>
            <w:r w:rsidR="00667F68">
              <w:rPr>
                <w:rFonts w:ascii="Calibri" w:hAnsi="Calibri" w:cs="Calibri"/>
                <w:color w:val="000000"/>
                <w:sz w:val="20"/>
              </w:rPr>
              <w:t>Jun 202</w:t>
            </w:r>
            <w:r w:rsidR="004D4475">
              <w:rPr>
                <w:rFonts w:ascii="Calibri" w:hAnsi="Calibri" w:cs="Calibri"/>
                <w:color w:val="000000"/>
                <w:sz w:val="20"/>
              </w:rPr>
              <w:t>7</w:t>
            </w:r>
          </w:p>
        </w:tc>
        <w:tc>
          <w:tcPr>
            <w:tcW w:w="831" w:type="dxa"/>
            <w:tcBorders>
              <w:top w:val="nil"/>
              <w:left w:val="nil"/>
              <w:bottom w:val="single" w:sz="4" w:space="0" w:color="auto"/>
              <w:right w:val="single" w:sz="4" w:space="0" w:color="5B6770"/>
            </w:tcBorders>
            <w:shd w:val="clear" w:color="auto" w:fill="FFFFFF" w:themeFill="background1"/>
            <w:vAlign w:val="center"/>
          </w:tcPr>
          <w:p w14:paraId="7F43777A"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auto"/>
            </w:tcBorders>
            <w:shd w:val="clear" w:color="auto" w:fill="FFFFFF" w:themeFill="background1"/>
            <w:vAlign w:val="center"/>
          </w:tcPr>
          <w:p w14:paraId="5A4B91E8" w14:textId="77777777" w:rsidR="00D90837" w:rsidRPr="00255078" w:rsidRDefault="00D90837" w:rsidP="0001516D">
            <w:pPr>
              <w:spacing w:after="0"/>
              <w:jc w:val="center"/>
              <w:rPr>
                <w:rFonts w:ascii="Calibri" w:hAnsi="Calibri" w:cs="Calibri"/>
                <w:color w:val="000000"/>
                <w:sz w:val="20"/>
              </w:rPr>
            </w:pPr>
          </w:p>
        </w:tc>
      </w:tr>
      <w:tr w:rsidR="00D90837" w:rsidRPr="00255078" w14:paraId="5F75720F" w14:textId="77777777" w:rsidTr="0001516D">
        <w:trPr>
          <w:gridAfter w:val="1"/>
          <w:wAfter w:w="8" w:type="dxa"/>
          <w:trHeight w:val="977"/>
        </w:trPr>
        <w:tc>
          <w:tcPr>
            <w:tcW w:w="3595" w:type="dxa"/>
            <w:tcBorders>
              <w:top w:val="single" w:sz="4" w:space="0" w:color="auto"/>
              <w:left w:val="single" w:sz="4" w:space="0" w:color="auto"/>
              <w:bottom w:val="single" w:sz="4" w:space="0" w:color="auto"/>
              <w:right w:val="single" w:sz="4" w:space="0" w:color="000000"/>
            </w:tcBorders>
            <w:shd w:val="clear" w:color="auto" w:fill="auto"/>
            <w:vAlign w:val="center"/>
          </w:tcPr>
          <w:p w14:paraId="60F03F06" w14:textId="77777777" w:rsidR="00667F68" w:rsidRDefault="00D90837" w:rsidP="00667F68">
            <w:pPr>
              <w:spacing w:after="0"/>
              <w:jc w:val="left"/>
              <w:rPr>
                <w:rFonts w:ascii="Calibri" w:hAnsi="Calibri" w:cs="Calibri"/>
                <w:color w:val="000000"/>
                <w:sz w:val="20"/>
              </w:rPr>
            </w:pPr>
            <w:r>
              <w:rPr>
                <w:rFonts w:ascii="Calibri" w:hAnsi="Calibri" w:cs="Calibri"/>
                <w:color w:val="000000"/>
                <w:sz w:val="20"/>
              </w:rPr>
              <w:t>Identify New Potential Data Gaps</w:t>
            </w:r>
            <w:r w:rsidR="00667F68">
              <w:rPr>
                <w:rFonts w:ascii="Calibri" w:hAnsi="Calibri" w:cs="Calibri"/>
                <w:color w:val="000000"/>
                <w:sz w:val="20"/>
              </w:rPr>
              <w:t xml:space="preserve"> </w:t>
            </w:r>
          </w:p>
          <w:p w14:paraId="160983C0" w14:textId="483629D9" w:rsidR="00D90837" w:rsidRPr="00255078" w:rsidRDefault="00667F68" w:rsidP="00667F68">
            <w:pPr>
              <w:spacing w:after="0"/>
              <w:jc w:val="left"/>
              <w:rPr>
                <w:rFonts w:ascii="Calibri" w:hAnsi="Calibri" w:cs="Calibri"/>
                <w:color w:val="000000"/>
                <w:sz w:val="20"/>
              </w:rPr>
            </w:pPr>
            <w:r>
              <w:rPr>
                <w:rFonts w:ascii="Calibri" w:hAnsi="Calibri" w:cs="Calibri"/>
                <w:color w:val="000000"/>
                <w:sz w:val="20"/>
              </w:rPr>
              <w:t>(Task Force)</w:t>
            </w:r>
          </w:p>
        </w:tc>
        <w:tc>
          <w:tcPr>
            <w:tcW w:w="830" w:type="dxa"/>
            <w:tcBorders>
              <w:top w:val="nil"/>
              <w:left w:val="nil"/>
              <w:bottom w:val="single" w:sz="4" w:space="0" w:color="auto"/>
              <w:right w:val="single" w:sz="4" w:space="0" w:color="5B6770"/>
            </w:tcBorders>
            <w:shd w:val="clear" w:color="auto" w:fill="FFFFFF" w:themeFill="background1"/>
            <w:vAlign w:val="center"/>
          </w:tcPr>
          <w:p w14:paraId="061023B6"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3436B11E"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3135A7FD" w14:textId="77777777" w:rsidR="00D90837" w:rsidRPr="00255078" w:rsidRDefault="00D90837" w:rsidP="0001516D">
            <w:pPr>
              <w:spacing w:after="0"/>
              <w:jc w:val="center"/>
              <w:rPr>
                <w:rFonts w:ascii="Calibri" w:hAnsi="Calibri" w:cs="Calibri"/>
                <w:color w:val="000000"/>
                <w:sz w:val="20"/>
              </w:rPr>
            </w:pPr>
          </w:p>
        </w:tc>
        <w:tc>
          <w:tcPr>
            <w:tcW w:w="830" w:type="dxa"/>
            <w:tcBorders>
              <w:top w:val="nil"/>
              <w:left w:val="nil"/>
              <w:bottom w:val="single" w:sz="4" w:space="0" w:color="auto"/>
              <w:right w:val="single" w:sz="4" w:space="0" w:color="5B6770"/>
            </w:tcBorders>
            <w:shd w:val="clear" w:color="auto" w:fill="FFFFFF" w:themeFill="background1"/>
            <w:vAlign w:val="center"/>
          </w:tcPr>
          <w:p w14:paraId="727A5173"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BCE5FF" w:themeFill="accent2" w:themeFillTint="33"/>
            <w:vAlign w:val="center"/>
          </w:tcPr>
          <w:p w14:paraId="59939FFD" w14:textId="32266D28" w:rsidR="00D90837" w:rsidRPr="00255078" w:rsidRDefault="00B65A40" w:rsidP="0001516D">
            <w:pPr>
              <w:spacing w:after="0"/>
              <w:jc w:val="center"/>
              <w:rPr>
                <w:rFonts w:ascii="Calibri" w:hAnsi="Calibri" w:cs="Calibri"/>
                <w:color w:val="000000"/>
                <w:sz w:val="20"/>
              </w:rPr>
            </w:pPr>
            <w:r>
              <w:rPr>
                <w:rFonts w:ascii="Calibri" w:hAnsi="Calibri" w:cs="Calibri"/>
                <w:color w:val="000000"/>
                <w:sz w:val="20"/>
              </w:rPr>
              <w:t>Jan</w:t>
            </w:r>
            <w:r w:rsidR="00B62257">
              <w:rPr>
                <w:rFonts w:ascii="Calibri" w:hAnsi="Calibri" w:cs="Calibri"/>
                <w:color w:val="000000"/>
                <w:sz w:val="20"/>
              </w:rPr>
              <w:t xml:space="preserve">-Jun </w:t>
            </w:r>
            <w:r>
              <w:rPr>
                <w:rFonts w:ascii="Calibri" w:hAnsi="Calibri" w:cs="Calibri"/>
                <w:color w:val="000000"/>
                <w:sz w:val="20"/>
              </w:rPr>
              <w:t>2027</w:t>
            </w:r>
          </w:p>
        </w:tc>
        <w:tc>
          <w:tcPr>
            <w:tcW w:w="831" w:type="dxa"/>
            <w:tcBorders>
              <w:top w:val="nil"/>
              <w:left w:val="nil"/>
              <w:bottom w:val="single" w:sz="4" w:space="0" w:color="auto"/>
              <w:right w:val="single" w:sz="4" w:space="0" w:color="5B6770"/>
            </w:tcBorders>
            <w:shd w:val="clear" w:color="auto" w:fill="auto"/>
            <w:vAlign w:val="center"/>
          </w:tcPr>
          <w:p w14:paraId="0F6D8674"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auto"/>
            </w:tcBorders>
            <w:shd w:val="clear" w:color="auto" w:fill="FFFFFF" w:themeFill="background1"/>
            <w:vAlign w:val="center"/>
          </w:tcPr>
          <w:p w14:paraId="77CBC5F0" w14:textId="77777777" w:rsidR="00D90837" w:rsidRPr="00255078" w:rsidRDefault="00D90837" w:rsidP="0001516D">
            <w:pPr>
              <w:spacing w:after="0"/>
              <w:jc w:val="center"/>
              <w:rPr>
                <w:rFonts w:ascii="Calibri" w:hAnsi="Calibri" w:cs="Calibri"/>
                <w:color w:val="000000"/>
                <w:sz w:val="20"/>
              </w:rPr>
            </w:pPr>
          </w:p>
        </w:tc>
      </w:tr>
      <w:tr w:rsidR="00D90837" w:rsidRPr="00255078" w14:paraId="37A0F705" w14:textId="77777777" w:rsidTr="0001516D">
        <w:trPr>
          <w:gridAfter w:val="1"/>
          <w:wAfter w:w="8" w:type="dxa"/>
          <w:trHeight w:val="977"/>
        </w:trPr>
        <w:tc>
          <w:tcPr>
            <w:tcW w:w="3595" w:type="dxa"/>
            <w:tcBorders>
              <w:top w:val="single" w:sz="4" w:space="0" w:color="auto"/>
              <w:left w:val="single" w:sz="4" w:space="0" w:color="auto"/>
              <w:bottom w:val="single" w:sz="4" w:space="0" w:color="auto"/>
              <w:right w:val="single" w:sz="4" w:space="0" w:color="000000"/>
            </w:tcBorders>
            <w:shd w:val="clear" w:color="auto" w:fill="auto"/>
            <w:vAlign w:val="center"/>
          </w:tcPr>
          <w:p w14:paraId="766102E7" w14:textId="77777777" w:rsidR="00667F68" w:rsidRDefault="00D90837" w:rsidP="00667F68">
            <w:pPr>
              <w:spacing w:after="0"/>
              <w:jc w:val="left"/>
              <w:rPr>
                <w:rFonts w:ascii="Calibri" w:hAnsi="Calibri" w:cs="Calibri"/>
                <w:color w:val="000000"/>
                <w:sz w:val="20"/>
              </w:rPr>
            </w:pPr>
            <w:r>
              <w:rPr>
                <w:rFonts w:ascii="Calibri" w:hAnsi="Calibri" w:cs="Calibri"/>
                <w:color w:val="000000"/>
                <w:sz w:val="20"/>
              </w:rPr>
              <w:t>Compute AWQ and Assimilative Capacity</w:t>
            </w:r>
            <w:r w:rsidR="00667F68">
              <w:rPr>
                <w:rFonts w:ascii="Calibri" w:hAnsi="Calibri" w:cs="Calibri"/>
                <w:color w:val="000000"/>
                <w:sz w:val="20"/>
              </w:rPr>
              <w:t xml:space="preserve"> </w:t>
            </w:r>
          </w:p>
          <w:p w14:paraId="3A674A53" w14:textId="06C60957" w:rsidR="00D90837" w:rsidRPr="00255078" w:rsidRDefault="00667F68" w:rsidP="00667F68">
            <w:pPr>
              <w:spacing w:after="0"/>
              <w:jc w:val="left"/>
              <w:rPr>
                <w:rFonts w:ascii="Calibri" w:hAnsi="Calibri" w:cs="Calibri"/>
                <w:color w:val="000000"/>
                <w:sz w:val="20"/>
              </w:rPr>
            </w:pPr>
            <w:r>
              <w:rPr>
                <w:rFonts w:ascii="Calibri" w:hAnsi="Calibri" w:cs="Calibri"/>
                <w:color w:val="000000"/>
                <w:sz w:val="20"/>
              </w:rPr>
              <w:t>(Task Force)</w:t>
            </w:r>
          </w:p>
        </w:tc>
        <w:tc>
          <w:tcPr>
            <w:tcW w:w="830" w:type="dxa"/>
            <w:tcBorders>
              <w:top w:val="nil"/>
              <w:left w:val="nil"/>
              <w:bottom w:val="single" w:sz="4" w:space="0" w:color="auto"/>
              <w:right w:val="single" w:sz="4" w:space="0" w:color="5B6770"/>
            </w:tcBorders>
            <w:shd w:val="clear" w:color="auto" w:fill="FFFFFF" w:themeFill="background1"/>
            <w:vAlign w:val="center"/>
          </w:tcPr>
          <w:p w14:paraId="279B233A"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05A33015"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60783818" w14:textId="77777777" w:rsidR="00D90837" w:rsidRPr="00255078" w:rsidRDefault="00D90837" w:rsidP="0001516D">
            <w:pPr>
              <w:spacing w:after="0"/>
              <w:jc w:val="center"/>
              <w:rPr>
                <w:rFonts w:ascii="Calibri" w:hAnsi="Calibri" w:cs="Calibri"/>
                <w:color w:val="000000"/>
                <w:sz w:val="20"/>
              </w:rPr>
            </w:pPr>
          </w:p>
        </w:tc>
        <w:tc>
          <w:tcPr>
            <w:tcW w:w="830" w:type="dxa"/>
            <w:tcBorders>
              <w:top w:val="nil"/>
              <w:left w:val="nil"/>
              <w:bottom w:val="single" w:sz="4" w:space="0" w:color="auto"/>
              <w:right w:val="single" w:sz="4" w:space="0" w:color="5B6770"/>
            </w:tcBorders>
            <w:shd w:val="clear" w:color="auto" w:fill="FFFFFF" w:themeFill="background1"/>
            <w:vAlign w:val="center"/>
          </w:tcPr>
          <w:p w14:paraId="7F0CDFD5"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2BF3FCE5"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BCE5FF" w:themeFill="accent2" w:themeFillTint="33"/>
            <w:vAlign w:val="center"/>
          </w:tcPr>
          <w:p w14:paraId="4A39A340" w14:textId="0D488753"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Start: </w:t>
            </w:r>
            <w:r w:rsidR="004D4475">
              <w:rPr>
                <w:rFonts w:ascii="Calibri" w:hAnsi="Calibri" w:cs="Calibri"/>
                <w:color w:val="000000"/>
                <w:sz w:val="20"/>
              </w:rPr>
              <w:t>Jul 2027</w:t>
            </w:r>
          </w:p>
        </w:tc>
        <w:tc>
          <w:tcPr>
            <w:tcW w:w="831" w:type="dxa"/>
            <w:tcBorders>
              <w:top w:val="nil"/>
              <w:left w:val="nil"/>
              <w:bottom w:val="single" w:sz="4" w:space="0" w:color="auto"/>
              <w:right w:val="single" w:sz="4" w:space="0" w:color="auto"/>
            </w:tcBorders>
            <w:shd w:val="clear" w:color="auto" w:fill="BCE5FF" w:themeFill="accent2" w:themeFillTint="33"/>
            <w:vAlign w:val="center"/>
          </w:tcPr>
          <w:p w14:paraId="2038A1B9" w14:textId="080E1214" w:rsidR="00D90837" w:rsidRPr="00255078" w:rsidRDefault="0001516D" w:rsidP="0001516D">
            <w:pPr>
              <w:spacing w:after="0"/>
              <w:jc w:val="center"/>
              <w:rPr>
                <w:rFonts w:ascii="Calibri" w:hAnsi="Calibri" w:cs="Calibri"/>
                <w:color w:val="000000"/>
                <w:sz w:val="20"/>
              </w:rPr>
            </w:pPr>
            <w:r>
              <w:rPr>
                <w:rFonts w:ascii="Calibri" w:hAnsi="Calibri" w:cs="Calibri"/>
                <w:color w:val="000000"/>
                <w:sz w:val="20"/>
              </w:rPr>
              <w:t xml:space="preserve">Finish: </w:t>
            </w:r>
            <w:r w:rsidR="004D4475">
              <w:rPr>
                <w:rFonts w:ascii="Calibri" w:hAnsi="Calibri" w:cs="Calibri"/>
                <w:color w:val="000000"/>
                <w:sz w:val="20"/>
              </w:rPr>
              <w:t>Oct 2028</w:t>
            </w:r>
          </w:p>
        </w:tc>
      </w:tr>
      <w:tr w:rsidR="00D90837" w:rsidRPr="00255078" w14:paraId="5A3CE1CB" w14:textId="77777777" w:rsidTr="0001516D">
        <w:trPr>
          <w:gridAfter w:val="1"/>
          <w:wAfter w:w="8" w:type="dxa"/>
          <w:trHeight w:val="977"/>
        </w:trPr>
        <w:tc>
          <w:tcPr>
            <w:tcW w:w="3595" w:type="dxa"/>
            <w:tcBorders>
              <w:top w:val="single" w:sz="4" w:space="0" w:color="auto"/>
              <w:left w:val="single" w:sz="4" w:space="0" w:color="auto"/>
              <w:bottom w:val="single" w:sz="4" w:space="0" w:color="auto"/>
              <w:right w:val="single" w:sz="4" w:space="0" w:color="000000"/>
            </w:tcBorders>
            <w:shd w:val="clear" w:color="auto" w:fill="auto"/>
            <w:vAlign w:val="center"/>
          </w:tcPr>
          <w:p w14:paraId="0E6770F2" w14:textId="4298F558" w:rsidR="00D90837" w:rsidRDefault="0001516D" w:rsidP="00667F68">
            <w:pPr>
              <w:spacing w:after="0"/>
              <w:jc w:val="left"/>
              <w:rPr>
                <w:rFonts w:ascii="Calibri" w:hAnsi="Calibri" w:cs="Calibri"/>
                <w:color w:val="000000"/>
                <w:sz w:val="20"/>
              </w:rPr>
            </w:pPr>
            <w:r>
              <w:rPr>
                <w:rFonts w:ascii="Calibri" w:hAnsi="Calibri" w:cs="Calibri"/>
                <w:color w:val="000000"/>
                <w:sz w:val="20"/>
              </w:rPr>
              <w:t>Complete</w:t>
            </w:r>
            <w:r w:rsidR="00667F68">
              <w:rPr>
                <w:rFonts w:ascii="Calibri" w:hAnsi="Calibri" w:cs="Calibri"/>
                <w:color w:val="000000"/>
                <w:sz w:val="20"/>
              </w:rPr>
              <w:t xml:space="preserve"> Second </w:t>
            </w:r>
            <w:r w:rsidR="009A1491">
              <w:rPr>
                <w:rFonts w:ascii="Calibri" w:hAnsi="Calibri" w:cs="Calibri"/>
                <w:color w:val="000000"/>
                <w:sz w:val="20"/>
              </w:rPr>
              <w:t>Five</w:t>
            </w:r>
            <w:r w:rsidR="00667F68">
              <w:rPr>
                <w:rFonts w:ascii="Calibri" w:hAnsi="Calibri" w:cs="Calibri"/>
                <w:color w:val="000000"/>
                <w:sz w:val="20"/>
              </w:rPr>
              <w:t>-Year Assessment of the Basin Plan SNMP (Santa Ana Water Board</w:t>
            </w:r>
            <w:r w:rsidR="00C547BB">
              <w:rPr>
                <w:rFonts w:ascii="Calibri" w:hAnsi="Calibri" w:cs="Calibri"/>
                <w:color w:val="000000"/>
                <w:sz w:val="20"/>
              </w:rPr>
              <w:t>, with Task Force Support</w:t>
            </w:r>
            <w:r w:rsidR="00667F68">
              <w:rPr>
                <w:rFonts w:ascii="Calibri" w:hAnsi="Calibri" w:cs="Calibri"/>
                <w:color w:val="000000"/>
                <w:sz w:val="20"/>
              </w:rPr>
              <w:t>)</w:t>
            </w:r>
          </w:p>
        </w:tc>
        <w:tc>
          <w:tcPr>
            <w:tcW w:w="830" w:type="dxa"/>
            <w:tcBorders>
              <w:top w:val="nil"/>
              <w:left w:val="nil"/>
              <w:bottom w:val="single" w:sz="4" w:space="0" w:color="auto"/>
              <w:right w:val="single" w:sz="4" w:space="0" w:color="5B6770"/>
            </w:tcBorders>
            <w:shd w:val="clear" w:color="auto" w:fill="FFFFFF" w:themeFill="background1"/>
            <w:vAlign w:val="center"/>
          </w:tcPr>
          <w:p w14:paraId="3164BF98"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0116EF3B"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67E46912" w14:textId="77777777" w:rsidR="00D90837" w:rsidRPr="00255078" w:rsidRDefault="00D90837" w:rsidP="0001516D">
            <w:pPr>
              <w:spacing w:after="0"/>
              <w:jc w:val="center"/>
              <w:rPr>
                <w:rFonts w:ascii="Calibri" w:hAnsi="Calibri" w:cs="Calibri"/>
                <w:color w:val="000000"/>
                <w:sz w:val="20"/>
              </w:rPr>
            </w:pPr>
          </w:p>
        </w:tc>
        <w:tc>
          <w:tcPr>
            <w:tcW w:w="830" w:type="dxa"/>
            <w:tcBorders>
              <w:top w:val="nil"/>
              <w:left w:val="nil"/>
              <w:bottom w:val="single" w:sz="4" w:space="0" w:color="auto"/>
              <w:right w:val="single" w:sz="4" w:space="0" w:color="5B6770"/>
            </w:tcBorders>
            <w:shd w:val="clear" w:color="auto" w:fill="FFFFFF" w:themeFill="background1"/>
            <w:vAlign w:val="center"/>
          </w:tcPr>
          <w:p w14:paraId="409FD20C"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4E49FAFD"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5B6770"/>
            </w:tcBorders>
            <w:shd w:val="clear" w:color="auto" w:fill="FFFFFF" w:themeFill="background1"/>
            <w:vAlign w:val="center"/>
          </w:tcPr>
          <w:p w14:paraId="072E9394" w14:textId="77777777" w:rsidR="00D90837" w:rsidRPr="00255078" w:rsidRDefault="00D90837" w:rsidP="0001516D">
            <w:pPr>
              <w:spacing w:after="0"/>
              <w:jc w:val="center"/>
              <w:rPr>
                <w:rFonts w:ascii="Calibri" w:hAnsi="Calibri" w:cs="Calibri"/>
                <w:color w:val="000000"/>
                <w:sz w:val="20"/>
              </w:rPr>
            </w:pPr>
          </w:p>
        </w:tc>
        <w:tc>
          <w:tcPr>
            <w:tcW w:w="831" w:type="dxa"/>
            <w:tcBorders>
              <w:top w:val="nil"/>
              <w:left w:val="nil"/>
              <w:bottom w:val="single" w:sz="4" w:space="0" w:color="auto"/>
              <w:right w:val="single" w:sz="4" w:space="0" w:color="auto"/>
            </w:tcBorders>
            <w:shd w:val="clear" w:color="auto" w:fill="BCE5FF" w:themeFill="accent2" w:themeFillTint="33"/>
            <w:vAlign w:val="center"/>
          </w:tcPr>
          <w:p w14:paraId="20E05C2D" w14:textId="5421A142" w:rsidR="00D90837" w:rsidRPr="00255078" w:rsidRDefault="004D4475" w:rsidP="0001516D">
            <w:pPr>
              <w:spacing w:after="0"/>
              <w:jc w:val="center"/>
              <w:rPr>
                <w:rFonts w:ascii="Calibri" w:hAnsi="Calibri" w:cs="Calibri"/>
                <w:color w:val="000000"/>
                <w:sz w:val="20"/>
              </w:rPr>
            </w:pPr>
            <w:r>
              <w:rPr>
                <w:rFonts w:ascii="Calibri" w:hAnsi="Calibri" w:cs="Calibri"/>
                <w:color w:val="000000"/>
                <w:sz w:val="20"/>
              </w:rPr>
              <w:t>Oct 2028 - Apr 2029</w:t>
            </w:r>
          </w:p>
        </w:tc>
      </w:tr>
    </w:tbl>
    <w:p w14:paraId="52C3D9EE" w14:textId="66DE0800" w:rsidR="00916CD9" w:rsidRDefault="00916CD9" w:rsidP="00916CD9">
      <w:pPr>
        <w:pStyle w:val="Heading1"/>
      </w:pPr>
      <w:bookmarkStart w:id="51" w:name="_Toc117719809"/>
      <w:r>
        <w:lastRenderedPageBreak/>
        <w:t>References</w:t>
      </w:r>
      <w:bookmarkEnd w:id="51"/>
    </w:p>
    <w:p w14:paraId="01CC7436" w14:textId="77777777" w:rsidR="0031128D" w:rsidRDefault="0031128D" w:rsidP="0031128D">
      <w:pPr>
        <w:ind w:left="450" w:hanging="450"/>
      </w:pPr>
      <w:r>
        <w:t>California</w:t>
      </w:r>
      <w:r w:rsidRPr="00123469">
        <w:t xml:space="preserve"> Water </w:t>
      </w:r>
      <w:r>
        <w:t xml:space="preserve">Resources Control </w:t>
      </w:r>
      <w:r w:rsidRPr="00123469">
        <w:t xml:space="preserve">Board </w:t>
      </w:r>
      <w:r>
        <w:t xml:space="preserve">(State Board) California Environmental Protection Agency. 2019. Water Quality Control Policy for Recycled Water. Adopted December 11, 2018. </w:t>
      </w:r>
    </w:p>
    <w:p w14:paraId="1B92DFA9" w14:textId="77777777" w:rsidR="0031128D" w:rsidRDefault="0031128D" w:rsidP="0031128D">
      <w:pPr>
        <w:ind w:left="450" w:hanging="450"/>
      </w:pPr>
      <w:r>
        <w:rPr>
          <w:rFonts w:cstheme="minorHAnsi"/>
        </w:rPr>
        <w:t>―</w:t>
      </w:r>
      <w:r w:rsidRPr="008E78C2">
        <w:t xml:space="preserve"> </w:t>
      </w:r>
      <w:r>
        <w:t xml:space="preserve">State Board. 2019. Water Quality Control Policy for Recycled Water. Adopted February 3, 2009. </w:t>
      </w:r>
    </w:p>
    <w:p w14:paraId="6C9B1808" w14:textId="77777777" w:rsidR="0031128D" w:rsidRDefault="0031128D" w:rsidP="0031128D">
      <w:pPr>
        <w:ind w:left="450" w:hanging="450"/>
      </w:pPr>
      <w:r>
        <w:rPr>
          <w:rFonts w:cstheme="minorHAnsi"/>
        </w:rPr>
        <w:t>―</w:t>
      </w:r>
      <w:r w:rsidRPr="008E78C2">
        <w:t xml:space="preserve"> </w:t>
      </w:r>
      <w:r>
        <w:t xml:space="preserve">State Board. 2019. State Board Order 68-16. Statement of Policy with Respect to Maintaining High </w:t>
      </w:r>
      <w:r w:rsidRPr="00DE4699">
        <w:t xml:space="preserve">Quality of Waters in California. October 28, 1968. </w:t>
      </w:r>
    </w:p>
    <w:p w14:paraId="14F5E03F" w14:textId="77777777" w:rsidR="0031128D" w:rsidRDefault="0031128D" w:rsidP="0031128D">
      <w:pPr>
        <w:ind w:left="450" w:hanging="450"/>
      </w:pPr>
      <w:r>
        <w:t>California Regional Water Quality Control Board, Santa Ana Region, 2004. R</w:t>
      </w:r>
      <w:r w:rsidRPr="00DE4699">
        <w:t>8-2004-0001 Updated Total Dissolved Solids (TDS) and Nitrogen Management Plan</w:t>
      </w:r>
      <w:r>
        <w:t>.</w:t>
      </w:r>
      <w:r w:rsidRPr="00DE4699">
        <w:t xml:space="preserve"> January 22, 2004.</w:t>
      </w:r>
    </w:p>
    <w:p w14:paraId="37A895BF" w14:textId="77777777" w:rsidR="0031128D" w:rsidRDefault="0031128D" w:rsidP="0031128D">
      <w:pPr>
        <w:ind w:left="450" w:hanging="450"/>
      </w:pPr>
      <w:r>
        <w:rPr>
          <w:rFonts w:cstheme="minorHAnsi"/>
        </w:rPr>
        <w:t>―</w:t>
      </w:r>
      <w:r>
        <w:t xml:space="preserve"> Santa Ana Water Board, 2005. Resolution No. R8-2005-0063. Resolution Approving the Surface Water and Groundwater Monitoring Program Proposals Required in the Total Dissolved Solids and Nitrogen Management Plan Specified in the Water Quality Control Plan for the Santa Ana River Basin. </w:t>
      </w:r>
      <w:r w:rsidRPr="00DE4699">
        <w:t>April 15,</w:t>
      </w:r>
      <w:r>
        <w:t xml:space="preserve"> </w:t>
      </w:r>
      <w:r w:rsidRPr="00DE4699">
        <w:t>2005</w:t>
      </w:r>
    </w:p>
    <w:p w14:paraId="59859774" w14:textId="77777777" w:rsidR="0031128D" w:rsidRDefault="0031128D" w:rsidP="0031128D">
      <w:pPr>
        <w:ind w:left="450" w:hanging="450"/>
      </w:pPr>
      <w:r>
        <w:rPr>
          <w:rFonts w:cstheme="minorHAnsi"/>
        </w:rPr>
        <w:t>―</w:t>
      </w:r>
      <w:r>
        <w:t xml:space="preserve"> Santa Ana Water Board, 2010. Resolution No. </w:t>
      </w:r>
      <w:r w:rsidRPr="00D3003B">
        <w:rPr>
          <w:rStyle w:val="normaltextrun"/>
          <w:rFonts w:cstheme="minorHAnsi"/>
          <w:color w:val="000000"/>
        </w:rPr>
        <w:t>R8-2010-0012</w:t>
      </w:r>
      <w:r>
        <w:rPr>
          <w:rStyle w:val="normaltextrun"/>
          <w:rFonts w:cstheme="minorHAnsi"/>
        </w:rPr>
        <w:t xml:space="preserve">. </w:t>
      </w:r>
      <w:r w:rsidRPr="00DE4699">
        <w:rPr>
          <w:rStyle w:val="normaltextrun"/>
          <w:rFonts w:cstheme="minorHAnsi"/>
          <w:color w:val="000000"/>
        </w:rPr>
        <w:t>Declaration of Conformance with the Recycled Water Policy</w:t>
      </w:r>
      <w:r>
        <w:rPr>
          <w:rStyle w:val="normaltextrun"/>
          <w:rFonts w:cstheme="minorHAnsi"/>
        </w:rPr>
        <w:t xml:space="preserve">. March 18, 2010. </w:t>
      </w:r>
    </w:p>
    <w:p w14:paraId="75101986" w14:textId="77777777" w:rsidR="0031128D" w:rsidRDefault="0031128D" w:rsidP="0031128D">
      <w:pPr>
        <w:ind w:left="450" w:hanging="450"/>
      </w:pPr>
      <w:r>
        <w:rPr>
          <w:rFonts w:cstheme="minorHAnsi"/>
        </w:rPr>
        <w:t>―</w:t>
      </w:r>
      <w:r>
        <w:t xml:space="preserve"> Santa Ana Water Board, 2021. Resolution No. R8-2021-0025. Resolution Amending the Water Quality Control Plan for the Santa Ana River Basin to Revise and Update the Total Dissolved Solids and Nitrogen Management program (TDS/N Management Program). </w:t>
      </w:r>
      <w:r w:rsidRPr="00DE4699">
        <w:t>December 10, 2021</w:t>
      </w:r>
      <w:r>
        <w:t>.</w:t>
      </w:r>
    </w:p>
    <w:p w14:paraId="05B02876" w14:textId="77777777" w:rsidR="0031128D" w:rsidRDefault="0031128D" w:rsidP="0031128D">
      <w:pPr>
        <w:ind w:left="450" w:hanging="450"/>
      </w:pPr>
      <w:r>
        <w:t xml:space="preserve">Wildermuth Environmental Inc. (WEI), 2000. TIN/TDS Phase 2A: Tasks 1 through 5. TIN/TDS Study of the Santa Ana Watershed. Technical Memorandum. July 2000. </w:t>
      </w:r>
    </w:p>
    <w:p w14:paraId="520CF73B" w14:textId="77777777" w:rsidR="0031128D" w:rsidRPr="008301D9" w:rsidRDefault="0031128D" w:rsidP="0031128D">
      <w:pPr>
        <w:ind w:left="450" w:hanging="450"/>
        <w:rPr>
          <w:szCs w:val="22"/>
        </w:rPr>
      </w:pPr>
      <w:r w:rsidRPr="008301D9">
        <w:rPr>
          <w:szCs w:val="22"/>
        </w:rPr>
        <w:t xml:space="preserve">Water Systems Consulting, Inc. (WSC), 2020. </w:t>
      </w:r>
      <w:r w:rsidRPr="008301D9">
        <w:rPr>
          <w:rFonts w:ascii="Calibri" w:hAnsi="Calibri"/>
          <w:szCs w:val="22"/>
        </w:rPr>
        <w:t>Recomputation of Ambient Water Quality in the Santa Ana River Watershed for the Period 1999 to 2018. Prepared for the Santa Ana Watershed Project Authority Basin Monitoring Task Force.</w:t>
      </w:r>
    </w:p>
    <w:p w14:paraId="1311B6FF" w14:textId="77777777" w:rsidR="004618C6" w:rsidRDefault="004618C6" w:rsidP="008F0282"/>
    <w:p w14:paraId="2869E535" w14:textId="77777777" w:rsidR="008F0282" w:rsidRDefault="008F0282" w:rsidP="008F0282">
      <w:pPr>
        <w:spacing w:after="120"/>
      </w:pPr>
    </w:p>
    <w:p w14:paraId="018AECBD" w14:textId="77777777" w:rsidR="008F0282" w:rsidRDefault="008F0282" w:rsidP="008F0282">
      <w:pPr>
        <w:spacing w:after="120"/>
      </w:pPr>
    </w:p>
    <w:p w14:paraId="49A8B0E7" w14:textId="77777777" w:rsidR="00A85565" w:rsidRDefault="00A85565" w:rsidP="008F0282"/>
    <w:sectPr w:rsidR="00A85565" w:rsidSect="00EC1126">
      <w:headerReference w:type="even" r:id="rId28"/>
      <w:headerReference w:type="default" r:id="rId29"/>
      <w:footerReference w:type="default" r:id="rId30"/>
      <w:headerReference w:type="first" r:id="rId31"/>
      <w:footerReference w:type="first" r:id="rId32"/>
      <w:pgSz w:w="12240" w:h="15840" w:code="1"/>
      <w:pgMar w:top="720" w:right="1440" w:bottom="720"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38C3" w14:textId="77777777" w:rsidR="006709BC" w:rsidRDefault="006709BC">
      <w:r>
        <w:separator/>
      </w:r>
    </w:p>
  </w:endnote>
  <w:endnote w:type="continuationSeparator" w:id="0">
    <w:p w14:paraId="116748D3" w14:textId="77777777" w:rsidR="006709BC" w:rsidRDefault="006709BC">
      <w:r>
        <w:continuationSeparator/>
      </w:r>
    </w:p>
  </w:endnote>
  <w:endnote w:type="continuationNotice" w:id="1">
    <w:p w14:paraId="34098DF5" w14:textId="77777777" w:rsidR="006709BC" w:rsidRDefault="006709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3E9E" w14:textId="77777777" w:rsidR="00471466" w:rsidRDefault="00471466">
    <w:pPr>
      <w:pStyle w:val="Footer"/>
      <w:rPr>
        <w:noProof/>
      </w:rPr>
    </w:pP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ooter"/>
      <w:tblDescription w:val="Decorative footer - West Yost logo and artifact"/>
    </w:tblPr>
    <w:tblGrid>
      <w:gridCol w:w="10620"/>
    </w:tblGrid>
    <w:tr w:rsidR="00471466" w14:paraId="10C8C481" w14:textId="77777777" w:rsidTr="00272155">
      <w:trPr>
        <w:trHeight w:val="102"/>
      </w:trPr>
      <w:tc>
        <w:tcPr>
          <w:tcW w:w="10620" w:type="dxa"/>
        </w:tcPr>
        <w:p w14:paraId="617CEE24" w14:textId="77777777" w:rsidR="00471466" w:rsidRPr="00F67D12" w:rsidRDefault="00471466" w:rsidP="009A16A0">
          <w:pPr>
            <w:pStyle w:val="Preparedforby"/>
            <w:rPr>
              <w:noProof/>
            </w:rPr>
          </w:pPr>
          <w:r w:rsidRPr="00F67D12">
            <w:t>PREPARED BY</w:t>
          </w:r>
        </w:p>
      </w:tc>
    </w:tr>
    <w:tr w:rsidR="00471466" w14:paraId="5C8721A4" w14:textId="77777777" w:rsidTr="00272155">
      <w:tc>
        <w:tcPr>
          <w:tcW w:w="10620" w:type="dxa"/>
        </w:tcPr>
        <w:p w14:paraId="01275226" w14:textId="77777777" w:rsidR="00471466" w:rsidRDefault="00471466" w:rsidP="00017C26">
          <w:pPr>
            <w:spacing w:before="400" w:after="0"/>
            <w:jc w:val="right"/>
            <w:rPr>
              <w:rFonts w:cstheme="minorHAnsi"/>
              <w:sz w:val="40"/>
              <w:szCs w:val="40"/>
            </w:rPr>
          </w:pPr>
          <w:r>
            <w:rPr>
              <w:rFonts w:cstheme="minorHAnsi"/>
              <w:noProof/>
              <w:sz w:val="40"/>
              <w:szCs w:val="40"/>
            </w:rPr>
            <w:drawing>
              <wp:inline distT="0" distB="0" distL="0" distR="0" wp14:anchorId="4A329A09" wp14:editId="124C244A">
                <wp:extent cx="1536195" cy="914402"/>
                <wp:effectExtent l="0" t="0" r="698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Report Cover.png"/>
                        <pic:cNvPicPr/>
                      </pic:nvPicPr>
                      <pic:blipFill>
                        <a:blip r:embed="rId1">
                          <a:extLst>
                            <a:ext uri="{28A0092B-C50C-407E-A947-70E740481C1C}">
                              <a14:useLocalDpi xmlns:a14="http://schemas.microsoft.com/office/drawing/2010/main" val="0"/>
                            </a:ext>
                          </a:extLst>
                        </a:blip>
                        <a:stretch>
                          <a:fillRect/>
                        </a:stretch>
                      </pic:blipFill>
                      <pic:spPr>
                        <a:xfrm>
                          <a:off x="0" y="0"/>
                          <a:ext cx="1536195" cy="914402"/>
                        </a:xfrm>
                        <a:prstGeom prst="rect">
                          <a:avLst/>
                        </a:prstGeom>
                      </pic:spPr>
                    </pic:pic>
                  </a:graphicData>
                </a:graphic>
              </wp:inline>
            </w:drawing>
          </w:r>
        </w:p>
      </w:tc>
    </w:tr>
  </w:tbl>
  <w:p w14:paraId="4722865E" w14:textId="77777777" w:rsidR="00471466" w:rsidRDefault="00471466" w:rsidP="000D199D">
    <w:pPr>
      <w:pStyle w:val="Footer"/>
      <w:jc w:val="left"/>
    </w:pPr>
    <w:r w:rsidRPr="00386E72">
      <w:rPr>
        <w:noProof/>
      </w:rPr>
      <w:drawing>
        <wp:anchor distT="0" distB="0" distL="114300" distR="114300" simplePos="0" relativeHeight="251654144" behindDoc="0" locked="0" layoutInCell="1" allowOverlap="1" wp14:anchorId="0E18D645" wp14:editId="69E0CF0F">
          <wp:simplePos x="0" y="0"/>
          <wp:positionH relativeFrom="margin">
            <wp:posOffset>3158837</wp:posOffset>
          </wp:positionH>
          <wp:positionV relativeFrom="paragraph">
            <wp:posOffset>5651385</wp:posOffset>
          </wp:positionV>
          <wp:extent cx="1371600" cy="810944"/>
          <wp:effectExtent l="0" t="0" r="0" b="825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1600" cy="810944"/>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056B" w14:textId="77777777" w:rsidR="00471466" w:rsidRDefault="00471466">
    <w:pPr>
      <w:pStyle w:val="Footer"/>
      <w:rPr>
        <w:noProof/>
      </w:rPr>
    </w:pPr>
  </w:p>
  <w:tbl>
    <w:tblPr>
      <w:tblStyle w:val="TableGrid"/>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ooter"/>
      <w:tblDescription w:val="Decorative footer - West Yost logo and decroative artifact"/>
    </w:tblPr>
    <w:tblGrid>
      <w:gridCol w:w="1890"/>
      <w:gridCol w:w="10170"/>
    </w:tblGrid>
    <w:tr w:rsidR="00471466" w14:paraId="123F3A78" w14:textId="77777777" w:rsidTr="00227B3B">
      <w:tc>
        <w:tcPr>
          <w:tcW w:w="1890" w:type="dxa"/>
          <w:vAlign w:val="bottom"/>
        </w:tcPr>
        <w:p w14:paraId="4C018135" w14:textId="77777777" w:rsidR="00471466" w:rsidRDefault="00471466" w:rsidP="0026612A">
          <w:pPr>
            <w:spacing w:after="0"/>
            <w:ind w:right="-553"/>
            <w:jc w:val="left"/>
            <w:rPr>
              <w:rFonts w:cstheme="minorHAnsi"/>
              <w:sz w:val="40"/>
              <w:szCs w:val="40"/>
            </w:rPr>
          </w:pPr>
          <w:r>
            <w:rPr>
              <w:rFonts w:cstheme="minorHAnsi"/>
              <w:noProof/>
              <w:sz w:val="40"/>
              <w:szCs w:val="40"/>
            </w:rPr>
            <w:drawing>
              <wp:inline distT="0" distB="0" distL="0" distR="0" wp14:anchorId="21112648" wp14:editId="29F66EB3">
                <wp:extent cx="921715" cy="548640"/>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Report Cover.png"/>
                        <pic:cNvPicPr/>
                      </pic:nvPicPr>
                      <pic:blipFill>
                        <a:blip r:embed="rId1">
                          <a:extLst>
                            <a:ext uri="{28A0092B-C50C-407E-A947-70E740481C1C}">
                              <a14:useLocalDpi xmlns:a14="http://schemas.microsoft.com/office/drawing/2010/main" val="0"/>
                            </a:ext>
                          </a:extLst>
                        </a:blip>
                        <a:stretch>
                          <a:fillRect/>
                        </a:stretch>
                      </pic:blipFill>
                      <pic:spPr>
                        <a:xfrm>
                          <a:off x="0" y="0"/>
                          <a:ext cx="921715" cy="548640"/>
                        </a:xfrm>
                        <a:prstGeom prst="rect">
                          <a:avLst/>
                        </a:prstGeom>
                      </pic:spPr>
                    </pic:pic>
                  </a:graphicData>
                </a:graphic>
              </wp:inline>
            </w:drawing>
          </w:r>
        </w:p>
      </w:tc>
      <w:tc>
        <w:tcPr>
          <w:tcW w:w="10170" w:type="dxa"/>
          <w:vAlign w:val="bottom"/>
        </w:tcPr>
        <w:p w14:paraId="70C6B5F4" w14:textId="77777777" w:rsidR="00471466" w:rsidRDefault="00471466" w:rsidP="0026612A">
          <w:pPr>
            <w:spacing w:before="440" w:after="60"/>
            <w:ind w:right="881"/>
            <w:jc w:val="center"/>
            <w:rPr>
              <w:rFonts w:cstheme="minorHAnsi"/>
              <w:sz w:val="40"/>
              <w:szCs w:val="40"/>
            </w:rPr>
          </w:pPr>
          <w:r>
            <w:rPr>
              <w:noProof/>
            </w:rPr>
            <mc:AlternateContent>
              <mc:Choice Requires="wps">
                <w:drawing>
                  <wp:inline distT="0" distB="0" distL="0" distR="0" wp14:anchorId="6E019AFF" wp14:editId="4EA41DE6">
                    <wp:extent cx="5746115" cy="502920"/>
                    <wp:effectExtent l="0" t="0" r="6985" b="0"/>
                    <wp:docPr id="146" name="Parallelogram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6115" cy="502920"/>
                            </a:xfrm>
                            <a:prstGeom prst="parallelogram">
                              <a:avLst/>
                            </a:prstGeom>
                            <a:gradFill>
                              <a:gsLst>
                                <a:gs pos="50000">
                                  <a:srgbClr val="16706F"/>
                                </a:gs>
                                <a:gs pos="0">
                                  <a:srgbClr val="41AD49"/>
                                </a:gs>
                                <a:gs pos="100000">
                                  <a:schemeClr val="accent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D09B4" w14:textId="27812B29" w:rsidR="00471466" w:rsidRDefault="00471466" w:rsidP="0026612A">
                                <w:pPr>
                                  <w:spacing w:after="0"/>
                                  <w:ind w:left="-180" w:right="570"/>
                                  <w:jc w:val="right"/>
                                  <w:rPr>
                                    <w:color w:val="FFFFFF" w:themeColor="background1"/>
                                    <w:sz w:val="36"/>
                                    <w:szCs w:val="36"/>
                                    <w14:textOutline w14:w="9525" w14:cap="rnd" w14:cmpd="sng" w14:algn="ctr">
                                      <w14:noFill/>
                                      <w14:prstDash w14:val="solid"/>
                                      <w14:bevel/>
                                    </w14:textOutline>
                                  </w:rPr>
                                </w:pPr>
                                <w:r w:rsidRPr="005C38D8">
                                  <w:rPr>
                                    <w:color w:val="FFFFFF" w:themeColor="background1"/>
                                    <w:sz w:val="36"/>
                                    <w:szCs w:val="36"/>
                                    <w14:textOutline w14:w="9525" w14:cap="rnd" w14:cmpd="sng" w14:algn="ctr">
                                      <w14:noFill/>
                                      <w14:prstDash w14:val="solid"/>
                                      <w14:bevel/>
                                    </w14:textOutline>
                                  </w:rPr>
                                  <w:t xml:space="preserve">DRAFT REPORT | </w:t>
                                </w:r>
                                <w:r w:rsidR="00366BED">
                                  <w:rPr>
                                    <w:color w:val="FFFFFF" w:themeColor="background1"/>
                                    <w:sz w:val="36"/>
                                    <w:szCs w:val="36"/>
                                    <w14:textOutline w14:w="9525" w14:cap="rnd" w14:cmpd="sng" w14:algn="ctr">
                                      <w14:noFill/>
                                      <w14:prstDash w14:val="solid"/>
                                      <w14:bevel/>
                                    </w14:textOutline>
                                  </w:rPr>
                                  <w:t>OCTOBER</w:t>
                                </w:r>
                                <w:r w:rsidRPr="005C38D8">
                                  <w:rPr>
                                    <w:color w:val="FFFFFF" w:themeColor="background1"/>
                                    <w:sz w:val="36"/>
                                    <w:szCs w:val="36"/>
                                    <w14:textOutline w14:w="9525" w14:cap="rnd" w14:cmpd="sng" w14:algn="ctr">
                                      <w14:noFill/>
                                      <w14:prstDash w14:val="solid"/>
                                      <w14:bevel/>
                                    </w14:textOutline>
                                  </w:rPr>
                                  <w:t xml:space="preserve"> </w:t>
                                </w:r>
                                <w:r w:rsidR="00366BED">
                                  <w:rPr>
                                    <w:color w:val="FFFFFF" w:themeColor="background1"/>
                                    <w:sz w:val="36"/>
                                    <w:szCs w:val="36"/>
                                    <w14:textOutline w14:w="9525" w14:cap="rnd" w14:cmpd="sng" w14:algn="ctr">
                                      <w14:noFill/>
                                      <w14:prstDash w14:val="solid"/>
                                      <w14:bevel/>
                                    </w14:textOutline>
                                  </w:rPr>
                                  <w:t>2022</w:t>
                                </w:r>
                              </w:p>
                              <w:p w14:paraId="31CA37DA" w14:textId="77777777" w:rsidR="00471466" w:rsidRPr="005C38D8" w:rsidRDefault="00471466" w:rsidP="0026612A">
                                <w:pPr>
                                  <w:spacing w:after="0"/>
                                  <w:ind w:left="-180" w:right="570"/>
                                  <w:jc w:val="right"/>
                                  <w:rPr>
                                    <w:color w:val="FFFFFF" w:themeColor="background1"/>
                                    <w:sz w:val="36"/>
                                    <w:szCs w:val="36"/>
                                    <w14:textOutline w14:w="9525" w14:cap="rnd" w14:cmpd="sng" w14:algn="ctr">
                                      <w14:noFill/>
                                      <w14:prstDash w14:val="solid"/>
                                      <w14:bevel/>
                                    </w14:textOutline>
                                  </w:rPr>
                                </w:pPr>
                                <w:r>
                                  <w:rPr>
                                    <w:color w:val="FFFFFF" w:themeColor="background1"/>
                                    <w:sz w:val="40"/>
                                    <w:szCs w:val="40"/>
                                    <w14:textOutline w14:w="9525" w14:cap="rnd" w14:cmpd="sng" w14:algn="ctr">
                                      <w14:noFill/>
                                      <w14:prstDash w14:val="solid"/>
                                      <w14:bevel/>
                                    </w14:textOutline>
                                  </w:rPr>
                                  <w:t>EARYEAR</w:t>
                                </w:r>
                                <w:r w:rsidRPr="00084402">
                                  <w:rPr>
                                    <w:color w:val="FFFFFF" w:themeColor="background1"/>
                                    <w:sz w:val="40"/>
                                    <w:szCs w:val="40"/>
                                    <w14:textOutline w14:w="9525" w14:cap="rnd" w14:cmpd="sng" w14:algn="ctr">
                                      <w14:noFill/>
                                      <w14:prstDash w14:val="solid"/>
                                      <w14:bevel/>
                                    </w14:textOutline>
                                  </w:rPr>
                                  <w:t>2020</w:t>
                                </w:r>
                              </w:p>
                              <w:p w14:paraId="35CD6A88" w14:textId="77777777" w:rsidR="00471466" w:rsidRPr="00084402" w:rsidRDefault="00471466" w:rsidP="0026612A">
                                <w:pPr>
                                  <w:spacing w:after="0"/>
                                  <w:jc w:val="right"/>
                                  <w:rPr>
                                    <w:sz w:val="40"/>
                                    <w:szCs w:val="40"/>
                                    <w14:textFill>
                                      <w14:gradFill>
                                        <w14:gsLst>
                                          <w14:gs w14:pos="0">
                                            <w14:schemeClr w14:val="accent3"/>
                                          </w14:gs>
                                          <w14:gs w14:pos="100000">
                                            <w14:schemeClr w14:val="accent1"/>
                                          </w14:gs>
                                        </w14:gsLst>
                                        <w14:lin w14:ang="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E019AF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6" o:spid="_x0000_s1027" type="#_x0000_t7" alt="&quot;&quot;" style="width:452.45pt;height: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XXuQIAABwGAAAOAAAAZHJzL2Uyb0RvYy54bWysVG1r2zAQ/j7YfxD6vjoOSbqEOiW0ZAxK&#10;W9aOflZkKTbIOk1S3vbrdyc7TujCGGP5oJx0z709vrub231j2Fb5UIMteH414ExZCWVt1wX//rr8&#10;9JmzEIUthQGrCn5Qgd/OP3642bmZGkIFplSeoRMbZjtX8CpGN8uyICvViHAFTllUavCNiHj166z0&#10;YofeG5MNB4NJtgNfOg9ShYCv962Sz5N/rZWMT1oHFZkpOOYW0+nTuaIzm9+I2doLV9WyS0P8QxaN&#10;qC0G7V3diyjYxte/uWpq6SGAjlcSmgy0rqVKNWA1+eBdNS+VcCrVguQE19MU/p9b+bh9cc8eadi5&#10;MAsoUhV77Rv6x/zYPpF16MlS+8gkPo6vR5M8H3MmUTceDKfDxGZ2snY+xC8KGkZCwZ3wwhhlAOlu&#10;Elli+xAihkabI7bjsFzWxiQ5IKQVmAMsfDzAX7IOfr26M55tBX7bfHI9mCzpc6KzdTi3uIAe5Yv7&#10;0fQiOif/nQk1oepDCCmVjfmZVQrV5WdqywQ1PXZZkMKoEpM6Yr3oCzKWcrNABbbZ0kt2Yj9J8WAU&#10;4Yz9pjSrS+R72BZ9OSfChkqUqmWjJal1n0aJqkjUJIeE1hi/953/yXfrpsOTqUpz1Rv/BVm9RYoM&#10;NvbGTW3BX4pueqZ1iz+S1FJDLMX9ao/JkbiC8vDsmYd2wIOTyxqb7kGE+Ixtl74Kbqn4hIc2sCs4&#10;dBJnFfifl94Jj4OGWs52uCEKHn5shFecma8WO3Gaj0a0UtJlNL7G/mf+XLM619hNcwfUqNgeTiaR&#10;8NEcRe2hecNltqCoqBJWYuyCy+iPl7vYbi5ch1ItFgmGa8SJ+GBfnCTnRDDN0uv+TXjXTV7EmX2E&#10;4zYRs3dz12LJ0sJiE0HXaShPvHbU4wpKPdStS9px5/eEOi31+S8AAAD//wMAUEsDBBQABgAIAAAA&#10;IQDVopQR3QAAAAQBAAAPAAAAZHJzL2Rvd25yZXYueG1sTI9PS8NAEMXvgt9hGcFLsZsW/yVmU7RV&#10;BC/FGnqeZsckNDsbsts2fntHL3oZeLzHe7/JF6Pr1JGG0Ho2MJsmoIgrb1uuDZQfL1f3oEJEtth5&#10;JgNfFGBRnJ/lmFl/4nc6bmKtpIRDhgaaGPtM61A15DBMfU8s3qcfHEaRQ63tgCcpd52eJ8mtdtiy&#10;LDTY07Khar85OAM3k9qvl7QuZ9vn1Xb19Lqf2LfSmMuL8fEBVKQx/oXhB1/QoRCmnT+wDaozII/E&#10;3ytemlynoHYG7tI56CLX/+GLbwAAAP//AwBQSwECLQAUAAYACAAAACEAtoM4kv4AAADhAQAAEwAA&#10;AAAAAAAAAAAAAAAAAAAAW0NvbnRlbnRfVHlwZXNdLnhtbFBLAQItABQABgAIAAAAIQA4/SH/1gAA&#10;AJQBAAALAAAAAAAAAAAAAAAAAC8BAABfcmVscy8ucmVsc1BLAQItABQABgAIAAAAIQDfbvXXuQIA&#10;ABwGAAAOAAAAAAAAAAAAAAAAAC4CAABkcnMvZTJvRG9jLnhtbFBLAQItABQABgAIAAAAIQDVopQR&#10;3QAAAAQBAAAPAAAAAAAAAAAAAAAAABMFAABkcnMvZG93bnJldi54bWxQSwUGAAAAAAQABADzAAAA&#10;HQYAAAAA&#10;" adj="473" fillcolor="#41ad49" stroked="f" strokeweight="2pt">
                    <v:fill color2="#001489 [3204]" angle="90" colors="0 #41ad49;.5 #16706f;1 #001489" focus="100%" type="gradient"/>
                    <v:textbox>
                      <w:txbxContent>
                        <w:p w14:paraId="63DD09B4" w14:textId="27812B29" w:rsidR="00471466" w:rsidRDefault="00471466" w:rsidP="0026612A">
                          <w:pPr>
                            <w:spacing w:after="0"/>
                            <w:ind w:left="-180" w:right="570"/>
                            <w:jc w:val="right"/>
                            <w:rPr>
                              <w:color w:val="FFFFFF" w:themeColor="background1"/>
                              <w:sz w:val="36"/>
                              <w:szCs w:val="36"/>
                              <w14:textOutline w14:w="9525" w14:cap="rnd" w14:cmpd="sng" w14:algn="ctr">
                                <w14:noFill/>
                                <w14:prstDash w14:val="solid"/>
                                <w14:bevel/>
                              </w14:textOutline>
                            </w:rPr>
                          </w:pPr>
                          <w:r w:rsidRPr="005C38D8">
                            <w:rPr>
                              <w:color w:val="FFFFFF" w:themeColor="background1"/>
                              <w:sz w:val="36"/>
                              <w:szCs w:val="36"/>
                              <w14:textOutline w14:w="9525" w14:cap="rnd" w14:cmpd="sng" w14:algn="ctr">
                                <w14:noFill/>
                                <w14:prstDash w14:val="solid"/>
                                <w14:bevel/>
                              </w14:textOutline>
                            </w:rPr>
                            <w:t xml:space="preserve">DRAFT REPORT | </w:t>
                          </w:r>
                          <w:r w:rsidR="00366BED">
                            <w:rPr>
                              <w:color w:val="FFFFFF" w:themeColor="background1"/>
                              <w:sz w:val="36"/>
                              <w:szCs w:val="36"/>
                              <w14:textOutline w14:w="9525" w14:cap="rnd" w14:cmpd="sng" w14:algn="ctr">
                                <w14:noFill/>
                                <w14:prstDash w14:val="solid"/>
                                <w14:bevel/>
                              </w14:textOutline>
                            </w:rPr>
                            <w:t>OCTOBER</w:t>
                          </w:r>
                          <w:r w:rsidRPr="005C38D8">
                            <w:rPr>
                              <w:color w:val="FFFFFF" w:themeColor="background1"/>
                              <w:sz w:val="36"/>
                              <w:szCs w:val="36"/>
                              <w14:textOutline w14:w="9525" w14:cap="rnd" w14:cmpd="sng" w14:algn="ctr">
                                <w14:noFill/>
                                <w14:prstDash w14:val="solid"/>
                                <w14:bevel/>
                              </w14:textOutline>
                            </w:rPr>
                            <w:t xml:space="preserve"> </w:t>
                          </w:r>
                          <w:r w:rsidR="00366BED">
                            <w:rPr>
                              <w:color w:val="FFFFFF" w:themeColor="background1"/>
                              <w:sz w:val="36"/>
                              <w:szCs w:val="36"/>
                              <w14:textOutline w14:w="9525" w14:cap="rnd" w14:cmpd="sng" w14:algn="ctr">
                                <w14:noFill/>
                                <w14:prstDash w14:val="solid"/>
                                <w14:bevel/>
                              </w14:textOutline>
                            </w:rPr>
                            <w:t>2022</w:t>
                          </w:r>
                        </w:p>
                        <w:p w14:paraId="31CA37DA" w14:textId="77777777" w:rsidR="00471466" w:rsidRPr="005C38D8" w:rsidRDefault="00471466" w:rsidP="0026612A">
                          <w:pPr>
                            <w:spacing w:after="0"/>
                            <w:ind w:left="-180" w:right="570"/>
                            <w:jc w:val="right"/>
                            <w:rPr>
                              <w:color w:val="FFFFFF" w:themeColor="background1"/>
                              <w:sz w:val="36"/>
                              <w:szCs w:val="36"/>
                              <w14:textOutline w14:w="9525" w14:cap="rnd" w14:cmpd="sng" w14:algn="ctr">
                                <w14:noFill/>
                                <w14:prstDash w14:val="solid"/>
                                <w14:bevel/>
                              </w14:textOutline>
                            </w:rPr>
                          </w:pPr>
                          <w:r>
                            <w:rPr>
                              <w:color w:val="FFFFFF" w:themeColor="background1"/>
                              <w:sz w:val="40"/>
                              <w:szCs w:val="40"/>
                              <w14:textOutline w14:w="9525" w14:cap="rnd" w14:cmpd="sng" w14:algn="ctr">
                                <w14:noFill/>
                                <w14:prstDash w14:val="solid"/>
                                <w14:bevel/>
                              </w14:textOutline>
                            </w:rPr>
                            <w:t>EARYEAR</w:t>
                          </w:r>
                          <w:r w:rsidRPr="00084402">
                            <w:rPr>
                              <w:color w:val="FFFFFF" w:themeColor="background1"/>
                              <w:sz w:val="40"/>
                              <w:szCs w:val="40"/>
                              <w14:textOutline w14:w="9525" w14:cap="rnd" w14:cmpd="sng" w14:algn="ctr">
                                <w14:noFill/>
                                <w14:prstDash w14:val="solid"/>
                                <w14:bevel/>
                              </w14:textOutline>
                            </w:rPr>
                            <w:t>2020</w:t>
                          </w:r>
                        </w:p>
                        <w:p w14:paraId="35CD6A88" w14:textId="77777777" w:rsidR="00471466" w:rsidRPr="00084402" w:rsidRDefault="00471466" w:rsidP="0026612A">
                          <w:pPr>
                            <w:spacing w:after="0"/>
                            <w:jc w:val="right"/>
                            <w:rPr>
                              <w:sz w:val="40"/>
                              <w:szCs w:val="40"/>
                              <w14:textFill>
                                <w14:gradFill>
                                  <w14:gsLst>
                                    <w14:gs w14:pos="0">
                                      <w14:schemeClr w14:val="accent3"/>
                                    </w14:gs>
                                    <w14:gs w14:pos="100000">
                                      <w14:schemeClr w14:val="accent1"/>
                                    </w14:gs>
                                  </w14:gsLst>
                                  <w14:lin w14:ang="0" w14:scaled="0"/>
                                </w14:gradFill>
                              </w14:textFill>
                            </w:rPr>
                          </w:pPr>
                        </w:p>
                      </w:txbxContent>
                    </v:textbox>
                    <w10:anchorlock/>
                  </v:shape>
                </w:pict>
              </mc:Fallback>
            </mc:AlternateContent>
          </w:r>
        </w:p>
      </w:tc>
    </w:tr>
  </w:tbl>
  <w:p w14:paraId="1EB2C591" w14:textId="77777777" w:rsidR="00471466" w:rsidRDefault="00471466" w:rsidP="000D199D">
    <w:pPr>
      <w:pStyle w:val="Footer"/>
      <w:jc w:val="left"/>
    </w:pPr>
    <w:r w:rsidRPr="00386E72">
      <w:rPr>
        <w:noProof/>
      </w:rPr>
      <w:drawing>
        <wp:anchor distT="0" distB="0" distL="114300" distR="114300" simplePos="0" relativeHeight="251657216" behindDoc="0" locked="0" layoutInCell="1" allowOverlap="1" wp14:anchorId="091BE4BD" wp14:editId="0E22D485">
          <wp:simplePos x="0" y="0"/>
          <wp:positionH relativeFrom="margin">
            <wp:posOffset>3158837</wp:posOffset>
          </wp:positionH>
          <wp:positionV relativeFrom="paragraph">
            <wp:posOffset>5651385</wp:posOffset>
          </wp:positionV>
          <wp:extent cx="1371600" cy="810944"/>
          <wp:effectExtent l="0" t="0" r="0" b="825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1600" cy="810944"/>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8" w:space="0" w:color="509E2F" w:themeColor="accent3"/>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ooter"/>
      <w:tblDescription w:val="Decorative footer -Client name; Date: June 2020, Report title, page number"/>
    </w:tblPr>
    <w:tblGrid>
      <w:gridCol w:w="4209"/>
      <w:gridCol w:w="943"/>
      <w:gridCol w:w="4208"/>
    </w:tblGrid>
    <w:tr w:rsidR="00471466" w14:paraId="1F3A675A" w14:textId="77777777" w:rsidTr="00F55FAF">
      <w:tc>
        <w:tcPr>
          <w:tcW w:w="4209" w:type="dxa"/>
        </w:tcPr>
        <w:p w14:paraId="675D8C45" w14:textId="77777777" w:rsidR="00471466" w:rsidRPr="00B4344E" w:rsidRDefault="00471466" w:rsidP="0026612A">
          <w:pPr>
            <w:pStyle w:val="Footer"/>
            <w:spacing w:before="80"/>
            <w:jc w:val="left"/>
            <w:rPr>
              <w:rFonts w:cstheme="minorHAnsi"/>
              <w:szCs w:val="18"/>
            </w:rPr>
          </w:pPr>
          <w:r>
            <w:rPr>
              <w:rFonts w:cstheme="minorHAnsi"/>
              <w:noProof/>
              <w:szCs w:val="16"/>
            </w:rPr>
            <w:drawing>
              <wp:inline distT="0" distB="0" distL="0" distR="0" wp14:anchorId="7CA6016C" wp14:editId="07917A15">
                <wp:extent cx="682141" cy="91440"/>
                <wp:effectExtent l="0" t="0" r="3810" b="381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_wordmark_reflex_1.25 in footer.jpg"/>
                        <pic:cNvPicPr/>
                      </pic:nvPicPr>
                      <pic:blipFill>
                        <a:blip r:embed="rId1">
                          <a:extLst>
                            <a:ext uri="{28A0092B-C50C-407E-A947-70E740481C1C}">
                              <a14:useLocalDpi xmlns:a14="http://schemas.microsoft.com/office/drawing/2010/main" val="0"/>
                            </a:ext>
                          </a:extLst>
                        </a:blip>
                        <a:stretch>
                          <a:fillRect/>
                        </a:stretch>
                      </pic:blipFill>
                      <pic:spPr>
                        <a:xfrm>
                          <a:off x="0" y="0"/>
                          <a:ext cx="682141" cy="91440"/>
                        </a:xfrm>
                        <a:prstGeom prst="rect">
                          <a:avLst/>
                        </a:prstGeom>
                      </pic:spPr>
                    </pic:pic>
                  </a:graphicData>
                </a:graphic>
              </wp:inline>
            </w:drawing>
          </w:r>
        </w:p>
        <w:p w14:paraId="0ADB1946" w14:textId="77777777" w:rsidR="00471466" w:rsidRPr="00B4344E" w:rsidRDefault="00471466" w:rsidP="0026612A">
          <w:pPr>
            <w:pStyle w:val="Footer"/>
            <w:spacing w:before="80"/>
            <w:jc w:val="left"/>
            <w:rPr>
              <w:rFonts w:cstheme="minorHAnsi"/>
              <w:szCs w:val="18"/>
            </w:rPr>
          </w:pPr>
        </w:p>
        <w:p w14:paraId="12653C9E" w14:textId="77777777" w:rsidR="00471466" w:rsidRDefault="00F55FAF" w:rsidP="0026612A">
          <w:pPr>
            <w:pStyle w:val="Footer"/>
            <w:spacing w:before="0"/>
            <w:jc w:val="left"/>
            <w:rPr>
              <w:rFonts w:cstheme="minorHAnsi"/>
              <w:szCs w:val="16"/>
            </w:rPr>
          </w:pPr>
          <w:r w:rsidRPr="009C14BA">
            <w:rPr>
              <w:rFonts w:cstheme="minorHAnsi"/>
              <w:color w:val="A2AAAD" w:themeColor="accent5"/>
              <w:sz w:val="10"/>
              <w:szCs w:val="10"/>
            </w:rPr>
            <w:t>X-X-XXX-XXX-XXX</w:t>
          </w:r>
        </w:p>
      </w:tc>
      <w:tc>
        <w:tcPr>
          <w:tcW w:w="943" w:type="dxa"/>
        </w:tcPr>
        <w:p w14:paraId="50D336FD" w14:textId="77777777" w:rsidR="00471466" w:rsidRPr="00E07FBD" w:rsidRDefault="00471466" w:rsidP="0026612A">
          <w:pPr>
            <w:pStyle w:val="Footer"/>
            <w:spacing w:before="80"/>
            <w:jc w:val="center"/>
            <w:rPr>
              <w:rFonts w:cstheme="minorHAnsi"/>
              <w:szCs w:val="18"/>
            </w:rPr>
          </w:pPr>
          <w:r w:rsidRPr="00E07FBD">
            <w:rPr>
              <w:rFonts w:cstheme="minorHAnsi"/>
              <w:szCs w:val="18"/>
            </w:rPr>
            <w:fldChar w:fldCharType="begin"/>
          </w:r>
          <w:r w:rsidRPr="00E07FBD">
            <w:rPr>
              <w:rFonts w:cstheme="minorHAnsi"/>
              <w:szCs w:val="18"/>
            </w:rPr>
            <w:instrText xml:space="preserve"> PAGE </w:instrText>
          </w:r>
          <w:r w:rsidRPr="00E07FBD">
            <w:rPr>
              <w:rFonts w:cstheme="minorHAnsi"/>
              <w:szCs w:val="18"/>
            </w:rPr>
            <w:fldChar w:fldCharType="separate"/>
          </w:r>
          <w:r>
            <w:rPr>
              <w:rFonts w:cstheme="minorHAnsi"/>
              <w:szCs w:val="18"/>
            </w:rPr>
            <w:t>1-2</w:t>
          </w:r>
          <w:r w:rsidRPr="00E07FBD">
            <w:rPr>
              <w:rFonts w:cstheme="minorHAnsi"/>
              <w:szCs w:val="18"/>
            </w:rPr>
            <w:fldChar w:fldCharType="end"/>
          </w:r>
        </w:p>
      </w:tc>
      <w:tc>
        <w:tcPr>
          <w:tcW w:w="4208" w:type="dxa"/>
        </w:tcPr>
        <w:p w14:paraId="7FC8696B" w14:textId="77777777" w:rsidR="00F77EAA" w:rsidRPr="00FA6B35" w:rsidRDefault="00F77EAA" w:rsidP="00F77EAA">
          <w:pPr>
            <w:pStyle w:val="Footer"/>
            <w:spacing w:before="80"/>
            <w:rPr>
              <w:rFonts w:cstheme="minorHAnsi"/>
              <w:szCs w:val="16"/>
            </w:rPr>
          </w:pPr>
          <w:r>
            <w:rPr>
              <w:rFonts w:cstheme="minorHAnsi"/>
              <w:szCs w:val="16"/>
            </w:rPr>
            <w:t>Santa Ana Watershed Project Authority</w:t>
          </w:r>
        </w:p>
        <w:p w14:paraId="3605FFFD" w14:textId="46811F03" w:rsidR="00471466" w:rsidRPr="00E07FBD" w:rsidRDefault="00F77EAA" w:rsidP="00F77EAA">
          <w:pPr>
            <w:pStyle w:val="Footer"/>
            <w:spacing w:before="0"/>
            <w:rPr>
              <w:rFonts w:cstheme="minorHAnsi"/>
              <w:szCs w:val="18"/>
            </w:rPr>
          </w:pPr>
          <w:r>
            <w:rPr>
              <w:rFonts w:cstheme="minorHAnsi"/>
              <w:szCs w:val="16"/>
            </w:rPr>
            <w:t>Draft: October 2022</w:t>
          </w:r>
        </w:p>
      </w:tc>
    </w:tr>
  </w:tbl>
  <w:p w14:paraId="1E9BA464" w14:textId="77777777" w:rsidR="00471466" w:rsidRPr="00D63670" w:rsidRDefault="00471466" w:rsidP="00D63670">
    <w:pPr>
      <w:pStyle w:val="Footer"/>
      <w:rPr>
        <w:color w:val="A2AAAD" w:themeColor="accent5"/>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8" w:space="0" w:color="509E2F" w:themeColor="accent3"/>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ooter"/>
      <w:tblDescription w:val="Decorative footer -Client name; Date: June 2020, Report title, page number"/>
    </w:tblPr>
    <w:tblGrid>
      <w:gridCol w:w="4209"/>
      <w:gridCol w:w="943"/>
      <w:gridCol w:w="4208"/>
    </w:tblGrid>
    <w:tr w:rsidR="00471466" w14:paraId="0A8C77B8" w14:textId="77777777" w:rsidTr="00F55FAF">
      <w:tc>
        <w:tcPr>
          <w:tcW w:w="4209" w:type="dxa"/>
        </w:tcPr>
        <w:p w14:paraId="03942C03" w14:textId="77777777" w:rsidR="00471466" w:rsidRPr="00B4344E" w:rsidRDefault="00471466" w:rsidP="0026612A">
          <w:pPr>
            <w:pStyle w:val="Footer"/>
            <w:spacing w:before="80"/>
            <w:jc w:val="left"/>
            <w:rPr>
              <w:rFonts w:cstheme="minorHAnsi"/>
              <w:szCs w:val="18"/>
            </w:rPr>
          </w:pPr>
          <w:r>
            <w:rPr>
              <w:rFonts w:cstheme="minorHAnsi"/>
              <w:noProof/>
              <w:szCs w:val="16"/>
            </w:rPr>
            <w:drawing>
              <wp:inline distT="0" distB="0" distL="0" distR="0" wp14:anchorId="525948E1" wp14:editId="464DB322">
                <wp:extent cx="682141" cy="91440"/>
                <wp:effectExtent l="0" t="0" r="3810" b="381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_wordmark_reflex_1.25 in footer.jpg"/>
                        <pic:cNvPicPr/>
                      </pic:nvPicPr>
                      <pic:blipFill>
                        <a:blip r:embed="rId1">
                          <a:extLst>
                            <a:ext uri="{28A0092B-C50C-407E-A947-70E740481C1C}">
                              <a14:useLocalDpi xmlns:a14="http://schemas.microsoft.com/office/drawing/2010/main" val="0"/>
                            </a:ext>
                          </a:extLst>
                        </a:blip>
                        <a:stretch>
                          <a:fillRect/>
                        </a:stretch>
                      </pic:blipFill>
                      <pic:spPr>
                        <a:xfrm>
                          <a:off x="0" y="0"/>
                          <a:ext cx="682141" cy="91440"/>
                        </a:xfrm>
                        <a:prstGeom prst="rect">
                          <a:avLst/>
                        </a:prstGeom>
                      </pic:spPr>
                    </pic:pic>
                  </a:graphicData>
                </a:graphic>
              </wp:inline>
            </w:drawing>
          </w:r>
        </w:p>
        <w:p w14:paraId="6669123B" w14:textId="77777777" w:rsidR="00471466" w:rsidRPr="00B4344E" w:rsidRDefault="00471466" w:rsidP="0026612A">
          <w:pPr>
            <w:pStyle w:val="Footer"/>
            <w:spacing w:before="80"/>
            <w:jc w:val="left"/>
            <w:rPr>
              <w:rFonts w:cstheme="minorHAnsi"/>
              <w:szCs w:val="18"/>
            </w:rPr>
          </w:pPr>
        </w:p>
        <w:p w14:paraId="67ED428A" w14:textId="77777777" w:rsidR="00471466" w:rsidRDefault="00F55FAF" w:rsidP="0026612A">
          <w:pPr>
            <w:pStyle w:val="Footer"/>
            <w:spacing w:before="0"/>
            <w:jc w:val="left"/>
            <w:rPr>
              <w:rFonts w:cstheme="minorHAnsi"/>
              <w:szCs w:val="16"/>
            </w:rPr>
          </w:pPr>
          <w:r w:rsidRPr="009C14BA">
            <w:rPr>
              <w:rFonts w:cstheme="minorHAnsi"/>
              <w:color w:val="A2AAAD" w:themeColor="accent5"/>
              <w:sz w:val="10"/>
              <w:szCs w:val="10"/>
            </w:rPr>
            <w:t>X-X-XXX-XXX-XXX</w:t>
          </w:r>
        </w:p>
      </w:tc>
      <w:tc>
        <w:tcPr>
          <w:tcW w:w="943" w:type="dxa"/>
        </w:tcPr>
        <w:p w14:paraId="141E918F" w14:textId="77777777" w:rsidR="00471466" w:rsidRPr="00E07FBD" w:rsidRDefault="00471466" w:rsidP="0026612A">
          <w:pPr>
            <w:pStyle w:val="Footer"/>
            <w:spacing w:before="80"/>
            <w:jc w:val="center"/>
            <w:rPr>
              <w:rFonts w:cstheme="minorHAnsi"/>
              <w:szCs w:val="18"/>
            </w:rPr>
          </w:pPr>
          <w:r w:rsidRPr="00E07FBD">
            <w:rPr>
              <w:rFonts w:cstheme="minorHAnsi"/>
              <w:szCs w:val="18"/>
            </w:rPr>
            <w:fldChar w:fldCharType="begin"/>
          </w:r>
          <w:r w:rsidRPr="00E07FBD">
            <w:rPr>
              <w:rFonts w:cstheme="minorHAnsi"/>
              <w:szCs w:val="18"/>
            </w:rPr>
            <w:instrText xml:space="preserve"> PAGE </w:instrText>
          </w:r>
          <w:r w:rsidRPr="00E07FBD">
            <w:rPr>
              <w:rFonts w:cstheme="minorHAnsi"/>
              <w:szCs w:val="18"/>
            </w:rPr>
            <w:fldChar w:fldCharType="separate"/>
          </w:r>
          <w:r>
            <w:rPr>
              <w:rFonts w:cstheme="minorHAnsi"/>
              <w:szCs w:val="18"/>
            </w:rPr>
            <w:t>1-2</w:t>
          </w:r>
          <w:r w:rsidRPr="00E07FBD">
            <w:rPr>
              <w:rFonts w:cstheme="minorHAnsi"/>
              <w:szCs w:val="18"/>
            </w:rPr>
            <w:fldChar w:fldCharType="end"/>
          </w:r>
        </w:p>
      </w:tc>
      <w:tc>
        <w:tcPr>
          <w:tcW w:w="4208" w:type="dxa"/>
        </w:tcPr>
        <w:p w14:paraId="73C2E43A" w14:textId="5AE0BBD9" w:rsidR="00471466" w:rsidRPr="00FA6B35" w:rsidRDefault="00F77EAA" w:rsidP="0026612A">
          <w:pPr>
            <w:pStyle w:val="Footer"/>
            <w:spacing w:before="80"/>
            <w:rPr>
              <w:rFonts w:cstheme="minorHAnsi"/>
              <w:szCs w:val="16"/>
            </w:rPr>
          </w:pPr>
          <w:r>
            <w:rPr>
              <w:rFonts w:cstheme="minorHAnsi"/>
              <w:szCs w:val="16"/>
            </w:rPr>
            <w:t>Santa Ana Watershed Project Authority</w:t>
          </w:r>
        </w:p>
        <w:p w14:paraId="16BA77A3" w14:textId="075429B4" w:rsidR="00471466" w:rsidRPr="00E07FBD" w:rsidRDefault="00F77EAA" w:rsidP="0026612A">
          <w:pPr>
            <w:pStyle w:val="Footer"/>
            <w:spacing w:before="0"/>
            <w:rPr>
              <w:rFonts w:cstheme="minorHAnsi"/>
              <w:szCs w:val="18"/>
            </w:rPr>
          </w:pPr>
          <w:r>
            <w:rPr>
              <w:rFonts w:cstheme="minorHAnsi"/>
              <w:szCs w:val="16"/>
            </w:rPr>
            <w:t>Draft: October 2022</w:t>
          </w:r>
        </w:p>
      </w:tc>
    </w:tr>
  </w:tbl>
  <w:p w14:paraId="49D9769B" w14:textId="77777777" w:rsidR="00471466" w:rsidRPr="00D63670" w:rsidRDefault="00471466" w:rsidP="006F49C3">
    <w:pPr>
      <w:pStyle w:val="Footer"/>
      <w:rPr>
        <w:color w:val="A2AAAD" w:themeColor="accent5"/>
        <w:sz w:val="10"/>
        <w:szCs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8" w:space="0" w:color="509E2F" w:themeColor="accent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Decorative footer -Client name; Date: June 2020, Report title, page number"/>
    </w:tblPr>
    <w:tblGrid>
      <w:gridCol w:w="4209"/>
      <w:gridCol w:w="943"/>
      <w:gridCol w:w="4208"/>
    </w:tblGrid>
    <w:tr w:rsidR="00471466" w14:paraId="2B058CF5" w14:textId="77777777" w:rsidTr="00227B3B">
      <w:tc>
        <w:tcPr>
          <w:tcW w:w="2248" w:type="pct"/>
        </w:tcPr>
        <w:p w14:paraId="0CECC663" w14:textId="77777777" w:rsidR="00471466" w:rsidRPr="00B4344E" w:rsidRDefault="00471466" w:rsidP="0026612A">
          <w:pPr>
            <w:pStyle w:val="Footer"/>
            <w:spacing w:before="80"/>
            <w:jc w:val="left"/>
            <w:rPr>
              <w:rFonts w:cstheme="minorHAnsi"/>
              <w:szCs w:val="18"/>
            </w:rPr>
          </w:pPr>
          <w:r>
            <w:rPr>
              <w:rFonts w:cstheme="minorHAnsi"/>
              <w:noProof/>
              <w:szCs w:val="16"/>
            </w:rPr>
            <w:drawing>
              <wp:inline distT="0" distB="0" distL="0" distR="0" wp14:anchorId="38068A0E" wp14:editId="6DEB02CA">
                <wp:extent cx="682141" cy="91440"/>
                <wp:effectExtent l="0" t="0" r="3810" b="3810"/>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_wordmark_reflex_1.25 in footer.jpg"/>
                        <pic:cNvPicPr/>
                      </pic:nvPicPr>
                      <pic:blipFill>
                        <a:blip r:embed="rId1">
                          <a:extLst>
                            <a:ext uri="{28A0092B-C50C-407E-A947-70E740481C1C}">
                              <a14:useLocalDpi xmlns:a14="http://schemas.microsoft.com/office/drawing/2010/main" val="0"/>
                            </a:ext>
                          </a:extLst>
                        </a:blip>
                        <a:stretch>
                          <a:fillRect/>
                        </a:stretch>
                      </pic:blipFill>
                      <pic:spPr>
                        <a:xfrm>
                          <a:off x="0" y="0"/>
                          <a:ext cx="682141" cy="91440"/>
                        </a:xfrm>
                        <a:prstGeom prst="rect">
                          <a:avLst/>
                        </a:prstGeom>
                      </pic:spPr>
                    </pic:pic>
                  </a:graphicData>
                </a:graphic>
              </wp:inline>
            </w:drawing>
          </w:r>
        </w:p>
        <w:p w14:paraId="72838DEB" w14:textId="77777777" w:rsidR="00471466" w:rsidRPr="00B4344E" w:rsidRDefault="00471466" w:rsidP="0026612A">
          <w:pPr>
            <w:pStyle w:val="Footer"/>
            <w:spacing w:before="80"/>
            <w:jc w:val="left"/>
            <w:rPr>
              <w:rFonts w:cstheme="minorHAnsi"/>
              <w:szCs w:val="18"/>
            </w:rPr>
          </w:pPr>
        </w:p>
        <w:p w14:paraId="3BE854ED" w14:textId="77777777" w:rsidR="00471466" w:rsidRDefault="00F55FAF" w:rsidP="0026612A">
          <w:pPr>
            <w:pStyle w:val="Footer"/>
            <w:spacing w:before="0"/>
            <w:jc w:val="left"/>
            <w:rPr>
              <w:rFonts w:cstheme="minorHAnsi"/>
              <w:szCs w:val="16"/>
            </w:rPr>
          </w:pPr>
          <w:r w:rsidRPr="009C14BA">
            <w:rPr>
              <w:rFonts w:cstheme="minorHAnsi"/>
              <w:color w:val="A2AAAD" w:themeColor="accent5"/>
              <w:sz w:val="10"/>
              <w:szCs w:val="10"/>
            </w:rPr>
            <w:t>X-X-XXX-XXX-XXX</w:t>
          </w:r>
        </w:p>
      </w:tc>
      <w:tc>
        <w:tcPr>
          <w:tcW w:w="504" w:type="pct"/>
        </w:tcPr>
        <w:p w14:paraId="5B0ED8F2" w14:textId="77777777" w:rsidR="00471466" w:rsidRPr="00E07FBD" w:rsidRDefault="00471466" w:rsidP="0026612A">
          <w:pPr>
            <w:pStyle w:val="Footer"/>
            <w:spacing w:before="80"/>
            <w:jc w:val="center"/>
            <w:rPr>
              <w:rFonts w:cstheme="minorHAnsi"/>
              <w:szCs w:val="18"/>
            </w:rPr>
          </w:pPr>
          <w:r w:rsidRPr="00E07FBD">
            <w:rPr>
              <w:rFonts w:cstheme="minorHAnsi"/>
              <w:szCs w:val="18"/>
            </w:rPr>
            <w:fldChar w:fldCharType="begin"/>
          </w:r>
          <w:r w:rsidRPr="00E07FBD">
            <w:rPr>
              <w:rFonts w:cstheme="minorHAnsi"/>
              <w:szCs w:val="18"/>
            </w:rPr>
            <w:instrText xml:space="preserve"> PAGE </w:instrText>
          </w:r>
          <w:r w:rsidRPr="00E07FBD">
            <w:rPr>
              <w:rFonts w:cstheme="minorHAnsi"/>
              <w:szCs w:val="18"/>
            </w:rPr>
            <w:fldChar w:fldCharType="separate"/>
          </w:r>
          <w:r>
            <w:rPr>
              <w:rFonts w:cstheme="minorHAnsi"/>
              <w:szCs w:val="18"/>
            </w:rPr>
            <w:t>1-2</w:t>
          </w:r>
          <w:r w:rsidRPr="00E07FBD">
            <w:rPr>
              <w:rFonts w:cstheme="minorHAnsi"/>
              <w:szCs w:val="18"/>
            </w:rPr>
            <w:fldChar w:fldCharType="end"/>
          </w:r>
        </w:p>
      </w:tc>
      <w:tc>
        <w:tcPr>
          <w:tcW w:w="2248" w:type="pct"/>
        </w:tcPr>
        <w:p w14:paraId="63A59560" w14:textId="6B1A5A56" w:rsidR="00471466" w:rsidRPr="00FA6B35" w:rsidRDefault="0002789C" w:rsidP="0026612A">
          <w:pPr>
            <w:pStyle w:val="Footer"/>
            <w:spacing w:before="80"/>
            <w:rPr>
              <w:rFonts w:cstheme="minorHAnsi"/>
              <w:szCs w:val="16"/>
            </w:rPr>
          </w:pPr>
          <w:r>
            <w:rPr>
              <w:rFonts w:cstheme="minorHAnsi"/>
              <w:szCs w:val="16"/>
            </w:rPr>
            <w:t>Santa Ana Watershed Project Authority</w:t>
          </w:r>
        </w:p>
        <w:p w14:paraId="62607F6E" w14:textId="3324B980" w:rsidR="00471466" w:rsidRPr="00E07FBD" w:rsidRDefault="0002789C" w:rsidP="0026612A">
          <w:pPr>
            <w:pStyle w:val="Footer"/>
            <w:spacing w:before="0"/>
            <w:rPr>
              <w:rFonts w:cstheme="minorHAnsi"/>
              <w:szCs w:val="18"/>
            </w:rPr>
          </w:pPr>
          <w:r>
            <w:rPr>
              <w:rFonts w:cstheme="minorHAnsi"/>
              <w:szCs w:val="16"/>
            </w:rPr>
            <w:t>Draft October 2022</w:t>
          </w:r>
        </w:p>
      </w:tc>
    </w:tr>
  </w:tbl>
  <w:p w14:paraId="0EFD5F5C" w14:textId="77777777" w:rsidR="00471466" w:rsidRPr="00D63670" w:rsidRDefault="00471466" w:rsidP="00785EFC">
    <w:pPr>
      <w:pStyle w:val="Footer"/>
      <w:rPr>
        <w:color w:val="A2AAAD" w:themeColor="accent5"/>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8" w:space="0" w:color="509E2F" w:themeColor="accent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Decorative footer -Client name; Date: June 2020, Report title, page number"/>
    </w:tblPr>
    <w:tblGrid>
      <w:gridCol w:w="4209"/>
      <w:gridCol w:w="943"/>
      <w:gridCol w:w="4208"/>
    </w:tblGrid>
    <w:tr w:rsidR="00471466" w14:paraId="164D1111" w14:textId="77777777" w:rsidTr="00227B3B">
      <w:tc>
        <w:tcPr>
          <w:tcW w:w="2248" w:type="pct"/>
        </w:tcPr>
        <w:p w14:paraId="71EDA49F" w14:textId="77777777" w:rsidR="00471466" w:rsidRPr="00B4344E" w:rsidRDefault="00471466" w:rsidP="0026612A">
          <w:pPr>
            <w:pStyle w:val="Footer"/>
            <w:spacing w:before="80"/>
            <w:jc w:val="left"/>
            <w:rPr>
              <w:rFonts w:cstheme="minorHAnsi"/>
              <w:szCs w:val="18"/>
            </w:rPr>
          </w:pPr>
          <w:r>
            <w:rPr>
              <w:rFonts w:cstheme="minorHAnsi"/>
              <w:noProof/>
              <w:szCs w:val="16"/>
            </w:rPr>
            <w:drawing>
              <wp:inline distT="0" distB="0" distL="0" distR="0" wp14:anchorId="7AC307C2" wp14:editId="270D8AF3">
                <wp:extent cx="682141" cy="91440"/>
                <wp:effectExtent l="0" t="0" r="3810" b="381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_wordmark_reflex_1.25 in footer.jpg"/>
                        <pic:cNvPicPr/>
                      </pic:nvPicPr>
                      <pic:blipFill>
                        <a:blip r:embed="rId1">
                          <a:extLst>
                            <a:ext uri="{28A0092B-C50C-407E-A947-70E740481C1C}">
                              <a14:useLocalDpi xmlns:a14="http://schemas.microsoft.com/office/drawing/2010/main" val="0"/>
                            </a:ext>
                          </a:extLst>
                        </a:blip>
                        <a:stretch>
                          <a:fillRect/>
                        </a:stretch>
                      </pic:blipFill>
                      <pic:spPr>
                        <a:xfrm>
                          <a:off x="0" y="0"/>
                          <a:ext cx="682141" cy="91440"/>
                        </a:xfrm>
                        <a:prstGeom prst="rect">
                          <a:avLst/>
                        </a:prstGeom>
                      </pic:spPr>
                    </pic:pic>
                  </a:graphicData>
                </a:graphic>
              </wp:inline>
            </w:drawing>
          </w:r>
        </w:p>
        <w:p w14:paraId="44D14DD0" w14:textId="77777777" w:rsidR="00471466" w:rsidRPr="00B4344E" w:rsidRDefault="00471466" w:rsidP="0026612A">
          <w:pPr>
            <w:pStyle w:val="Footer"/>
            <w:spacing w:before="80"/>
            <w:jc w:val="left"/>
            <w:rPr>
              <w:rFonts w:cstheme="minorHAnsi"/>
              <w:szCs w:val="18"/>
            </w:rPr>
          </w:pPr>
        </w:p>
        <w:p w14:paraId="2CA30DB0" w14:textId="77777777" w:rsidR="00471466" w:rsidRDefault="00F55FAF" w:rsidP="0026612A">
          <w:pPr>
            <w:pStyle w:val="Footer"/>
            <w:spacing w:before="0"/>
            <w:jc w:val="left"/>
            <w:rPr>
              <w:rFonts w:cstheme="minorHAnsi"/>
              <w:szCs w:val="16"/>
            </w:rPr>
          </w:pPr>
          <w:r w:rsidRPr="009C14BA">
            <w:rPr>
              <w:rFonts w:cstheme="minorHAnsi"/>
              <w:color w:val="A2AAAD" w:themeColor="accent5"/>
              <w:sz w:val="10"/>
              <w:szCs w:val="10"/>
            </w:rPr>
            <w:t>X-X-XXX-XXX-XXX</w:t>
          </w:r>
        </w:p>
      </w:tc>
      <w:tc>
        <w:tcPr>
          <w:tcW w:w="504" w:type="pct"/>
        </w:tcPr>
        <w:p w14:paraId="0650ECB6" w14:textId="77777777" w:rsidR="00471466" w:rsidRPr="00E07FBD" w:rsidRDefault="00471466" w:rsidP="0026612A">
          <w:pPr>
            <w:pStyle w:val="Footer"/>
            <w:spacing w:before="80"/>
            <w:jc w:val="center"/>
            <w:rPr>
              <w:rFonts w:cstheme="minorHAnsi"/>
              <w:szCs w:val="18"/>
            </w:rPr>
          </w:pPr>
          <w:r w:rsidRPr="00E07FBD">
            <w:rPr>
              <w:rFonts w:cstheme="minorHAnsi"/>
              <w:szCs w:val="18"/>
            </w:rPr>
            <w:fldChar w:fldCharType="begin"/>
          </w:r>
          <w:r w:rsidRPr="00E07FBD">
            <w:rPr>
              <w:rFonts w:cstheme="minorHAnsi"/>
              <w:szCs w:val="18"/>
            </w:rPr>
            <w:instrText xml:space="preserve"> PAGE </w:instrText>
          </w:r>
          <w:r w:rsidRPr="00E07FBD">
            <w:rPr>
              <w:rFonts w:cstheme="minorHAnsi"/>
              <w:szCs w:val="18"/>
            </w:rPr>
            <w:fldChar w:fldCharType="separate"/>
          </w:r>
          <w:r>
            <w:rPr>
              <w:rFonts w:cstheme="minorHAnsi"/>
              <w:szCs w:val="18"/>
            </w:rPr>
            <w:t>1-2</w:t>
          </w:r>
          <w:r w:rsidRPr="00E07FBD">
            <w:rPr>
              <w:rFonts w:cstheme="minorHAnsi"/>
              <w:szCs w:val="18"/>
            </w:rPr>
            <w:fldChar w:fldCharType="end"/>
          </w:r>
        </w:p>
      </w:tc>
      <w:tc>
        <w:tcPr>
          <w:tcW w:w="2248" w:type="pct"/>
        </w:tcPr>
        <w:p w14:paraId="6995B870" w14:textId="19B62C51" w:rsidR="00471466" w:rsidRPr="00FA6B35" w:rsidRDefault="001C22A8" w:rsidP="0026612A">
          <w:pPr>
            <w:pStyle w:val="Footer"/>
            <w:spacing w:before="80"/>
            <w:rPr>
              <w:rFonts w:cstheme="minorHAnsi"/>
              <w:szCs w:val="16"/>
            </w:rPr>
          </w:pPr>
          <w:r>
            <w:rPr>
              <w:rFonts w:cstheme="minorHAnsi"/>
              <w:szCs w:val="16"/>
            </w:rPr>
            <w:t>Santa Ana Watershed Project Authority</w:t>
          </w:r>
        </w:p>
        <w:p w14:paraId="2FD194FA" w14:textId="6D02F491" w:rsidR="00471466" w:rsidRPr="00E07FBD" w:rsidRDefault="001C22A8" w:rsidP="0026612A">
          <w:pPr>
            <w:pStyle w:val="Footer"/>
            <w:spacing w:before="0"/>
            <w:rPr>
              <w:rFonts w:cstheme="minorHAnsi"/>
              <w:szCs w:val="18"/>
            </w:rPr>
          </w:pPr>
          <w:r>
            <w:rPr>
              <w:rFonts w:cstheme="minorHAnsi"/>
              <w:szCs w:val="16"/>
            </w:rPr>
            <w:t>Draft – October 2022</w:t>
          </w:r>
        </w:p>
      </w:tc>
    </w:tr>
  </w:tbl>
  <w:p w14:paraId="25946F47" w14:textId="77777777" w:rsidR="00471466" w:rsidRPr="00D63670" w:rsidRDefault="00471466" w:rsidP="00785EFC">
    <w:pPr>
      <w:pStyle w:val="Footer"/>
      <w:rPr>
        <w:color w:val="A2AAAD" w:themeColor="accent5"/>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6F478" w14:textId="77777777" w:rsidR="006709BC" w:rsidRDefault="006709BC">
      <w:r>
        <w:separator/>
      </w:r>
    </w:p>
  </w:footnote>
  <w:footnote w:type="continuationSeparator" w:id="0">
    <w:p w14:paraId="1A67F706" w14:textId="77777777" w:rsidR="006709BC" w:rsidRDefault="006709BC">
      <w:r>
        <w:continuationSeparator/>
      </w:r>
    </w:p>
  </w:footnote>
  <w:footnote w:type="continuationNotice" w:id="1">
    <w:p w14:paraId="3A1BDEF4" w14:textId="77777777" w:rsidR="006709BC" w:rsidRDefault="006709BC">
      <w:pPr>
        <w:spacing w:after="0"/>
      </w:pPr>
    </w:p>
  </w:footnote>
  <w:footnote w:id="2">
    <w:p w14:paraId="4CFEC48A" w14:textId="7DE4DDDE" w:rsidR="006E3616" w:rsidRDefault="006E3616">
      <w:pPr>
        <w:pStyle w:val="FootnoteText"/>
      </w:pPr>
      <w:r>
        <w:rPr>
          <w:rStyle w:val="FootnoteReference"/>
        </w:rPr>
        <w:footnoteRef/>
      </w:r>
      <w:r>
        <w:t xml:space="preserve"> As of the writing of this report, the Basin Plan amendment (approved by the Santa Ana Water Board in December 2021, and by the State Water Resources Control Board in May 2022) is pending final approval by the Office of Administrative Law. </w:t>
      </w:r>
    </w:p>
  </w:footnote>
  <w:footnote w:id="3">
    <w:p w14:paraId="1A6BFF20" w14:textId="77777777" w:rsidR="00897F65" w:rsidRDefault="00897F65" w:rsidP="00897F65">
      <w:pPr>
        <w:pStyle w:val="FootnoteText"/>
      </w:pPr>
      <w:r>
        <w:rPr>
          <w:rStyle w:val="FootnoteReference"/>
        </w:rPr>
        <w:footnoteRef/>
      </w:r>
      <w:r>
        <w:t xml:space="preserve"> The members are those agencies funding Task Force operations.</w:t>
      </w:r>
    </w:p>
  </w:footnote>
  <w:footnote w:id="4">
    <w:p w14:paraId="578FE804" w14:textId="77777777" w:rsidR="00BD1D1B" w:rsidRDefault="00BD1D1B" w:rsidP="00BD1D1B">
      <w:pPr>
        <w:pStyle w:val="FootnoteText"/>
        <w:jc w:val="left"/>
      </w:pPr>
      <w:r>
        <w:rPr>
          <w:rStyle w:val="FootnoteReference"/>
        </w:rPr>
        <w:footnoteRef/>
      </w:r>
      <w:r>
        <w:t xml:space="preserve"> Weblink:  </w:t>
      </w:r>
      <w:hyperlink r:id="rId1" w:history="1">
        <w:r w:rsidRPr="00EE518A">
          <w:rPr>
            <w:rStyle w:val="Hyperlink"/>
            <w:sz w:val="20"/>
          </w:rPr>
          <w:t>https://www.waterboards.ca.gov/santaana/water_issues/programs/basin_plan/docs/2019/New/Chapter_5_June_2019.pdf</w:t>
        </w:r>
      </w:hyperlink>
      <w:r>
        <w:t xml:space="preserve"> Accessed October 1, 2022.</w:t>
      </w:r>
    </w:p>
  </w:footnote>
  <w:footnote w:id="5">
    <w:p w14:paraId="29063414" w14:textId="26CA6DC7" w:rsidR="00C733D2" w:rsidRDefault="00C733D2">
      <w:pPr>
        <w:pStyle w:val="FootnoteText"/>
      </w:pPr>
      <w:r>
        <w:rPr>
          <w:rStyle w:val="FootnoteReference"/>
        </w:rPr>
        <w:footnoteRef/>
      </w:r>
      <w:r>
        <w:t xml:space="preserve"> The Basin Plan amendment addressed various other changes to the Basin Plan SNMP, including incorporation of the latest Wasteload Allocation and requirements for updating the surface water monitoring program. </w:t>
      </w:r>
    </w:p>
  </w:footnote>
  <w:footnote w:id="6">
    <w:p w14:paraId="6558F4BD" w14:textId="56C9FB6E" w:rsidR="00B271A1" w:rsidRDefault="00B271A1">
      <w:pPr>
        <w:pStyle w:val="FootnoteText"/>
      </w:pPr>
      <w:r>
        <w:rPr>
          <w:rStyle w:val="FootnoteReference"/>
        </w:rPr>
        <w:footnoteRef/>
      </w:r>
      <w:r>
        <w:t xml:space="preserve"> The </w:t>
      </w:r>
      <w:r w:rsidR="00E80094">
        <w:t>Santa Ana Water Board</w:t>
      </w:r>
      <w:r>
        <w:t xml:space="preserve"> granted the Task Force an extension of the due date to December 1, </w:t>
      </w:r>
      <w:proofErr w:type="gramStart"/>
      <w:r>
        <w:t>2022</w:t>
      </w:r>
      <w:proofErr w:type="gramEnd"/>
      <w:r>
        <w:t xml:space="preserve"> due to the substantial progress and stakeholder engagement in completing the monitoring program update.  </w:t>
      </w:r>
    </w:p>
  </w:footnote>
  <w:footnote w:id="7">
    <w:p w14:paraId="7ED6A611" w14:textId="0F91F8C4" w:rsidR="00B84DB8" w:rsidRDefault="00B84DB8">
      <w:pPr>
        <w:pStyle w:val="FootnoteText"/>
      </w:pPr>
      <w:r>
        <w:rPr>
          <w:rStyle w:val="FootnoteReference"/>
        </w:rPr>
        <w:footnoteRef/>
      </w:r>
      <w:r>
        <w:t xml:space="preserve"> In</w:t>
      </w:r>
      <w:r w:rsidR="00B32931">
        <w:t xml:space="preserve"> December</w:t>
      </w:r>
      <w:r>
        <w:t xml:space="preserve"> 2020, a Basin Plan amendment was approved that consolidated the Bedford, Lee Lake, and Warm Springs GMZs into the Upper Temescal Valley GMZ. The Upper Temescal Valley GMZ has its own </w:t>
      </w:r>
      <w:r w:rsidR="00075C58">
        <w:t>GMZ-specific SNMP that addresses the unique hydrogeology of the GMZ</w:t>
      </w:r>
      <w:r w:rsidR="00E74BDC">
        <w:t xml:space="preserve">, the historical challenges in assessing AWQ and assimilative capacity, and provides an implementation plan that enables recycled water </w:t>
      </w:r>
      <w:proofErr w:type="gramStart"/>
      <w:r w:rsidR="00E74BDC">
        <w:t>use</w:t>
      </w:r>
      <w:proofErr w:type="gramEnd"/>
      <w:r w:rsidR="00E74BDC">
        <w:t xml:space="preserve"> and discharge in the GMZ by the Eastern </w:t>
      </w:r>
      <w:r w:rsidR="007E4B6C">
        <w:t>Municipal</w:t>
      </w:r>
      <w:r w:rsidR="00E74BDC">
        <w:t xml:space="preserve"> Water District and Elsinore Valley Municipal Water District. </w:t>
      </w:r>
    </w:p>
  </w:footnote>
  <w:footnote w:id="8">
    <w:p w14:paraId="51D64531" w14:textId="5D839C31" w:rsidR="00B32931" w:rsidRDefault="00B32931">
      <w:pPr>
        <w:pStyle w:val="FootnoteText"/>
      </w:pPr>
      <w:r>
        <w:rPr>
          <w:rStyle w:val="FootnoteReference"/>
        </w:rPr>
        <w:footnoteRef/>
      </w:r>
      <w:r>
        <w:t xml:space="preserve"> In December 2021,</w:t>
      </w:r>
      <w:r w:rsidR="007E2D19" w:rsidRPr="007E2D19">
        <w:t xml:space="preserve"> </w:t>
      </w:r>
      <w:r w:rsidR="007E2D19">
        <w:t xml:space="preserve">Basin Plan amendment was approved to incorporate maximum benefit objectives and a Maximum Benefit SNMP </w:t>
      </w:r>
      <w:r w:rsidR="00875C9D">
        <w:t>for the Elsinore GMZ.</w:t>
      </w:r>
    </w:p>
  </w:footnote>
  <w:footnote w:id="9">
    <w:p w14:paraId="77E80CA2" w14:textId="6D91BB23" w:rsidR="00A35C21" w:rsidRDefault="00A35C21">
      <w:pPr>
        <w:pStyle w:val="FootnoteText"/>
      </w:pPr>
      <w:r>
        <w:rPr>
          <w:rStyle w:val="FootnoteReference"/>
        </w:rPr>
        <w:footnoteRef/>
      </w:r>
      <w:r>
        <w:t xml:space="preserve"> For GMZs with </w:t>
      </w:r>
      <w:r w:rsidR="00AE0E84">
        <w:t>many</w:t>
      </w:r>
      <w:r w:rsidR="00E71CF3">
        <w:t xml:space="preserve"> wells, the table and map exclude the Well Label. Due to the number and density of wells, labeling them was not practical. </w:t>
      </w:r>
      <w:r w:rsidR="00B31A3B">
        <w:t xml:space="preserve">GMZs without well labels include Chino-North, </w:t>
      </w:r>
      <w:r w:rsidR="00B82350">
        <w:t xml:space="preserve">Irvine, and </w:t>
      </w:r>
      <w:r w:rsidR="00B31A3B">
        <w:t>Orange County</w:t>
      </w:r>
      <w:r w:rsidR="00B82350">
        <w:t>.</w:t>
      </w:r>
    </w:p>
  </w:footnote>
  <w:footnote w:id="10">
    <w:p w14:paraId="2918E369" w14:textId="4DADE3E6" w:rsidR="00C50466" w:rsidRDefault="00C50466">
      <w:pPr>
        <w:pStyle w:val="FootnoteText"/>
      </w:pPr>
      <w:r>
        <w:rPr>
          <w:rStyle w:val="FootnoteReference"/>
        </w:rPr>
        <w:footnoteRef/>
      </w:r>
      <w:r>
        <w:t xml:space="preserve"> </w:t>
      </w:r>
      <w:r w:rsidRPr="00C50466">
        <w:t>Per discussions with the Santa Ana Water Board staff, the Task Force may focus its efforts exclusively on TDS and nitrate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FA2A" w14:textId="77777777" w:rsidR="00471466" w:rsidRDefault="00C06F2F">
    <w:pPr>
      <w:pStyle w:val="Header"/>
    </w:pPr>
    <w:r>
      <w:rPr>
        <w:noProof/>
      </w:rPr>
      <w:pict w14:anchorId="5C09C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10" o:spid="_x0000_s1026" type="#_x0000_t136" style="position:absolute;left:0;text-align:left;margin-left:0;margin-top:0;width:465.05pt;height:279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79E4" w14:textId="77777777" w:rsidR="00471466" w:rsidRDefault="00C06F2F">
    <w:pPr>
      <w:pStyle w:val="Header"/>
    </w:pPr>
    <w:r>
      <w:rPr>
        <w:noProof/>
      </w:rPr>
      <w:pict w14:anchorId="2DDDF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34" o:spid="_x0000_s1050" type="#_x0000_t136" style="position:absolute;left:0;text-align:left;margin-left:0;margin-top:0;width:465.05pt;height:279pt;rotation:315;z-index:-25165822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8" w:space="0" w:color="509E2F" w:themeColor="accent3"/>
        <w:right w:val="none" w:sz="0" w:space="0" w:color="auto"/>
        <w:insideH w:val="none" w:sz="0" w:space="0" w:color="auto"/>
        <w:insideV w:val="none" w:sz="0" w:space="0" w:color="auto"/>
      </w:tblBorders>
      <w:tblLayout w:type="fixed"/>
      <w:tblLook w:val="04A0" w:firstRow="1" w:lastRow="0" w:firstColumn="1" w:lastColumn="0" w:noHBand="0" w:noVBand="1"/>
      <w:tblCaption w:val="Header"/>
      <w:tblDescription w:val="Decorative Header, client logo; chapter number and title"/>
    </w:tblPr>
    <w:tblGrid>
      <w:gridCol w:w="6151"/>
      <w:gridCol w:w="3209"/>
    </w:tblGrid>
    <w:tr w:rsidR="00471466" w:rsidRPr="0089620C" w14:paraId="2859F1BC" w14:textId="77777777" w:rsidTr="00F55FAF">
      <w:trPr>
        <w:trHeight w:val="1170"/>
      </w:trPr>
      <w:tc>
        <w:tcPr>
          <w:tcW w:w="6151" w:type="dxa"/>
          <w:vAlign w:val="center"/>
        </w:tcPr>
        <w:p w14:paraId="3D5692E1" w14:textId="77777777" w:rsidR="00471466" w:rsidRPr="0089620C" w:rsidRDefault="00471466" w:rsidP="0026612A">
          <w:pPr>
            <w:tabs>
              <w:tab w:val="right" w:pos="9360"/>
            </w:tabs>
            <w:spacing w:before="0" w:after="0"/>
            <w:jc w:val="left"/>
            <w:rPr>
              <w:rFonts w:cstheme="minorHAnsi"/>
              <w:b/>
              <w:color w:val="001489"/>
              <w:sz w:val="16"/>
              <w:szCs w:val="16"/>
            </w:rPr>
          </w:pPr>
        </w:p>
        <w:p w14:paraId="6225F32A" w14:textId="77777777" w:rsidR="00471466" w:rsidRDefault="00471466" w:rsidP="0026612A">
          <w:pPr>
            <w:tabs>
              <w:tab w:val="right" w:pos="9360"/>
            </w:tabs>
            <w:spacing w:before="0" w:after="0"/>
            <w:jc w:val="left"/>
            <w:rPr>
              <w:rFonts w:cstheme="minorHAnsi"/>
              <w:b/>
              <w:color w:val="001489"/>
              <w:sz w:val="16"/>
              <w:szCs w:val="16"/>
            </w:rPr>
          </w:pPr>
        </w:p>
        <w:p w14:paraId="03E98AD5" w14:textId="77777777" w:rsidR="001C22A8" w:rsidRDefault="001C22A8" w:rsidP="0026612A">
          <w:pPr>
            <w:tabs>
              <w:tab w:val="right" w:pos="9360"/>
            </w:tabs>
            <w:spacing w:before="0" w:after="60"/>
            <w:jc w:val="left"/>
            <w:rPr>
              <w:rFonts w:cstheme="minorHAnsi"/>
              <w:b/>
              <w:color w:val="001489"/>
              <w:sz w:val="28"/>
              <w:szCs w:val="28"/>
            </w:rPr>
          </w:pPr>
        </w:p>
        <w:p w14:paraId="64EE7F20" w14:textId="6B8261A9" w:rsidR="00471466" w:rsidRPr="00E8678D" w:rsidRDefault="001C22A8" w:rsidP="0026612A">
          <w:pPr>
            <w:tabs>
              <w:tab w:val="right" w:pos="9360"/>
            </w:tabs>
            <w:spacing w:before="0" w:after="60"/>
            <w:jc w:val="left"/>
            <w:rPr>
              <w:rFonts w:cstheme="minorHAnsi"/>
              <w:b/>
              <w:color w:val="001489"/>
              <w:sz w:val="28"/>
              <w:szCs w:val="28"/>
            </w:rPr>
          </w:pPr>
          <w:r>
            <w:rPr>
              <w:rFonts w:cstheme="minorHAnsi"/>
              <w:b/>
              <w:color w:val="001489"/>
              <w:sz w:val="28"/>
              <w:szCs w:val="28"/>
            </w:rPr>
            <w:t>2022 Groundwater Monitoring Program</w:t>
          </w:r>
        </w:p>
      </w:tc>
      <w:tc>
        <w:tcPr>
          <w:tcW w:w="3209" w:type="dxa"/>
          <w:vAlign w:val="bottom"/>
        </w:tcPr>
        <w:p w14:paraId="2C8FEBE8" w14:textId="364AB145" w:rsidR="00471466" w:rsidRPr="000C6867" w:rsidRDefault="001C22A8" w:rsidP="0026612A">
          <w:pPr>
            <w:tabs>
              <w:tab w:val="right" w:pos="9360"/>
            </w:tabs>
            <w:spacing w:before="0" w:after="60"/>
            <w:jc w:val="right"/>
            <w:rPr>
              <w:rFonts w:cstheme="minorHAnsi"/>
              <w:b/>
              <w:color w:val="001489"/>
              <w:sz w:val="28"/>
              <w:szCs w:val="28"/>
            </w:rPr>
          </w:pPr>
          <w:r>
            <w:rPr>
              <w:noProof/>
            </w:rPr>
            <w:drawing>
              <wp:inline distT="0" distB="0" distL="0" distR="0" wp14:anchorId="6A7F8073" wp14:editId="61BB07CB">
                <wp:extent cx="542925" cy="54979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6805" cy="553726"/>
                        </a:xfrm>
                        <a:prstGeom prst="rect">
                          <a:avLst/>
                        </a:prstGeom>
                      </pic:spPr>
                    </pic:pic>
                  </a:graphicData>
                </a:graphic>
              </wp:inline>
            </w:drawing>
          </w:r>
        </w:p>
      </w:tc>
    </w:tr>
  </w:tbl>
  <w:p w14:paraId="1D9B7398" w14:textId="77777777" w:rsidR="00471466" w:rsidRPr="0028080C" w:rsidRDefault="00C06F2F" w:rsidP="0028080C">
    <w:pPr>
      <w:pStyle w:val="Header"/>
    </w:pPr>
    <w:r>
      <w:rPr>
        <w:noProof/>
      </w:rPr>
      <w:pict w14:anchorId="38A1F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35" o:spid="_x0000_s1051" type="#_x0000_t136" style="position:absolute;left:0;text-align:left;margin-left:0;margin-top:0;width:465.05pt;height:279pt;rotation:315;z-index:-25165822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0627" w14:textId="77777777" w:rsidR="00471466" w:rsidRDefault="00471466">
    <w:pPr>
      <w:pStyle w:val="Header"/>
    </w:pPr>
    <w:r>
      <w:rPr>
        <w:noProof/>
      </w:rPr>
      <mc:AlternateContent>
        <mc:Choice Requires="wps">
          <w:drawing>
            <wp:anchor distT="0" distB="0" distL="114300" distR="114300" simplePos="0" relativeHeight="251658256" behindDoc="0" locked="0" layoutInCell="1" allowOverlap="1" wp14:anchorId="6BD6F910" wp14:editId="311DDA6B">
              <wp:simplePos x="0" y="0"/>
              <wp:positionH relativeFrom="margin">
                <wp:align>right</wp:align>
              </wp:positionH>
              <wp:positionV relativeFrom="paragraph">
                <wp:posOffset>272269</wp:posOffset>
              </wp:positionV>
              <wp:extent cx="5919781" cy="502920"/>
              <wp:effectExtent l="0" t="0" r="508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9781" cy="502920"/>
                      </a:xfrm>
                      <a:prstGeom prst="rect">
                        <a:avLst/>
                      </a:prstGeom>
                      <a:gradFill flip="none" rotWithShape="1">
                        <a:gsLst>
                          <a:gs pos="51000">
                            <a:srgbClr val="16706F"/>
                          </a:gs>
                          <a:gs pos="2000">
                            <a:srgbClr val="41AD49"/>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802EF" id="Rectangle 12" o:spid="_x0000_s1026" alt="&quot;&quot;" style="position:absolute;margin-left:414.9pt;margin-top:21.45pt;width:466.1pt;height:39.6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Fs0AIAADUGAAAOAAAAZHJzL2Uyb0RvYy54bWysVEtvGyEQvlfqf0Dcm9217CS2so6sRK4q&#10;RWmUpMoZs+BFYoEO+JH++g6wXrupT1UvLOy8v/lmbm73nSZbAV5ZU9PqoqREGG4bZdY1/fG6/HJN&#10;iQ/MNExbI2r6Ljy9nX/+dLNzMzGyrdWNAIJOjJ/tXE3bENysKDxvRcf8hXXCoFBa6FjAJ6yLBtgO&#10;vXe6GJXlZbGz0DiwXHiPf++zkM6TfykFD9+l9CIQXVPMLaQT0rmKZzG/YbM1MNcq3qfB/iGLjimD&#10;QQdX9ywwsgH1l6tOcbDeynDBbVdYKRUXqQaspio/VPPSMidSLQiOdwNM/v+55Y/bF/cECMPO+ZnH&#10;a6xiL6GLX8yP7BNY7wNYYh8Ix5+TaTW9uq4o4SiblKPpKKFZHK0d+PBV2I7ES00Bm5EwYtsHHzAi&#10;qh5UeuiapdKaSK2QCQb5QgnY8KZCm5BAfmWMPdonC0+cRTAmVVmWSeRhvbrTQLYM+11dXpWXy9hi&#10;jLT2pxZInTMG42pxP56eNYgRDiaRm2KIwjgXJlQnVilan6JWhrA4C0g+z5kWTawisS4oLZ4Rkz4/&#10;YKn6mKU28TQ2opGl8U9x7FC6hXctsvazkEQ12JNRBuF8glHXt6wRGZ1JKii7T+MWS0pQaYMOo7bE&#10;+IPvjP2gmZ38WXyvH01Fmr3BuAf7fGI5h8EiRbYmDMadMhbOVaYH2GXWP4CUoYkorWzz/gSRRrkF&#10;ji8VsvGB+fDEAEcd+4LrK3zHQ2q7q6ntb5S0Fn6d+x/1cQJRSskOV0dN/c8NA2Sr/maQjtNqPI67&#10;Jj3GkyscDAKnktWpxGy6OxvZigRxPF2jftCHqwTbveGWW8SoKGKGY+ya8gCHx13IKw33JBeLRVLD&#10;/eJYeDAvjh8GJ07b6/6NgetHMuAwP9rDmmGzD5OZdWM/jF1sgpUqkfWIa4837qZEnH6PxuV3+k5a&#10;x20//w0AAP//AwBQSwMEFAAGAAgAAAAhANkVhAzdAAAABwEAAA8AAABkcnMvZG93bnJldi54bWxM&#10;j81OwzAQhO9IvIO1SNyoUwMVDXEqVFGpEj9SCw/gxksSiNeW7bTh7VlOcBzN7My31WpygzhiTL0n&#10;DfNZAQKp8banVsP72+bqDkTKhqwZPKGGb0ywqs/PKlNaf6IdHve5FVxCqTQaupxDKWVqOnQmzXxA&#10;Yu/DR2cyy9hKG82Jy90gVVEspDM98UJnAq47bL72o2OM7ePn7vl1E9zt04tbjHHchjVqfXkxPdyD&#10;yDjlvzD84vMN1Mx08CPZJAYN/EjWcKOWINhdXisF4sAxpeYg60r+569/AAAA//8DAFBLAQItABQA&#10;BgAIAAAAIQC2gziS/gAAAOEBAAATAAAAAAAAAAAAAAAAAAAAAABbQ29udGVudF9UeXBlc10ueG1s&#10;UEsBAi0AFAAGAAgAAAAhADj9If/WAAAAlAEAAAsAAAAAAAAAAAAAAAAALwEAAF9yZWxzLy5yZWxz&#10;UEsBAi0AFAAGAAgAAAAhAEiVAWzQAgAANQYAAA4AAAAAAAAAAAAAAAAALgIAAGRycy9lMm9Eb2Mu&#10;eG1sUEsBAi0AFAAGAAgAAAAhANkVhAzdAAAABwEAAA8AAAAAAAAAAAAAAAAAKgUAAGRycy9kb3du&#10;cmV2LnhtbFBLBQYAAAAABAAEAPMAAAA0BgAAAAA=&#10;" fillcolor="#41ad49" stroked="f" strokeweight="2pt">
              <v:fill color2="#001489 [3204]" rotate="t" angle="90" colors="0 #41ad49;1311f #41ad49;33423f #16706f" focus="100%" type="gradient"/>
              <w10:wrap anchorx="margin"/>
            </v:rect>
          </w:pict>
        </mc:Fallback>
      </mc:AlternateContent>
    </w:r>
    <w:r w:rsidR="00C06F2F">
      <w:rPr>
        <w:noProof/>
      </w:rPr>
      <w:pict w14:anchorId="6150F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33" o:spid="_x0000_s1049" type="#_x0000_t136" style="position:absolute;left:0;text-align:left;margin-left:0;margin-top:0;width:465.05pt;height:279pt;rotation:315;z-index:-25165822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D892" w14:textId="77777777" w:rsidR="00471466" w:rsidRDefault="00C06F2F">
    <w:pPr>
      <w:pStyle w:val="Header"/>
    </w:pPr>
    <w:r>
      <w:rPr>
        <w:noProof/>
      </w:rPr>
      <w:pict w14:anchorId="7E95A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11" o:spid="_x0000_s1027" type="#_x0000_t136" style="position:absolute;left:0;text-align:left;margin-left:0;margin-top:0;width:465.05pt;height:279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7EB8" w14:textId="77777777" w:rsidR="00471466" w:rsidRDefault="00C06F2F" w:rsidP="0017583F">
    <w:pPr>
      <w:pStyle w:val="Header"/>
      <w:tabs>
        <w:tab w:val="clear" w:pos="4680"/>
        <w:tab w:val="clear" w:pos="9360"/>
      </w:tabs>
      <w:ind w:right="-1350"/>
      <w:jc w:val="left"/>
    </w:pPr>
    <w:r>
      <w:rPr>
        <w:noProof/>
      </w:rPr>
      <w:pict w14:anchorId="4E0C5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09" o:spid="_x0000_s1025" type="#_x0000_t136" style="position:absolute;margin-left:0;margin-top:0;width:465.05pt;height:279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2F51" w14:textId="77777777" w:rsidR="00471466" w:rsidRDefault="00C06F2F">
    <w:pPr>
      <w:pStyle w:val="Header"/>
    </w:pPr>
    <w:r>
      <w:rPr>
        <w:noProof/>
      </w:rPr>
      <w:pict w14:anchorId="707462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13" o:spid="_x0000_s1029" type="#_x0000_t136" style="position:absolute;left:0;text-align:left;margin-left:0;margin-top:0;width:465.05pt;height:279pt;rotation:315;z-index:-2516582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3F8B6" w14:textId="77777777" w:rsidR="00471466" w:rsidRDefault="00C06F2F">
    <w:pPr>
      <w:pStyle w:val="Header"/>
    </w:pPr>
    <w:r>
      <w:rPr>
        <w:noProof/>
      </w:rPr>
      <w:pict w14:anchorId="3C039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14" o:spid="_x0000_s1030" type="#_x0000_t136" style="position:absolute;left:0;text-align:left;margin-left:0;margin-top:0;width:465.05pt;height:279pt;rotation:315;z-index:-251658231;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752FE" w14:textId="77777777" w:rsidR="00471466" w:rsidRDefault="00C06F2F">
    <w:pPr>
      <w:pStyle w:val="Header"/>
    </w:pPr>
    <w:r>
      <w:rPr>
        <w:noProof/>
      </w:rPr>
      <w:pict w14:anchorId="71BDF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12" o:spid="_x0000_s1028" type="#_x0000_t136" style="position:absolute;left:0;text-align:left;margin-left:0;margin-top:0;width:465.05pt;height:279pt;rotation:315;z-index:-25165823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3F73" w14:textId="77777777" w:rsidR="00471466" w:rsidRDefault="00C06F2F">
    <w:pPr>
      <w:pStyle w:val="Header"/>
    </w:pPr>
    <w:r>
      <w:rPr>
        <w:noProof/>
      </w:rPr>
      <w:pict w14:anchorId="693FA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16" o:spid="_x0000_s1032" type="#_x0000_t136" style="position:absolute;left:0;text-align:left;margin-left:0;margin-top:0;width:465.05pt;height:279pt;rotation:315;z-index:-25165822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A689" w14:textId="77777777" w:rsidR="00471466" w:rsidRPr="00A468CE" w:rsidRDefault="00471466" w:rsidP="00A468CE">
    <w:pPr>
      <w:pStyle w:val="Header"/>
    </w:pPr>
    <w:r w:rsidRPr="00F57263">
      <w:rPr>
        <w:noProof/>
        <w:szCs w:val="22"/>
      </w:rPr>
      <mc:AlternateContent>
        <mc:Choice Requires="wps">
          <w:drawing>
            <wp:anchor distT="0" distB="0" distL="114300" distR="114300" simplePos="0" relativeHeight="251663360" behindDoc="0" locked="0" layoutInCell="1" allowOverlap="1" wp14:anchorId="4AB9A38E" wp14:editId="4EC45713">
              <wp:simplePos x="0" y="0"/>
              <wp:positionH relativeFrom="page">
                <wp:posOffset>-163195</wp:posOffset>
              </wp:positionH>
              <wp:positionV relativeFrom="paragraph">
                <wp:posOffset>272415</wp:posOffset>
              </wp:positionV>
              <wp:extent cx="4950823" cy="502920"/>
              <wp:effectExtent l="0" t="0" r="2540" b="0"/>
              <wp:wrapNone/>
              <wp:docPr id="104" name="Parallelogram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0823" cy="502920"/>
                      </a:xfrm>
                      <a:prstGeom prst="parallelogram">
                        <a:avLst/>
                      </a:prstGeom>
                      <a:gradFill>
                        <a:gsLst>
                          <a:gs pos="50000">
                            <a:srgbClr val="16706F"/>
                          </a:gs>
                          <a:gs pos="0">
                            <a:srgbClr val="41AD49"/>
                          </a:gs>
                          <a:gs pos="100000">
                            <a:schemeClr val="accent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B0252" w14:textId="77777777" w:rsidR="00471466" w:rsidRPr="0026612A" w:rsidRDefault="00471466" w:rsidP="00F57263">
                          <w:pPr>
                            <w:ind w:left="810"/>
                            <w:jc w:val="left"/>
                            <w:rPr>
                              <w:color w:val="FFFFFF" w:themeColor="background1"/>
                              <w:sz w:val="36"/>
                              <w:szCs w:val="36"/>
                            </w:rPr>
                          </w:pPr>
                          <w:r w:rsidRPr="0026612A">
                            <w:rPr>
                              <w:rFonts w:cstheme="minorHAnsi"/>
                              <w:color w:val="FFFFFF" w:themeColor="background1"/>
                              <w:sz w:val="36"/>
                              <w:szCs w:val="36"/>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9A38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4" o:spid="_x0000_s1028" type="#_x0000_t7" alt="&quot;&quot;" style="position:absolute;left:0;text-align:left;margin-left:-12.85pt;margin-top:21.45pt;width:389.85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kHvAIAACMGAAAOAAAAZHJzL2Uyb0RvYy54bWysVG1r2zAQ/j7YfxD6vtrOkrYJdUpoyRiU&#10;tqwd/azIUmKQdZqkvO3X7052nNCFMcbyQTnpnnt7fHc3t7vGsI3yoQZb8uIi50xZCVVtlyX//jr/&#10;dM1ZiMJWwoBVJd+rwG+nHz/cbN1EDWAFplKeoRMbJltX8lWMbpJlQa5UI8IFOGVRqcE3IuLVL7PK&#10;iy16b0w2yPPLbAu+ch6kCgFf71slnyb/WisZn7QOKjJTcswtptOnc0FnNr0Rk6UXblXLLg3xD1k0&#10;orYYtHd1L6Jga1//5qqppYcAOl5IaDLQupYq1YDVFPm7al5WwqlUC5ITXE9T+H9u5ePmxT17pGHr&#10;wiSgSFXstG/oH/Nju0TWvidL7SKT+Dgcj/LrwWfOJOpG+WA8SGxmR2vnQ/yioGEklNwJL4xRBpDu&#10;JpElNg8hYmi0OWA7Dqt5bUySA0JagTnAwkc5/pJ18MvFnfFsI/DbFpdX+eWcPic6W4ZTizPoYTG7&#10;H47Pogvy35lQE6o+hJBS2VicWKVQXX6mtkxQ02OXBSmMqjCpA9aLviBjKTcLVGCbLb1kR/aTFPdG&#10;Ec7Yb0qzukK+B23R53MibFiJSrVstCS17tMoURWJmuSQ0Brj976LP/lu3XR4MlVprnrjvyCrt0iR&#10;wcbeuKkt+HPRTc+0bvEHklpqiKW4W+yQm45nellAtX/2zEM758HJeY299yBCfMbuSx8Hl1V8wkMb&#10;2JYcOomzFfif594Jj/OGWs62uChKHn6shVecma8WG3JcDIe0WdJlOLrCMWD+VLM41dh1cwfUr9gl&#10;TiaR8NEcRO2hecOdNqOoqBJWYuySy+gPl7vYLjDcilLNZgmG28SJ+GBfnCTnxDON1OvuTXjXDWDE&#10;0X2Ew1IRk3fj12LJ0sJsHUHXaTaPvHZfADdRaqVua9KqO70n1HG3T38BAAD//wMAUEsDBBQABgAI&#10;AAAAIQDzkh3g3wAAAAoBAAAPAAAAZHJzL2Rvd25yZXYueG1sTI9BTsMwEEX3SNzBGiR2rVOrJTSN&#10;UyGqLlggQcMBnNjEUe1xiN02cHqGFV2O5un/98vt5B07mzH2ASUs5hkwg23QPXYSPur97BFYTAq1&#10;cgGNhG8TYVvd3pSq0OGC7+Z8SB2jEIyFkmBTGgrOY2uNV3EeBoP0+wyjV4nOseN6VBcK946LLHvg&#10;XvVIDVYN5tma9ng4eQkvcZ27Gm399rN/9V/DrmnjrpHy/m562gBLZkr/MPzpkzpU5NSEE+rInISZ&#10;WOWESliKNTAC8tWSxjVECrEAXpX8ekL1CwAA//8DAFBLAQItABQABgAIAAAAIQC2gziS/gAAAOEB&#10;AAATAAAAAAAAAAAAAAAAAAAAAABbQ29udGVudF9UeXBlc10ueG1sUEsBAi0AFAAGAAgAAAAhADj9&#10;If/WAAAAlAEAAAsAAAAAAAAAAAAAAAAALwEAAF9yZWxzLy5yZWxzUEsBAi0AFAAGAAgAAAAhABFv&#10;SQe8AgAAIwYAAA4AAAAAAAAAAAAAAAAALgIAAGRycy9lMm9Eb2MueG1sUEsBAi0AFAAGAAgAAAAh&#10;APOSHeDfAAAACgEAAA8AAAAAAAAAAAAAAAAAFgUAAGRycy9kb3ducmV2LnhtbFBLBQYAAAAABAAE&#10;APMAAAAiBgAAAAA=&#10;" adj="549" fillcolor="#41ad49" stroked="f" strokeweight="2pt">
              <v:fill color2="#001489 [3204]" angle="90" colors="0 #41ad49;.5 #16706f;1 #001489" focus="100%" type="gradient"/>
              <v:textbox>
                <w:txbxContent>
                  <w:p w14:paraId="5E7B0252" w14:textId="77777777" w:rsidR="00471466" w:rsidRPr="0026612A" w:rsidRDefault="00471466" w:rsidP="00F57263">
                    <w:pPr>
                      <w:ind w:left="810"/>
                      <w:jc w:val="left"/>
                      <w:rPr>
                        <w:color w:val="FFFFFF" w:themeColor="background1"/>
                        <w:sz w:val="36"/>
                        <w:szCs w:val="36"/>
                      </w:rPr>
                    </w:pPr>
                    <w:r w:rsidRPr="0026612A">
                      <w:rPr>
                        <w:rFonts w:cstheme="minorHAnsi"/>
                        <w:color w:val="FFFFFF" w:themeColor="background1"/>
                        <w:sz w:val="36"/>
                        <w:szCs w:val="36"/>
                      </w:rPr>
                      <w:t>Table of Contents</w:t>
                    </w:r>
                  </w:p>
                </w:txbxContent>
              </v:textbox>
              <w10:wrap anchorx="page"/>
            </v:shape>
          </w:pict>
        </mc:Fallback>
      </mc:AlternateContent>
    </w:r>
    <w:r w:rsidR="00C06F2F">
      <w:rPr>
        <w:noProof/>
      </w:rPr>
      <w:pict w14:anchorId="5D4D6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17" o:spid="_x0000_s1033" type="#_x0000_t136" style="position:absolute;left:0;text-align:left;margin-left:0;margin-top:0;width:465.05pt;height:279pt;rotation:315;z-index:-2516582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BEF9" w14:textId="77777777" w:rsidR="00471466" w:rsidRPr="00A468CE" w:rsidRDefault="00471466" w:rsidP="00F83542">
    <w:pPr>
      <w:pStyle w:val="Header"/>
      <w:rPr>
        <w:szCs w:val="22"/>
      </w:rPr>
    </w:pPr>
    <w:r w:rsidRPr="00F57263">
      <w:rPr>
        <w:noProof/>
        <w:szCs w:val="22"/>
      </w:rPr>
      <mc:AlternateContent>
        <mc:Choice Requires="wps">
          <w:drawing>
            <wp:anchor distT="0" distB="0" distL="114300" distR="114300" simplePos="0" relativeHeight="251660288" behindDoc="0" locked="0" layoutInCell="1" allowOverlap="1" wp14:anchorId="73053631" wp14:editId="29FCE958">
              <wp:simplePos x="0" y="0"/>
              <wp:positionH relativeFrom="page">
                <wp:posOffset>-165100</wp:posOffset>
              </wp:positionH>
              <wp:positionV relativeFrom="paragraph">
                <wp:posOffset>272415</wp:posOffset>
              </wp:positionV>
              <wp:extent cx="4950823" cy="502920"/>
              <wp:effectExtent l="0" t="0" r="2540" b="0"/>
              <wp:wrapNone/>
              <wp:docPr id="103" name="Parallelogram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0823" cy="502920"/>
                      </a:xfrm>
                      <a:prstGeom prst="parallelogram">
                        <a:avLst/>
                      </a:prstGeom>
                      <a:gradFill>
                        <a:gsLst>
                          <a:gs pos="0">
                            <a:srgbClr val="41AD49"/>
                          </a:gs>
                          <a:gs pos="50000">
                            <a:srgbClr val="16706F"/>
                          </a:gs>
                          <a:gs pos="100000">
                            <a:schemeClr val="accent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C0225" w14:textId="77777777" w:rsidR="00471466" w:rsidRPr="0026612A" w:rsidRDefault="00471466" w:rsidP="00F57263">
                          <w:pPr>
                            <w:ind w:left="810"/>
                            <w:jc w:val="left"/>
                            <w:rPr>
                              <w:color w:val="FFFFFF" w:themeColor="background1"/>
                              <w:sz w:val="36"/>
                              <w:szCs w:val="36"/>
                            </w:rPr>
                          </w:pPr>
                          <w:r w:rsidRPr="0026612A">
                            <w:rPr>
                              <w:rFonts w:cstheme="minorHAnsi"/>
                              <w:color w:val="FFFFFF" w:themeColor="background1"/>
                              <w:sz w:val="36"/>
                              <w:szCs w:val="36"/>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5363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3" o:spid="_x0000_s1029" type="#_x0000_t7" alt="&quot;&quot;" style="position:absolute;left:0;text-align:left;margin-left:-13pt;margin-top:21.45pt;width:389.85pt;height:3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1vvwIAACMGAAAOAAAAZHJzL2Uyb0RvYy54bWysVG1r2zAQ/j7YfxD6vtrOkq4JdUpoyRiU&#10;tqwd/azIUmKQdZqkvO3X7052nNCGMcbyQTnpnnt7fHfXN7vGsI3yoQZb8uIi50xZCVVtlyX/8TL/&#10;dMVZiMJWwoBVJd+rwG+mHz9cb91EDWAFplKeoRMbJltX8lWMbpJlQa5UI8IFOGVRqcE3IuLVL7PK&#10;iy16b0w2yPPLbAu+ch6kCgFf71olnyb/WisZH7UOKjJTcswtptOnc0FnNr0Wk6UXblXLLg3xD1k0&#10;orYYtHd1J6Jga1+/c9XU0kMAHS8kNBloXUuVasBqivxNNc8r4VSqBckJrqcp/D+38mHz7J480rB1&#10;YRJQpCp22jf0j/mxXSJr35OldpFJfByOR/nV4DNnEnWjfDAeJDazo7XzIX5V0DASSu6EF8YoA0h3&#10;k8gSm/sQMTTaHLAdh9W8NibJASGtwBxg4XmyDH65uDWebQR+12ExuxuO6VOio2U4RY9y/L23KC6/&#10;5JfzsxYFWXQm1ISqDyOkVDYWJ1YpXJefqS0T1PTYZUEKoyochwPWi74gYyk/C1RgmzG9ZEf2kxT3&#10;RhHO2O9Ks7pCvgdtGedzImxYiUq1jLRlt+7TKFEViZ7kkNAa4/e+iz/5bt10eDJVaa56478gq7dI&#10;kcHG3ripLfhz0U3PtG7xB5JaaoiluFvskBuiBnOklwVU+yfPPLRzHpyc19h79yLEJ+y+9HFwWcVH&#10;PLSBbcmhkzhbgf917p3wOG+o5WyLi6Lk4edaeMWZ+WaxIcfFcEibJV2Goy84BsyfahanGrtubgF7&#10;tsAucTKJhI/mIGoPzSvutBlFRZWwEmOXXEZ/uNzGdoHhVpRqNksw3CZOxHv77CQ5J55ppF52r8K7&#10;bgAjju4DHJaKmLwZvxZLlhZm6wi6TrN55LX7AriJUit1W5NW3ek9oY67ffobAAD//wMAUEsDBBQA&#10;BgAIAAAAIQDOEShK4AAAAAoBAAAPAAAAZHJzL2Rvd25yZXYueG1sTI9BTsMwEEX3SNzBGiR2rVMD&#10;DU3jVIiqCxZIpeEATuzGEfY4xG4bOD3DCpajefr//XIzecfOZox9QAmLeQbMYBt0j52E93o3ewQW&#10;k0KtXEAj4ctE2FTXV6UqdLjgmzkfUscoBGOhJNiUhoLz2FrjVZyHwSD9jmH0KtE5dlyP6kLh3nGR&#10;ZUvuVY/UYNVgnq1pPw4nL+ElrnJXo63337tX/zlsmzZuGylvb6anNbBkpvQHw68+qUNFTk04oY7M&#10;SZiJJW1JEu7FChgB+cNdDqwhUogF8Krk/ydUPwAAAP//AwBQSwECLQAUAAYACAAAACEAtoM4kv4A&#10;AADhAQAAEwAAAAAAAAAAAAAAAAAAAAAAW0NvbnRlbnRfVHlwZXNdLnhtbFBLAQItABQABgAIAAAA&#10;IQA4/SH/1gAAAJQBAAALAAAAAAAAAAAAAAAAAC8BAABfcmVscy8ucmVsc1BLAQItABQABgAIAAAA&#10;IQC0VJ1vvwIAACMGAAAOAAAAAAAAAAAAAAAAAC4CAABkcnMvZTJvRG9jLnhtbFBLAQItABQABgAI&#10;AAAAIQDOEShK4AAAAAoBAAAPAAAAAAAAAAAAAAAAABkFAABkcnMvZG93bnJldi54bWxQSwUGAAAA&#10;AAQABADzAAAAJgYAAAAA&#10;" adj="549" fillcolor="#41ad49" stroked="f" strokeweight="2pt">
              <v:fill color2="#001489 [3204]" angle="90" colors="0 #41ad49;.5 #16706f;1 #001489" focus="100%" type="gradient"/>
              <v:textbox>
                <w:txbxContent>
                  <w:p w14:paraId="2AEC0225" w14:textId="77777777" w:rsidR="00471466" w:rsidRPr="0026612A" w:rsidRDefault="00471466" w:rsidP="00F57263">
                    <w:pPr>
                      <w:ind w:left="810"/>
                      <w:jc w:val="left"/>
                      <w:rPr>
                        <w:color w:val="FFFFFF" w:themeColor="background1"/>
                        <w:sz w:val="36"/>
                        <w:szCs w:val="36"/>
                      </w:rPr>
                    </w:pPr>
                    <w:r w:rsidRPr="0026612A">
                      <w:rPr>
                        <w:rFonts w:cstheme="minorHAnsi"/>
                        <w:color w:val="FFFFFF" w:themeColor="background1"/>
                        <w:sz w:val="36"/>
                        <w:szCs w:val="36"/>
                      </w:rPr>
                      <w:t>Table of Contents</w:t>
                    </w:r>
                  </w:p>
                </w:txbxContent>
              </v:textbox>
              <w10:wrap anchorx="page"/>
            </v:shape>
          </w:pict>
        </mc:Fallback>
      </mc:AlternateContent>
    </w:r>
    <w:r w:rsidR="00C06F2F">
      <w:rPr>
        <w:noProof/>
      </w:rPr>
      <w:pict w14:anchorId="66908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28115" o:spid="_x0000_s1031" type="#_x0000_t136" style="position:absolute;left:0;text-align:left;margin-left:0;margin-top:0;width:465.05pt;height:279pt;rotation:315;z-index:-25165823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068A8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DE459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A8EE4A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6DE8B9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9202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51EC0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B2403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91EA49D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A7705B"/>
    <w:multiLevelType w:val="hybridMultilevel"/>
    <w:tmpl w:val="71F8A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7E166C"/>
    <w:multiLevelType w:val="hybridMultilevel"/>
    <w:tmpl w:val="AC36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BE26B3"/>
    <w:multiLevelType w:val="hybridMultilevel"/>
    <w:tmpl w:val="71F8AF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6C5122"/>
    <w:multiLevelType w:val="hybridMultilevel"/>
    <w:tmpl w:val="B996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EA5772"/>
    <w:multiLevelType w:val="hybridMultilevel"/>
    <w:tmpl w:val="FBD812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0CD32293"/>
    <w:multiLevelType w:val="hybridMultilevel"/>
    <w:tmpl w:val="4732C7EA"/>
    <w:lvl w:ilvl="0" w:tplc="9DDA443C">
      <w:start w:val="1"/>
      <w:numFmt w:val="bullet"/>
      <w:pStyle w:val="ListBullet40"/>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0FF84965"/>
    <w:multiLevelType w:val="singleLevel"/>
    <w:tmpl w:val="5000798E"/>
    <w:lvl w:ilvl="0">
      <w:start w:val="1"/>
      <w:numFmt w:val="bullet"/>
      <w:pStyle w:val="tblbullet"/>
      <w:lvlText w:val=""/>
      <w:lvlJc w:val="left"/>
      <w:pPr>
        <w:tabs>
          <w:tab w:val="num" w:pos="576"/>
        </w:tabs>
        <w:ind w:left="576" w:hanging="288"/>
      </w:pPr>
      <w:rPr>
        <w:rFonts w:ascii="Symbol" w:hAnsi="Symbol" w:hint="default"/>
        <w:sz w:val="16"/>
      </w:rPr>
    </w:lvl>
  </w:abstractNum>
  <w:abstractNum w:abstractNumId="15" w15:restartNumberingAfterBreak="0">
    <w:nsid w:val="17A11EA1"/>
    <w:multiLevelType w:val="singleLevel"/>
    <w:tmpl w:val="DD84BA92"/>
    <w:lvl w:ilvl="0">
      <w:start w:val="1"/>
      <w:numFmt w:val="bullet"/>
      <w:pStyle w:val="ListBullet2"/>
      <w:lvlText w:val="—"/>
      <w:lvlJc w:val="left"/>
      <w:pPr>
        <w:tabs>
          <w:tab w:val="num" w:pos="360"/>
        </w:tabs>
        <w:ind w:left="1440" w:hanging="360"/>
      </w:pPr>
      <w:rPr>
        <w:rFonts w:ascii="Times New Roman" w:hAnsi="Times New Roman" w:cs="Times New Roman" w:hint="default"/>
        <w:color w:val="auto"/>
      </w:rPr>
    </w:lvl>
  </w:abstractNum>
  <w:abstractNum w:abstractNumId="16" w15:restartNumberingAfterBreak="0">
    <w:nsid w:val="19FC051C"/>
    <w:multiLevelType w:val="singleLevel"/>
    <w:tmpl w:val="66ECC616"/>
    <w:lvl w:ilvl="0">
      <w:start w:val="1"/>
      <w:numFmt w:val="decimal"/>
      <w:pStyle w:val="tblnumber"/>
      <w:lvlText w:val="%1."/>
      <w:lvlJc w:val="left"/>
      <w:pPr>
        <w:ind w:left="360" w:hanging="360"/>
      </w:pPr>
      <w:rPr>
        <w:rFonts w:ascii="Calibri" w:hAnsi="Calibri" w:hint="default"/>
        <w:b w:val="0"/>
        <w:i w:val="0"/>
        <w:caps w:val="0"/>
        <w:strike w:val="0"/>
        <w:dstrike w:val="0"/>
        <w:vanish w:val="0"/>
        <w:color w:val="auto"/>
        <w:sz w:val="20"/>
        <w:vertAlign w:val="baseline"/>
      </w:rPr>
    </w:lvl>
  </w:abstractNum>
  <w:abstractNum w:abstractNumId="17" w15:restartNumberingAfterBreak="0">
    <w:nsid w:val="1C965C18"/>
    <w:multiLevelType w:val="multilevel"/>
    <w:tmpl w:val="5DD06CFA"/>
    <w:lvl w:ilvl="0">
      <w:start w:val="1"/>
      <w:numFmt w:val="decimal"/>
      <w:lvlText w:val="X.%1"/>
      <w:lvlJc w:val="left"/>
      <w:pPr>
        <w:tabs>
          <w:tab w:val="num" w:pos="0"/>
        </w:tabs>
        <w:ind w:left="0" w:firstLine="0"/>
      </w:pPr>
      <w:rPr>
        <w:rFonts w:ascii="Arial Black" w:hAnsi="Arial Black" w:hint="default"/>
        <w:caps/>
        <w:color w:val="125687"/>
        <w:sz w:val="24"/>
      </w:rPr>
    </w:lvl>
    <w:lvl w:ilvl="1">
      <w:start w:val="1"/>
      <w:numFmt w:val="decimal"/>
      <w:lvlText w:val="X.%1.%2"/>
      <w:lvlJc w:val="left"/>
      <w:pPr>
        <w:tabs>
          <w:tab w:val="num" w:pos="0"/>
        </w:tabs>
        <w:ind w:left="0" w:firstLine="0"/>
      </w:pPr>
      <w:rPr>
        <w:rFonts w:ascii="Arial Black" w:hAnsi="Arial Black" w:hint="default"/>
        <w:color w:val="125687"/>
        <w:sz w:val="24"/>
      </w:rPr>
    </w:lvl>
    <w:lvl w:ilvl="2">
      <w:start w:val="1"/>
      <w:numFmt w:val="none"/>
      <w:lvlText w:val="X.1.1.%2"/>
      <w:lvlJc w:val="left"/>
      <w:pPr>
        <w:tabs>
          <w:tab w:val="num" w:pos="1152"/>
        </w:tabs>
        <w:ind w:left="1152" w:hanging="1152"/>
      </w:pPr>
      <w:rPr>
        <w:rFonts w:ascii="Arial" w:hAnsi="Arial" w:hint="default"/>
        <w:b w:val="0"/>
        <w:i w:val="0"/>
        <w:color w:val="125687"/>
        <w:sz w:val="24"/>
        <w:u w:val="words"/>
      </w:rPr>
    </w:lvl>
    <w:lvl w:ilvl="3">
      <w:start w:val="1"/>
      <w:numFmt w:val="decimal"/>
      <w:lvlText w:val="X.1.1.1.%2"/>
      <w:lvlJc w:val="left"/>
      <w:pPr>
        <w:tabs>
          <w:tab w:val="num" w:pos="1440"/>
        </w:tabs>
        <w:ind w:left="1440" w:hanging="1440"/>
      </w:pPr>
      <w:rPr>
        <w:rFonts w:ascii="Arial" w:hAnsi="Arial" w:hint="default"/>
        <w:color w:val="125687"/>
        <w:sz w:val="24"/>
      </w:rPr>
    </w:lvl>
    <w:lvl w:ilvl="4">
      <w:start w:val="1"/>
      <w:numFmt w:val="none"/>
      <w:lvlText w:val="X.1.1.1.1.%4"/>
      <w:lvlJc w:val="left"/>
      <w:pPr>
        <w:tabs>
          <w:tab w:val="num" w:pos="0"/>
        </w:tabs>
        <w:ind w:left="0" w:firstLine="0"/>
      </w:pPr>
      <w:rPr>
        <w:rFonts w:ascii="Arial" w:hAnsi="Arial" w:hint="default"/>
        <w:b w:val="0"/>
        <w:i/>
        <w:color w:val="125687"/>
        <w:sz w:val="24"/>
      </w:rPr>
    </w:lvl>
    <w:lvl w:ilvl="5">
      <w:start w:val="1"/>
      <w:numFmt w:val="decimal"/>
      <w:lvlText w:val="%6)"/>
      <w:lvlJc w:val="left"/>
      <w:pPr>
        <w:tabs>
          <w:tab w:val="num" w:pos="5220"/>
        </w:tabs>
        <w:ind w:left="5220" w:hanging="720"/>
      </w:pPr>
      <w:rPr>
        <w:rFonts w:hint="default"/>
      </w:rPr>
    </w:lvl>
    <w:lvl w:ilvl="6">
      <w:start w:val="1"/>
      <w:numFmt w:val="lowerLetter"/>
      <w:pStyle w:val="Heading7"/>
      <w:lvlText w:val="%7)"/>
      <w:lvlJc w:val="left"/>
      <w:pPr>
        <w:tabs>
          <w:tab w:val="num" w:pos="5364"/>
        </w:tabs>
        <w:ind w:left="5364" w:hanging="576"/>
      </w:pPr>
      <w:rPr>
        <w:rFonts w:hint="default"/>
        <w:sz w:val="24"/>
      </w:rPr>
    </w:lvl>
    <w:lvl w:ilvl="7">
      <w:start w:val="1"/>
      <w:numFmt w:val="decimal"/>
      <w:pStyle w:val="Heading8"/>
      <w:lvlText w:val="(%8)"/>
      <w:lvlJc w:val="left"/>
      <w:pPr>
        <w:tabs>
          <w:tab w:val="num" w:pos="1620"/>
        </w:tabs>
        <w:ind w:left="5940" w:hanging="576"/>
      </w:pPr>
      <w:rPr>
        <w:rFonts w:hint="default"/>
      </w:rPr>
    </w:lvl>
    <w:lvl w:ilvl="8">
      <w:start w:val="1"/>
      <w:numFmt w:val="lowerLetter"/>
      <w:lvlText w:val="(%9)"/>
      <w:lvlJc w:val="left"/>
      <w:pPr>
        <w:tabs>
          <w:tab w:val="num" w:pos="1620"/>
        </w:tabs>
        <w:ind w:left="6516" w:hanging="576"/>
      </w:pPr>
      <w:rPr>
        <w:rFonts w:hint="default"/>
      </w:rPr>
    </w:lvl>
  </w:abstractNum>
  <w:abstractNum w:abstractNumId="18" w15:restartNumberingAfterBreak="0">
    <w:nsid w:val="23DC5FFA"/>
    <w:multiLevelType w:val="hybridMultilevel"/>
    <w:tmpl w:val="7C2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922E77"/>
    <w:multiLevelType w:val="hybridMultilevel"/>
    <w:tmpl w:val="E3084862"/>
    <w:lvl w:ilvl="0" w:tplc="ADCC132C">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F71459"/>
    <w:multiLevelType w:val="hybridMultilevel"/>
    <w:tmpl w:val="D1E86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F772E7"/>
    <w:multiLevelType w:val="hybridMultilevel"/>
    <w:tmpl w:val="6366B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F2FE9"/>
    <w:multiLevelType w:val="singleLevel"/>
    <w:tmpl w:val="3226304E"/>
    <w:lvl w:ilvl="0">
      <w:start w:val="1"/>
      <w:numFmt w:val="decimal"/>
      <w:pStyle w:val="Number"/>
      <w:lvlText w:val="%1."/>
      <w:lvlJc w:val="left"/>
      <w:pPr>
        <w:ind w:left="360" w:hanging="360"/>
      </w:pPr>
      <w:rPr>
        <w:rFonts w:ascii="Calibri" w:hAnsi="Calibri"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3" w15:restartNumberingAfterBreak="0">
    <w:nsid w:val="3A4D4F4B"/>
    <w:multiLevelType w:val="hybridMultilevel"/>
    <w:tmpl w:val="60B0B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063A32"/>
    <w:multiLevelType w:val="hybridMultilevel"/>
    <w:tmpl w:val="04F8E7B6"/>
    <w:lvl w:ilvl="0" w:tplc="E9EEEFE4">
      <w:start w:val="1"/>
      <w:numFmt w:val="bullet"/>
      <w:pStyle w:val="ListBullet30"/>
      <w:lvlText w:val="▪"/>
      <w:lvlJc w:val="left"/>
      <w:pPr>
        <w:ind w:left="2160" w:hanging="360"/>
      </w:pPr>
      <w:rPr>
        <w:rFonts w:ascii="Times New Roman" w:hAnsi="Times New Roman" w:cs="Times New Roman"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2DF2E10"/>
    <w:multiLevelType w:val="hybridMultilevel"/>
    <w:tmpl w:val="B40E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75251"/>
    <w:multiLevelType w:val="hybridMultilevel"/>
    <w:tmpl w:val="53127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76D49"/>
    <w:multiLevelType w:val="hybridMultilevel"/>
    <w:tmpl w:val="BDD2AA7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660075"/>
    <w:multiLevelType w:val="hybridMultilevel"/>
    <w:tmpl w:val="8CEA8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97C5B"/>
    <w:multiLevelType w:val="hybridMultilevel"/>
    <w:tmpl w:val="25E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C87EF9"/>
    <w:multiLevelType w:val="hybridMultilevel"/>
    <w:tmpl w:val="ED88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DD3BE4"/>
    <w:multiLevelType w:val="hybridMultilevel"/>
    <w:tmpl w:val="13F62FD8"/>
    <w:lvl w:ilvl="0" w:tplc="CA883C58">
      <w:start w:val="1"/>
      <w:numFmt w:val="bullet"/>
      <w:pStyle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511CAF"/>
    <w:multiLevelType w:val="multilevel"/>
    <w:tmpl w:val="72CC56C6"/>
    <w:lvl w:ilvl="0">
      <w:start w:val="1"/>
      <w:numFmt w:val="upperRoman"/>
      <w:pStyle w:val="WYLevel1"/>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WYLevel2"/>
      <w:lvlText w:val="%2."/>
      <w:lvlJc w:val="left"/>
      <w:pPr>
        <w:tabs>
          <w:tab w:val="num" w:pos="792"/>
        </w:tabs>
        <w:ind w:left="1440" w:hanging="720"/>
      </w:pPr>
      <w:rPr>
        <w:rFonts w:hint="default"/>
      </w:rPr>
    </w:lvl>
    <w:lvl w:ilvl="2">
      <w:start w:val="1"/>
      <w:numFmt w:val="decimal"/>
      <w:pStyle w:val="WYLevel3"/>
      <w:lvlText w:val="%3."/>
      <w:lvlJc w:val="left"/>
      <w:pPr>
        <w:tabs>
          <w:tab w:val="num" w:pos="1512"/>
        </w:tabs>
        <w:ind w:left="2160" w:hanging="720"/>
      </w:pPr>
      <w:rPr>
        <w:rFonts w:hint="default"/>
      </w:rPr>
    </w:lvl>
    <w:lvl w:ilvl="3">
      <w:start w:val="1"/>
      <w:numFmt w:val="lowerLetter"/>
      <w:pStyle w:val="WYLevel4"/>
      <w:lvlText w:val="%4."/>
      <w:lvlJc w:val="left"/>
      <w:pPr>
        <w:tabs>
          <w:tab w:val="num" w:pos="2160"/>
        </w:tabs>
        <w:ind w:left="2880" w:hanging="720"/>
      </w:pPr>
      <w:rPr>
        <w:rFonts w:hint="default"/>
      </w:rPr>
    </w:lvl>
    <w:lvl w:ilvl="4">
      <w:start w:val="1"/>
      <w:numFmt w:val="decimal"/>
      <w:pStyle w:val="WYLevel5"/>
      <w:lvlText w:val="(%5)"/>
      <w:lvlJc w:val="left"/>
      <w:pPr>
        <w:tabs>
          <w:tab w:val="num" w:pos="2952"/>
        </w:tabs>
        <w:ind w:left="3600" w:hanging="720"/>
      </w:pPr>
      <w:rPr>
        <w:rFonts w:hint="default"/>
        <w:b w:val="0"/>
      </w:rPr>
    </w:lvl>
    <w:lvl w:ilvl="5">
      <w:start w:val="1"/>
      <w:numFmt w:val="lowerLetter"/>
      <w:pStyle w:val="WYLevel6"/>
      <w:lvlText w:val="(%6)"/>
      <w:lvlJc w:val="left"/>
      <w:pPr>
        <w:tabs>
          <w:tab w:val="num" w:pos="3600"/>
        </w:tabs>
        <w:ind w:left="4320" w:hanging="720"/>
      </w:pPr>
      <w:rPr>
        <w:rFonts w:hint="default"/>
      </w:rPr>
    </w:lvl>
    <w:lvl w:ilvl="6">
      <w:start w:val="1"/>
      <w:numFmt w:val="none"/>
      <w:lvlText w:val=""/>
      <w:lvlJc w:val="left"/>
      <w:pPr>
        <w:tabs>
          <w:tab w:val="num" w:pos="3600"/>
        </w:tabs>
        <w:ind w:left="4320" w:hanging="720"/>
      </w:pPr>
      <w:rPr>
        <w:rFonts w:hint="default"/>
      </w:rPr>
    </w:lvl>
    <w:lvl w:ilvl="7">
      <w:start w:val="1"/>
      <w:numFmt w:val="none"/>
      <w:lvlText w:val=""/>
      <w:lvlJc w:val="left"/>
      <w:pPr>
        <w:tabs>
          <w:tab w:val="num" w:pos="3600"/>
        </w:tabs>
        <w:ind w:left="4320" w:hanging="720"/>
      </w:pPr>
      <w:rPr>
        <w:rFonts w:hint="default"/>
      </w:rPr>
    </w:lvl>
    <w:lvl w:ilvl="8">
      <w:start w:val="1"/>
      <w:numFmt w:val="none"/>
      <w:lvlText w:val=""/>
      <w:lvlJc w:val="left"/>
      <w:pPr>
        <w:tabs>
          <w:tab w:val="num" w:pos="3600"/>
        </w:tabs>
        <w:ind w:left="4320" w:hanging="720"/>
      </w:pPr>
      <w:rPr>
        <w:rFonts w:hint="default"/>
      </w:rPr>
    </w:lvl>
  </w:abstractNum>
  <w:abstractNum w:abstractNumId="33" w15:restartNumberingAfterBreak="0">
    <w:nsid w:val="5FA57FF1"/>
    <w:multiLevelType w:val="hybridMultilevel"/>
    <w:tmpl w:val="562E96AA"/>
    <w:lvl w:ilvl="0" w:tplc="DB0C1E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4C7BE3"/>
    <w:multiLevelType w:val="multilevel"/>
    <w:tmpl w:val="EAE0425A"/>
    <w:lvl w:ilvl="0">
      <w:start w:val="1"/>
      <w:numFmt w:val="decimal"/>
      <w:pStyle w:val="Heading1"/>
      <w:suff w:val="space"/>
      <w:lvlText w:val="%1.0"/>
      <w:lvlJc w:val="left"/>
      <w:pPr>
        <w:ind w:left="0" w:firstLine="0"/>
      </w:pPr>
      <w:rPr>
        <w:specVanish w:val="0"/>
      </w:rPr>
    </w:lvl>
    <w:lvl w:ilvl="1">
      <w:start w:val="1"/>
      <w:numFmt w:val="decimal"/>
      <w:pStyle w:val="Heading2"/>
      <w:suff w:val="space"/>
      <w:lvlText w:val="%1.%2"/>
      <w:lvlJc w:val="left"/>
      <w:pPr>
        <w:ind w:left="576" w:hanging="576"/>
      </w:pPr>
      <w:rPr>
        <w:rFonts w:hint="default"/>
        <w:specVanish w:val="0"/>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21B490F"/>
    <w:multiLevelType w:val="hybridMultilevel"/>
    <w:tmpl w:val="0A32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74462"/>
    <w:multiLevelType w:val="hybridMultilevel"/>
    <w:tmpl w:val="2872F4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CAF1882"/>
    <w:multiLevelType w:val="hybridMultilevel"/>
    <w:tmpl w:val="4F0CE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7D7816"/>
    <w:multiLevelType w:val="hybridMultilevel"/>
    <w:tmpl w:val="61E0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B3771"/>
    <w:multiLevelType w:val="hybridMultilevel"/>
    <w:tmpl w:val="413E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5"/>
  </w:num>
  <w:num w:numId="4">
    <w:abstractNumId w:val="31"/>
  </w:num>
  <w:num w:numId="5">
    <w:abstractNumId w:val="22"/>
  </w:num>
  <w:num w:numId="6">
    <w:abstractNumId w:val="17"/>
  </w:num>
  <w:num w:numId="7">
    <w:abstractNumId w:val="34"/>
  </w:num>
  <w:num w:numId="8">
    <w:abstractNumId w:val="24"/>
  </w:num>
  <w:num w:numId="9">
    <w:abstractNumId w:val="13"/>
  </w:num>
  <w:num w:numId="10">
    <w:abstractNumId w:val="32"/>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33"/>
  </w:num>
  <w:num w:numId="20">
    <w:abstractNumId w:val="8"/>
  </w:num>
  <w:num w:numId="21">
    <w:abstractNumId w:val="37"/>
  </w:num>
  <w:num w:numId="22">
    <w:abstractNumId w:val="10"/>
  </w:num>
  <w:num w:numId="23">
    <w:abstractNumId w:val="20"/>
  </w:num>
  <w:num w:numId="24">
    <w:abstractNumId w:val="30"/>
  </w:num>
  <w:num w:numId="25">
    <w:abstractNumId w:val="11"/>
  </w:num>
  <w:num w:numId="26">
    <w:abstractNumId w:val="39"/>
  </w:num>
  <w:num w:numId="27">
    <w:abstractNumId w:val="9"/>
  </w:num>
  <w:num w:numId="28">
    <w:abstractNumId w:val="21"/>
  </w:num>
  <w:num w:numId="29">
    <w:abstractNumId w:val="12"/>
  </w:num>
  <w:num w:numId="30">
    <w:abstractNumId w:val="26"/>
  </w:num>
  <w:num w:numId="31">
    <w:abstractNumId w:val="19"/>
  </w:num>
  <w:num w:numId="32">
    <w:abstractNumId w:val="27"/>
  </w:num>
  <w:num w:numId="33">
    <w:abstractNumId w:val="25"/>
  </w:num>
  <w:num w:numId="34">
    <w:abstractNumId w:val="18"/>
  </w:num>
  <w:num w:numId="35">
    <w:abstractNumId w:val="28"/>
  </w:num>
  <w:num w:numId="36">
    <w:abstractNumId w:val="35"/>
  </w:num>
  <w:num w:numId="37">
    <w:abstractNumId w:val="31"/>
  </w:num>
  <w:num w:numId="38">
    <w:abstractNumId w:val="31"/>
  </w:num>
  <w:num w:numId="39">
    <w:abstractNumId w:val="15"/>
  </w:num>
  <w:num w:numId="40">
    <w:abstractNumId w:val="38"/>
  </w:num>
  <w:num w:numId="41">
    <w:abstractNumId w:val="36"/>
  </w:num>
  <w:num w:numId="42">
    <w:abstractNumId w:val="29"/>
  </w:num>
  <w:num w:numId="43">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0B"/>
    <w:rsid w:val="00002C4E"/>
    <w:rsid w:val="000050D6"/>
    <w:rsid w:val="0000632E"/>
    <w:rsid w:val="00006432"/>
    <w:rsid w:val="0001085E"/>
    <w:rsid w:val="0001136E"/>
    <w:rsid w:val="00012357"/>
    <w:rsid w:val="00012625"/>
    <w:rsid w:val="00013A86"/>
    <w:rsid w:val="00013A89"/>
    <w:rsid w:val="0001429B"/>
    <w:rsid w:val="000147FC"/>
    <w:rsid w:val="0001516D"/>
    <w:rsid w:val="00015A2A"/>
    <w:rsid w:val="00016F08"/>
    <w:rsid w:val="0001730C"/>
    <w:rsid w:val="00017C26"/>
    <w:rsid w:val="00020765"/>
    <w:rsid w:val="00020DB6"/>
    <w:rsid w:val="00021FF4"/>
    <w:rsid w:val="000235F1"/>
    <w:rsid w:val="0002419B"/>
    <w:rsid w:val="00026A49"/>
    <w:rsid w:val="00026B0E"/>
    <w:rsid w:val="0002789C"/>
    <w:rsid w:val="00030207"/>
    <w:rsid w:val="000304B9"/>
    <w:rsid w:val="00030D30"/>
    <w:rsid w:val="00031FB1"/>
    <w:rsid w:val="00032558"/>
    <w:rsid w:val="0003407E"/>
    <w:rsid w:val="0003550B"/>
    <w:rsid w:val="00035C62"/>
    <w:rsid w:val="00035E73"/>
    <w:rsid w:val="00035FC8"/>
    <w:rsid w:val="00036086"/>
    <w:rsid w:val="0003778B"/>
    <w:rsid w:val="00037DCF"/>
    <w:rsid w:val="0004177F"/>
    <w:rsid w:val="000421CD"/>
    <w:rsid w:val="000448BC"/>
    <w:rsid w:val="00044D6F"/>
    <w:rsid w:val="00045153"/>
    <w:rsid w:val="00045807"/>
    <w:rsid w:val="0004640B"/>
    <w:rsid w:val="00046C70"/>
    <w:rsid w:val="00047BC4"/>
    <w:rsid w:val="00051542"/>
    <w:rsid w:val="0005234B"/>
    <w:rsid w:val="00052FFF"/>
    <w:rsid w:val="00054E59"/>
    <w:rsid w:val="00054F24"/>
    <w:rsid w:val="00056E49"/>
    <w:rsid w:val="0005700B"/>
    <w:rsid w:val="00060690"/>
    <w:rsid w:val="00061CE6"/>
    <w:rsid w:val="00061DE3"/>
    <w:rsid w:val="00062449"/>
    <w:rsid w:val="000630DC"/>
    <w:rsid w:val="00064762"/>
    <w:rsid w:val="00065D69"/>
    <w:rsid w:val="00066D0C"/>
    <w:rsid w:val="0007025E"/>
    <w:rsid w:val="0007039D"/>
    <w:rsid w:val="00070AA7"/>
    <w:rsid w:val="00072365"/>
    <w:rsid w:val="00072791"/>
    <w:rsid w:val="0007374B"/>
    <w:rsid w:val="00073941"/>
    <w:rsid w:val="00073D2D"/>
    <w:rsid w:val="00075A6C"/>
    <w:rsid w:val="00075C58"/>
    <w:rsid w:val="0007737A"/>
    <w:rsid w:val="00080903"/>
    <w:rsid w:val="00081AF5"/>
    <w:rsid w:val="00082176"/>
    <w:rsid w:val="00084402"/>
    <w:rsid w:val="0008561B"/>
    <w:rsid w:val="000900B5"/>
    <w:rsid w:val="000902D2"/>
    <w:rsid w:val="00090429"/>
    <w:rsid w:val="00090FF9"/>
    <w:rsid w:val="00091001"/>
    <w:rsid w:val="0009263B"/>
    <w:rsid w:val="00093336"/>
    <w:rsid w:val="00094113"/>
    <w:rsid w:val="00094140"/>
    <w:rsid w:val="000941B6"/>
    <w:rsid w:val="000945E3"/>
    <w:rsid w:val="00095704"/>
    <w:rsid w:val="000A178A"/>
    <w:rsid w:val="000A317A"/>
    <w:rsid w:val="000A403A"/>
    <w:rsid w:val="000A53D3"/>
    <w:rsid w:val="000A5801"/>
    <w:rsid w:val="000A6A0E"/>
    <w:rsid w:val="000A76BF"/>
    <w:rsid w:val="000A7909"/>
    <w:rsid w:val="000A7E97"/>
    <w:rsid w:val="000B0C37"/>
    <w:rsid w:val="000B0EE6"/>
    <w:rsid w:val="000B1934"/>
    <w:rsid w:val="000B1DB1"/>
    <w:rsid w:val="000B392C"/>
    <w:rsid w:val="000B41D0"/>
    <w:rsid w:val="000B54BD"/>
    <w:rsid w:val="000B7B1F"/>
    <w:rsid w:val="000B7FB8"/>
    <w:rsid w:val="000C0533"/>
    <w:rsid w:val="000C0665"/>
    <w:rsid w:val="000C1984"/>
    <w:rsid w:val="000C1B53"/>
    <w:rsid w:val="000C2212"/>
    <w:rsid w:val="000C2BD4"/>
    <w:rsid w:val="000C38DD"/>
    <w:rsid w:val="000C39C2"/>
    <w:rsid w:val="000C3C32"/>
    <w:rsid w:val="000C48F3"/>
    <w:rsid w:val="000C4EC6"/>
    <w:rsid w:val="000C67BF"/>
    <w:rsid w:val="000C6DB2"/>
    <w:rsid w:val="000C6FEA"/>
    <w:rsid w:val="000C761A"/>
    <w:rsid w:val="000D0C71"/>
    <w:rsid w:val="000D199D"/>
    <w:rsid w:val="000D2EB5"/>
    <w:rsid w:val="000D34FB"/>
    <w:rsid w:val="000D3704"/>
    <w:rsid w:val="000D3E37"/>
    <w:rsid w:val="000D442A"/>
    <w:rsid w:val="000D4737"/>
    <w:rsid w:val="000D66B1"/>
    <w:rsid w:val="000D689F"/>
    <w:rsid w:val="000E0E5E"/>
    <w:rsid w:val="000E1879"/>
    <w:rsid w:val="000E1CE5"/>
    <w:rsid w:val="000E29DB"/>
    <w:rsid w:val="000E30C6"/>
    <w:rsid w:val="000E5AE6"/>
    <w:rsid w:val="000E600F"/>
    <w:rsid w:val="000E61DF"/>
    <w:rsid w:val="000E6EEC"/>
    <w:rsid w:val="000E7378"/>
    <w:rsid w:val="000E73EA"/>
    <w:rsid w:val="000E7791"/>
    <w:rsid w:val="000F0BE7"/>
    <w:rsid w:val="000F0C32"/>
    <w:rsid w:val="000F18C6"/>
    <w:rsid w:val="000F2A2D"/>
    <w:rsid w:val="000F3185"/>
    <w:rsid w:val="000F4411"/>
    <w:rsid w:val="000F5366"/>
    <w:rsid w:val="000F5865"/>
    <w:rsid w:val="000F59A5"/>
    <w:rsid w:val="000F67AD"/>
    <w:rsid w:val="000F6C10"/>
    <w:rsid w:val="000F7245"/>
    <w:rsid w:val="000F75FC"/>
    <w:rsid w:val="000F7964"/>
    <w:rsid w:val="0010306F"/>
    <w:rsid w:val="0010369C"/>
    <w:rsid w:val="00104E44"/>
    <w:rsid w:val="00105082"/>
    <w:rsid w:val="00105223"/>
    <w:rsid w:val="001054FE"/>
    <w:rsid w:val="001055EA"/>
    <w:rsid w:val="001056E1"/>
    <w:rsid w:val="001056F1"/>
    <w:rsid w:val="00105A6D"/>
    <w:rsid w:val="001079FB"/>
    <w:rsid w:val="001134CA"/>
    <w:rsid w:val="00113DD4"/>
    <w:rsid w:val="0011480C"/>
    <w:rsid w:val="001160FA"/>
    <w:rsid w:val="0011634E"/>
    <w:rsid w:val="0011788A"/>
    <w:rsid w:val="0012097D"/>
    <w:rsid w:val="00120DBF"/>
    <w:rsid w:val="00123324"/>
    <w:rsid w:val="00124A45"/>
    <w:rsid w:val="00125F64"/>
    <w:rsid w:val="00127079"/>
    <w:rsid w:val="00127595"/>
    <w:rsid w:val="001312A9"/>
    <w:rsid w:val="00131B19"/>
    <w:rsid w:val="00133081"/>
    <w:rsid w:val="0013364F"/>
    <w:rsid w:val="001336A3"/>
    <w:rsid w:val="00134F52"/>
    <w:rsid w:val="00135DAB"/>
    <w:rsid w:val="00135EF4"/>
    <w:rsid w:val="001369CD"/>
    <w:rsid w:val="00136C4B"/>
    <w:rsid w:val="00137B5A"/>
    <w:rsid w:val="00137F66"/>
    <w:rsid w:val="00140849"/>
    <w:rsid w:val="00141707"/>
    <w:rsid w:val="001432CD"/>
    <w:rsid w:val="00147163"/>
    <w:rsid w:val="00147975"/>
    <w:rsid w:val="00150C84"/>
    <w:rsid w:val="00151AED"/>
    <w:rsid w:val="00151FB8"/>
    <w:rsid w:val="001546F0"/>
    <w:rsid w:val="0015514D"/>
    <w:rsid w:val="00155B27"/>
    <w:rsid w:val="00156802"/>
    <w:rsid w:val="00161776"/>
    <w:rsid w:val="0016183A"/>
    <w:rsid w:val="00161C27"/>
    <w:rsid w:val="00162FE9"/>
    <w:rsid w:val="00165A8D"/>
    <w:rsid w:val="00166B28"/>
    <w:rsid w:val="00166BAE"/>
    <w:rsid w:val="0016717B"/>
    <w:rsid w:val="001673B6"/>
    <w:rsid w:val="00167E5F"/>
    <w:rsid w:val="001704A1"/>
    <w:rsid w:val="00170A3D"/>
    <w:rsid w:val="00171256"/>
    <w:rsid w:val="00171938"/>
    <w:rsid w:val="00172F0F"/>
    <w:rsid w:val="00173C86"/>
    <w:rsid w:val="00175622"/>
    <w:rsid w:val="00175634"/>
    <w:rsid w:val="0017583F"/>
    <w:rsid w:val="00175FC1"/>
    <w:rsid w:val="00176709"/>
    <w:rsid w:val="001773CE"/>
    <w:rsid w:val="0017775F"/>
    <w:rsid w:val="00177B99"/>
    <w:rsid w:val="00177F33"/>
    <w:rsid w:val="0018059F"/>
    <w:rsid w:val="00180897"/>
    <w:rsid w:val="001809D5"/>
    <w:rsid w:val="00182220"/>
    <w:rsid w:val="00183039"/>
    <w:rsid w:val="00183394"/>
    <w:rsid w:val="00186142"/>
    <w:rsid w:val="00186BA4"/>
    <w:rsid w:val="00187C50"/>
    <w:rsid w:val="00187EC9"/>
    <w:rsid w:val="0019028D"/>
    <w:rsid w:val="00191664"/>
    <w:rsid w:val="00192485"/>
    <w:rsid w:val="0019313B"/>
    <w:rsid w:val="00195BF6"/>
    <w:rsid w:val="00196461"/>
    <w:rsid w:val="001970CB"/>
    <w:rsid w:val="00197489"/>
    <w:rsid w:val="0019767B"/>
    <w:rsid w:val="001A165D"/>
    <w:rsid w:val="001A18CA"/>
    <w:rsid w:val="001A1DB6"/>
    <w:rsid w:val="001A278E"/>
    <w:rsid w:val="001A2A38"/>
    <w:rsid w:val="001A342F"/>
    <w:rsid w:val="001A5BED"/>
    <w:rsid w:val="001A5CBB"/>
    <w:rsid w:val="001A67DE"/>
    <w:rsid w:val="001A73F3"/>
    <w:rsid w:val="001A79D7"/>
    <w:rsid w:val="001B07DA"/>
    <w:rsid w:val="001B0ADE"/>
    <w:rsid w:val="001B1CD2"/>
    <w:rsid w:val="001B1E70"/>
    <w:rsid w:val="001B2577"/>
    <w:rsid w:val="001B2628"/>
    <w:rsid w:val="001B264D"/>
    <w:rsid w:val="001B2D73"/>
    <w:rsid w:val="001B332F"/>
    <w:rsid w:val="001B376E"/>
    <w:rsid w:val="001B4309"/>
    <w:rsid w:val="001B44FE"/>
    <w:rsid w:val="001B54F8"/>
    <w:rsid w:val="001B5F93"/>
    <w:rsid w:val="001B6F34"/>
    <w:rsid w:val="001C059A"/>
    <w:rsid w:val="001C0931"/>
    <w:rsid w:val="001C1D78"/>
    <w:rsid w:val="001C1DE9"/>
    <w:rsid w:val="001C22A8"/>
    <w:rsid w:val="001C2D7A"/>
    <w:rsid w:val="001C4E2A"/>
    <w:rsid w:val="001C5CAE"/>
    <w:rsid w:val="001C6218"/>
    <w:rsid w:val="001C6F62"/>
    <w:rsid w:val="001C793D"/>
    <w:rsid w:val="001D0B61"/>
    <w:rsid w:val="001D2E66"/>
    <w:rsid w:val="001D3B62"/>
    <w:rsid w:val="001D57DD"/>
    <w:rsid w:val="001D5924"/>
    <w:rsid w:val="001D610B"/>
    <w:rsid w:val="001D78C4"/>
    <w:rsid w:val="001E1C2D"/>
    <w:rsid w:val="001E202B"/>
    <w:rsid w:val="001E2370"/>
    <w:rsid w:val="001E2924"/>
    <w:rsid w:val="001E5420"/>
    <w:rsid w:val="001E5B11"/>
    <w:rsid w:val="001E602A"/>
    <w:rsid w:val="001E6537"/>
    <w:rsid w:val="001E76BC"/>
    <w:rsid w:val="001F0018"/>
    <w:rsid w:val="001F0C5D"/>
    <w:rsid w:val="001F25A3"/>
    <w:rsid w:val="001F2772"/>
    <w:rsid w:val="001F38EA"/>
    <w:rsid w:val="001F528E"/>
    <w:rsid w:val="001F6C1B"/>
    <w:rsid w:val="001F6CA3"/>
    <w:rsid w:val="001F71AA"/>
    <w:rsid w:val="001F7999"/>
    <w:rsid w:val="0020053D"/>
    <w:rsid w:val="002009E6"/>
    <w:rsid w:val="00200C4D"/>
    <w:rsid w:val="002010D8"/>
    <w:rsid w:val="00201CC4"/>
    <w:rsid w:val="00201FF8"/>
    <w:rsid w:val="00202284"/>
    <w:rsid w:val="002022D8"/>
    <w:rsid w:val="00202B45"/>
    <w:rsid w:val="00202D4A"/>
    <w:rsid w:val="002035A1"/>
    <w:rsid w:val="00203B28"/>
    <w:rsid w:val="00204B16"/>
    <w:rsid w:val="00205574"/>
    <w:rsid w:val="00205D76"/>
    <w:rsid w:val="0020648F"/>
    <w:rsid w:val="00206565"/>
    <w:rsid w:val="0020799C"/>
    <w:rsid w:val="002109EF"/>
    <w:rsid w:val="00210D48"/>
    <w:rsid w:val="002123C9"/>
    <w:rsid w:val="00212486"/>
    <w:rsid w:val="0021293F"/>
    <w:rsid w:val="00212D5E"/>
    <w:rsid w:val="00214422"/>
    <w:rsid w:val="00214553"/>
    <w:rsid w:val="00214818"/>
    <w:rsid w:val="00215497"/>
    <w:rsid w:val="00215549"/>
    <w:rsid w:val="00215DFB"/>
    <w:rsid w:val="002167C8"/>
    <w:rsid w:val="00217323"/>
    <w:rsid w:val="0022005B"/>
    <w:rsid w:val="002201AB"/>
    <w:rsid w:val="00220433"/>
    <w:rsid w:val="00221C2A"/>
    <w:rsid w:val="00222101"/>
    <w:rsid w:val="0022252C"/>
    <w:rsid w:val="00223059"/>
    <w:rsid w:val="002231D5"/>
    <w:rsid w:val="00223A20"/>
    <w:rsid w:val="00224641"/>
    <w:rsid w:val="00224D14"/>
    <w:rsid w:val="00224DBF"/>
    <w:rsid w:val="00226E24"/>
    <w:rsid w:val="002277F8"/>
    <w:rsid w:val="00227B3B"/>
    <w:rsid w:val="0023128E"/>
    <w:rsid w:val="00231CE1"/>
    <w:rsid w:val="00232147"/>
    <w:rsid w:val="00232446"/>
    <w:rsid w:val="00232773"/>
    <w:rsid w:val="00235644"/>
    <w:rsid w:val="00235F54"/>
    <w:rsid w:val="00235F67"/>
    <w:rsid w:val="002369FC"/>
    <w:rsid w:val="00236C68"/>
    <w:rsid w:val="00237763"/>
    <w:rsid w:val="0023780D"/>
    <w:rsid w:val="002406F7"/>
    <w:rsid w:val="00240841"/>
    <w:rsid w:val="0024143C"/>
    <w:rsid w:val="002420B3"/>
    <w:rsid w:val="002427C4"/>
    <w:rsid w:val="00243DF7"/>
    <w:rsid w:val="00243FC7"/>
    <w:rsid w:val="002442C7"/>
    <w:rsid w:val="002454BC"/>
    <w:rsid w:val="00245573"/>
    <w:rsid w:val="00245B98"/>
    <w:rsid w:val="00246677"/>
    <w:rsid w:val="00247291"/>
    <w:rsid w:val="002509DB"/>
    <w:rsid w:val="00250B29"/>
    <w:rsid w:val="00250E12"/>
    <w:rsid w:val="00251046"/>
    <w:rsid w:val="00251143"/>
    <w:rsid w:val="0025118E"/>
    <w:rsid w:val="0025298E"/>
    <w:rsid w:val="00252A3E"/>
    <w:rsid w:val="00253ACF"/>
    <w:rsid w:val="00254791"/>
    <w:rsid w:val="00255078"/>
    <w:rsid w:val="002560E6"/>
    <w:rsid w:val="0025714E"/>
    <w:rsid w:val="00257E48"/>
    <w:rsid w:val="00260046"/>
    <w:rsid w:val="00260DD4"/>
    <w:rsid w:val="00261265"/>
    <w:rsid w:val="002630A1"/>
    <w:rsid w:val="00263B36"/>
    <w:rsid w:val="00263E92"/>
    <w:rsid w:val="00264259"/>
    <w:rsid w:val="0026612A"/>
    <w:rsid w:val="002676B8"/>
    <w:rsid w:val="002678A7"/>
    <w:rsid w:val="00270A4D"/>
    <w:rsid w:val="002715BD"/>
    <w:rsid w:val="0027161D"/>
    <w:rsid w:val="00272155"/>
    <w:rsid w:val="00272DAC"/>
    <w:rsid w:val="00273722"/>
    <w:rsid w:val="0027411B"/>
    <w:rsid w:val="00275B17"/>
    <w:rsid w:val="00277D8A"/>
    <w:rsid w:val="0028080C"/>
    <w:rsid w:val="00282161"/>
    <w:rsid w:val="00282D95"/>
    <w:rsid w:val="00282EF0"/>
    <w:rsid w:val="00284C58"/>
    <w:rsid w:val="002857C0"/>
    <w:rsid w:val="002868DB"/>
    <w:rsid w:val="002869AC"/>
    <w:rsid w:val="00286E1E"/>
    <w:rsid w:val="00287981"/>
    <w:rsid w:val="00287AB4"/>
    <w:rsid w:val="00290804"/>
    <w:rsid w:val="00290886"/>
    <w:rsid w:val="00291177"/>
    <w:rsid w:val="002915D6"/>
    <w:rsid w:val="002919E8"/>
    <w:rsid w:val="002929EA"/>
    <w:rsid w:val="00292B81"/>
    <w:rsid w:val="00294226"/>
    <w:rsid w:val="0029466B"/>
    <w:rsid w:val="00294A2B"/>
    <w:rsid w:val="00297CA0"/>
    <w:rsid w:val="00297F44"/>
    <w:rsid w:val="00297FAC"/>
    <w:rsid w:val="002A0E24"/>
    <w:rsid w:val="002A18C0"/>
    <w:rsid w:val="002A199E"/>
    <w:rsid w:val="002A2098"/>
    <w:rsid w:val="002A25B9"/>
    <w:rsid w:val="002A27D1"/>
    <w:rsid w:val="002A2B79"/>
    <w:rsid w:val="002A3C2B"/>
    <w:rsid w:val="002A435E"/>
    <w:rsid w:val="002A539B"/>
    <w:rsid w:val="002A5D37"/>
    <w:rsid w:val="002A5FBF"/>
    <w:rsid w:val="002A6CE2"/>
    <w:rsid w:val="002B1B5B"/>
    <w:rsid w:val="002B363B"/>
    <w:rsid w:val="002B364F"/>
    <w:rsid w:val="002B419A"/>
    <w:rsid w:val="002B4321"/>
    <w:rsid w:val="002B613A"/>
    <w:rsid w:val="002B658D"/>
    <w:rsid w:val="002B6701"/>
    <w:rsid w:val="002C31E5"/>
    <w:rsid w:val="002C370D"/>
    <w:rsid w:val="002C3ABE"/>
    <w:rsid w:val="002C4FFC"/>
    <w:rsid w:val="002C518F"/>
    <w:rsid w:val="002C54A5"/>
    <w:rsid w:val="002C65BC"/>
    <w:rsid w:val="002C665F"/>
    <w:rsid w:val="002C7999"/>
    <w:rsid w:val="002D08FD"/>
    <w:rsid w:val="002D0AC8"/>
    <w:rsid w:val="002D0EEB"/>
    <w:rsid w:val="002D1BEF"/>
    <w:rsid w:val="002D2E27"/>
    <w:rsid w:val="002D3C46"/>
    <w:rsid w:val="002D40C5"/>
    <w:rsid w:val="002D4165"/>
    <w:rsid w:val="002D433E"/>
    <w:rsid w:val="002D4636"/>
    <w:rsid w:val="002D51EF"/>
    <w:rsid w:val="002D70FA"/>
    <w:rsid w:val="002D7F95"/>
    <w:rsid w:val="002E0628"/>
    <w:rsid w:val="002E08E2"/>
    <w:rsid w:val="002E0979"/>
    <w:rsid w:val="002E0BDC"/>
    <w:rsid w:val="002E27A0"/>
    <w:rsid w:val="002E2CB8"/>
    <w:rsid w:val="002E3575"/>
    <w:rsid w:val="002E4D87"/>
    <w:rsid w:val="002E5536"/>
    <w:rsid w:val="002E5BC8"/>
    <w:rsid w:val="002E63B7"/>
    <w:rsid w:val="002E6631"/>
    <w:rsid w:val="002E6C82"/>
    <w:rsid w:val="002E715E"/>
    <w:rsid w:val="002E7CB4"/>
    <w:rsid w:val="002E7F0A"/>
    <w:rsid w:val="002F0827"/>
    <w:rsid w:val="002F110E"/>
    <w:rsid w:val="002F128E"/>
    <w:rsid w:val="002F2528"/>
    <w:rsid w:val="002F5239"/>
    <w:rsid w:val="002F58AC"/>
    <w:rsid w:val="002F6635"/>
    <w:rsid w:val="002F6B1C"/>
    <w:rsid w:val="002F6C4F"/>
    <w:rsid w:val="002F7E92"/>
    <w:rsid w:val="002F7F95"/>
    <w:rsid w:val="00302045"/>
    <w:rsid w:val="00302B91"/>
    <w:rsid w:val="00302F6C"/>
    <w:rsid w:val="003031B4"/>
    <w:rsid w:val="003055E7"/>
    <w:rsid w:val="0030581A"/>
    <w:rsid w:val="0030753E"/>
    <w:rsid w:val="0031128D"/>
    <w:rsid w:val="003115D9"/>
    <w:rsid w:val="00312252"/>
    <w:rsid w:val="00312A7C"/>
    <w:rsid w:val="00312F05"/>
    <w:rsid w:val="00313FA7"/>
    <w:rsid w:val="003142C3"/>
    <w:rsid w:val="003147AB"/>
    <w:rsid w:val="00314B8A"/>
    <w:rsid w:val="00316047"/>
    <w:rsid w:val="00317827"/>
    <w:rsid w:val="00317DB0"/>
    <w:rsid w:val="00320A47"/>
    <w:rsid w:val="00321125"/>
    <w:rsid w:val="003229DF"/>
    <w:rsid w:val="003232D1"/>
    <w:rsid w:val="0032563B"/>
    <w:rsid w:val="00325C15"/>
    <w:rsid w:val="00326828"/>
    <w:rsid w:val="00326A2A"/>
    <w:rsid w:val="00326D45"/>
    <w:rsid w:val="003272DA"/>
    <w:rsid w:val="003278E7"/>
    <w:rsid w:val="0033281D"/>
    <w:rsid w:val="00332CD8"/>
    <w:rsid w:val="00333157"/>
    <w:rsid w:val="003345DF"/>
    <w:rsid w:val="0033566C"/>
    <w:rsid w:val="00336346"/>
    <w:rsid w:val="003405A1"/>
    <w:rsid w:val="0034174C"/>
    <w:rsid w:val="003417B6"/>
    <w:rsid w:val="003417E8"/>
    <w:rsid w:val="00341CEA"/>
    <w:rsid w:val="003420AB"/>
    <w:rsid w:val="0034219C"/>
    <w:rsid w:val="00342B68"/>
    <w:rsid w:val="0034314A"/>
    <w:rsid w:val="00343696"/>
    <w:rsid w:val="00343AB5"/>
    <w:rsid w:val="00343C0C"/>
    <w:rsid w:val="00344DDD"/>
    <w:rsid w:val="00345AF9"/>
    <w:rsid w:val="00347373"/>
    <w:rsid w:val="00350FB0"/>
    <w:rsid w:val="00351962"/>
    <w:rsid w:val="00351D07"/>
    <w:rsid w:val="00352154"/>
    <w:rsid w:val="0035254C"/>
    <w:rsid w:val="00352C43"/>
    <w:rsid w:val="003531FF"/>
    <w:rsid w:val="00353E5A"/>
    <w:rsid w:val="003555FF"/>
    <w:rsid w:val="00355BF6"/>
    <w:rsid w:val="00355FB3"/>
    <w:rsid w:val="00356C17"/>
    <w:rsid w:val="00356F65"/>
    <w:rsid w:val="00360053"/>
    <w:rsid w:val="00360F12"/>
    <w:rsid w:val="00361389"/>
    <w:rsid w:val="00361D84"/>
    <w:rsid w:val="0036220D"/>
    <w:rsid w:val="00362F58"/>
    <w:rsid w:val="003632A4"/>
    <w:rsid w:val="003639AA"/>
    <w:rsid w:val="00363C63"/>
    <w:rsid w:val="00364838"/>
    <w:rsid w:val="00364ACB"/>
    <w:rsid w:val="00365773"/>
    <w:rsid w:val="00366388"/>
    <w:rsid w:val="003665A8"/>
    <w:rsid w:val="00366867"/>
    <w:rsid w:val="00366BED"/>
    <w:rsid w:val="00366C4E"/>
    <w:rsid w:val="003704ED"/>
    <w:rsid w:val="00370895"/>
    <w:rsid w:val="00371469"/>
    <w:rsid w:val="00371858"/>
    <w:rsid w:val="00373E04"/>
    <w:rsid w:val="0037533C"/>
    <w:rsid w:val="00375845"/>
    <w:rsid w:val="00376751"/>
    <w:rsid w:val="0037773B"/>
    <w:rsid w:val="00377E5A"/>
    <w:rsid w:val="003806A2"/>
    <w:rsid w:val="003824E0"/>
    <w:rsid w:val="00384C86"/>
    <w:rsid w:val="00384FCE"/>
    <w:rsid w:val="00385155"/>
    <w:rsid w:val="00386E72"/>
    <w:rsid w:val="00387F21"/>
    <w:rsid w:val="00390AE5"/>
    <w:rsid w:val="00390ED1"/>
    <w:rsid w:val="003911F6"/>
    <w:rsid w:val="003960B5"/>
    <w:rsid w:val="003962CC"/>
    <w:rsid w:val="00396FFA"/>
    <w:rsid w:val="00397939"/>
    <w:rsid w:val="00397959"/>
    <w:rsid w:val="003A0404"/>
    <w:rsid w:val="003A06BE"/>
    <w:rsid w:val="003A15FC"/>
    <w:rsid w:val="003A298C"/>
    <w:rsid w:val="003A340B"/>
    <w:rsid w:val="003A360A"/>
    <w:rsid w:val="003A4827"/>
    <w:rsid w:val="003A5C55"/>
    <w:rsid w:val="003B11D3"/>
    <w:rsid w:val="003B20FF"/>
    <w:rsid w:val="003B3741"/>
    <w:rsid w:val="003B3763"/>
    <w:rsid w:val="003B3974"/>
    <w:rsid w:val="003B47AD"/>
    <w:rsid w:val="003B492C"/>
    <w:rsid w:val="003B50B0"/>
    <w:rsid w:val="003B5B6A"/>
    <w:rsid w:val="003B6922"/>
    <w:rsid w:val="003B6E9E"/>
    <w:rsid w:val="003B74D5"/>
    <w:rsid w:val="003B7CB6"/>
    <w:rsid w:val="003C046A"/>
    <w:rsid w:val="003C1188"/>
    <w:rsid w:val="003C2341"/>
    <w:rsid w:val="003C2BCA"/>
    <w:rsid w:val="003C2EFB"/>
    <w:rsid w:val="003C3174"/>
    <w:rsid w:val="003C323A"/>
    <w:rsid w:val="003C52AA"/>
    <w:rsid w:val="003C6966"/>
    <w:rsid w:val="003C72E6"/>
    <w:rsid w:val="003C7326"/>
    <w:rsid w:val="003D0A37"/>
    <w:rsid w:val="003D1347"/>
    <w:rsid w:val="003D1F25"/>
    <w:rsid w:val="003D1F66"/>
    <w:rsid w:val="003D201C"/>
    <w:rsid w:val="003D37C1"/>
    <w:rsid w:val="003D447A"/>
    <w:rsid w:val="003D5A84"/>
    <w:rsid w:val="003D61B5"/>
    <w:rsid w:val="003D73F0"/>
    <w:rsid w:val="003D7BAE"/>
    <w:rsid w:val="003D7D29"/>
    <w:rsid w:val="003E0A46"/>
    <w:rsid w:val="003E0E5E"/>
    <w:rsid w:val="003E142C"/>
    <w:rsid w:val="003E1BE2"/>
    <w:rsid w:val="003E2098"/>
    <w:rsid w:val="003E2184"/>
    <w:rsid w:val="003E2572"/>
    <w:rsid w:val="003E25D7"/>
    <w:rsid w:val="003E2641"/>
    <w:rsid w:val="003E38EC"/>
    <w:rsid w:val="003E3B77"/>
    <w:rsid w:val="003E3C9D"/>
    <w:rsid w:val="003E43B7"/>
    <w:rsid w:val="003E469E"/>
    <w:rsid w:val="003E4AA9"/>
    <w:rsid w:val="003E4CD8"/>
    <w:rsid w:val="003E53BD"/>
    <w:rsid w:val="003E5421"/>
    <w:rsid w:val="003E560B"/>
    <w:rsid w:val="003E5A07"/>
    <w:rsid w:val="003E71E0"/>
    <w:rsid w:val="003E76A2"/>
    <w:rsid w:val="003E7D68"/>
    <w:rsid w:val="003E7E73"/>
    <w:rsid w:val="003F0620"/>
    <w:rsid w:val="003F0C82"/>
    <w:rsid w:val="003F0F53"/>
    <w:rsid w:val="003F0F71"/>
    <w:rsid w:val="003F312C"/>
    <w:rsid w:val="003F3160"/>
    <w:rsid w:val="003F3F72"/>
    <w:rsid w:val="003F5942"/>
    <w:rsid w:val="003F5C12"/>
    <w:rsid w:val="003F62A5"/>
    <w:rsid w:val="003F6450"/>
    <w:rsid w:val="003F7CED"/>
    <w:rsid w:val="003F7E07"/>
    <w:rsid w:val="004003CA"/>
    <w:rsid w:val="00400BB9"/>
    <w:rsid w:val="00401A3F"/>
    <w:rsid w:val="00403448"/>
    <w:rsid w:val="004038CC"/>
    <w:rsid w:val="00403B91"/>
    <w:rsid w:val="00403E17"/>
    <w:rsid w:val="00404C1E"/>
    <w:rsid w:val="0041024E"/>
    <w:rsid w:val="0041096E"/>
    <w:rsid w:val="004117C7"/>
    <w:rsid w:val="004121B0"/>
    <w:rsid w:val="004128B7"/>
    <w:rsid w:val="00413B83"/>
    <w:rsid w:val="00414F65"/>
    <w:rsid w:val="0041556F"/>
    <w:rsid w:val="00415B9C"/>
    <w:rsid w:val="004165E7"/>
    <w:rsid w:val="004173C4"/>
    <w:rsid w:val="00417467"/>
    <w:rsid w:val="00417D0A"/>
    <w:rsid w:val="00417EF5"/>
    <w:rsid w:val="004211D4"/>
    <w:rsid w:val="004217FA"/>
    <w:rsid w:val="004239BE"/>
    <w:rsid w:val="00425DBA"/>
    <w:rsid w:val="0042621D"/>
    <w:rsid w:val="00426D43"/>
    <w:rsid w:val="0042773A"/>
    <w:rsid w:val="00430393"/>
    <w:rsid w:val="00430824"/>
    <w:rsid w:val="00430EEB"/>
    <w:rsid w:val="00431E9A"/>
    <w:rsid w:val="00432235"/>
    <w:rsid w:val="00434483"/>
    <w:rsid w:val="0043487C"/>
    <w:rsid w:val="00435A4B"/>
    <w:rsid w:val="00436BCC"/>
    <w:rsid w:val="00436D87"/>
    <w:rsid w:val="0043709A"/>
    <w:rsid w:val="004377C7"/>
    <w:rsid w:val="0043790A"/>
    <w:rsid w:val="00437C86"/>
    <w:rsid w:val="00440B41"/>
    <w:rsid w:val="00440CE7"/>
    <w:rsid w:val="004410ED"/>
    <w:rsid w:val="00441341"/>
    <w:rsid w:val="0044164F"/>
    <w:rsid w:val="00442D69"/>
    <w:rsid w:val="0044305D"/>
    <w:rsid w:val="004433B8"/>
    <w:rsid w:val="004434B0"/>
    <w:rsid w:val="004435B5"/>
    <w:rsid w:val="00443E13"/>
    <w:rsid w:val="00444F9B"/>
    <w:rsid w:val="00444F9F"/>
    <w:rsid w:val="0044560E"/>
    <w:rsid w:val="0044571A"/>
    <w:rsid w:val="00446C9B"/>
    <w:rsid w:val="00446F55"/>
    <w:rsid w:val="004475A1"/>
    <w:rsid w:val="00447F46"/>
    <w:rsid w:val="0045052C"/>
    <w:rsid w:val="00450831"/>
    <w:rsid w:val="00451450"/>
    <w:rsid w:val="004514A8"/>
    <w:rsid w:val="00451974"/>
    <w:rsid w:val="004519FC"/>
    <w:rsid w:val="00451A48"/>
    <w:rsid w:val="004539A2"/>
    <w:rsid w:val="00453D1A"/>
    <w:rsid w:val="004540D6"/>
    <w:rsid w:val="0045431D"/>
    <w:rsid w:val="00455AAB"/>
    <w:rsid w:val="00457736"/>
    <w:rsid w:val="00457D57"/>
    <w:rsid w:val="0046021E"/>
    <w:rsid w:val="00460A84"/>
    <w:rsid w:val="004618C6"/>
    <w:rsid w:val="00461E6E"/>
    <w:rsid w:val="004624EF"/>
    <w:rsid w:val="00462D14"/>
    <w:rsid w:val="00464440"/>
    <w:rsid w:val="00464961"/>
    <w:rsid w:val="00464E24"/>
    <w:rsid w:val="004650B6"/>
    <w:rsid w:val="00471466"/>
    <w:rsid w:val="00471590"/>
    <w:rsid w:val="00472195"/>
    <w:rsid w:val="004722CA"/>
    <w:rsid w:val="00472633"/>
    <w:rsid w:val="00472E83"/>
    <w:rsid w:val="00474D99"/>
    <w:rsid w:val="0047665A"/>
    <w:rsid w:val="00476F65"/>
    <w:rsid w:val="00477A64"/>
    <w:rsid w:val="004807EF"/>
    <w:rsid w:val="00480FBC"/>
    <w:rsid w:val="00480FFA"/>
    <w:rsid w:val="00482969"/>
    <w:rsid w:val="0048304D"/>
    <w:rsid w:val="0048479A"/>
    <w:rsid w:val="00484E8F"/>
    <w:rsid w:val="00486EAA"/>
    <w:rsid w:val="004872BA"/>
    <w:rsid w:val="004876B3"/>
    <w:rsid w:val="004904B0"/>
    <w:rsid w:val="00490DD4"/>
    <w:rsid w:val="00491E7D"/>
    <w:rsid w:val="004920EC"/>
    <w:rsid w:val="00492CD7"/>
    <w:rsid w:val="00493043"/>
    <w:rsid w:val="00493083"/>
    <w:rsid w:val="0049395F"/>
    <w:rsid w:val="00494B4E"/>
    <w:rsid w:val="004954F3"/>
    <w:rsid w:val="00495DCC"/>
    <w:rsid w:val="004972C4"/>
    <w:rsid w:val="00497306"/>
    <w:rsid w:val="004973DF"/>
    <w:rsid w:val="004A6BDB"/>
    <w:rsid w:val="004A7782"/>
    <w:rsid w:val="004A794C"/>
    <w:rsid w:val="004A7B8A"/>
    <w:rsid w:val="004B0671"/>
    <w:rsid w:val="004B071E"/>
    <w:rsid w:val="004B177F"/>
    <w:rsid w:val="004B1CD2"/>
    <w:rsid w:val="004B1E7C"/>
    <w:rsid w:val="004B2266"/>
    <w:rsid w:val="004B32E7"/>
    <w:rsid w:val="004B4392"/>
    <w:rsid w:val="004B5EA9"/>
    <w:rsid w:val="004B61A0"/>
    <w:rsid w:val="004B64A1"/>
    <w:rsid w:val="004B7E5F"/>
    <w:rsid w:val="004C1863"/>
    <w:rsid w:val="004C1B6C"/>
    <w:rsid w:val="004C201A"/>
    <w:rsid w:val="004C20E0"/>
    <w:rsid w:val="004C237C"/>
    <w:rsid w:val="004C2B48"/>
    <w:rsid w:val="004C3D2B"/>
    <w:rsid w:val="004C4F6E"/>
    <w:rsid w:val="004D19BD"/>
    <w:rsid w:val="004D1D98"/>
    <w:rsid w:val="004D28B1"/>
    <w:rsid w:val="004D3F49"/>
    <w:rsid w:val="004D4348"/>
    <w:rsid w:val="004D4475"/>
    <w:rsid w:val="004D4DC5"/>
    <w:rsid w:val="004D55F0"/>
    <w:rsid w:val="004D57BD"/>
    <w:rsid w:val="004D5C91"/>
    <w:rsid w:val="004D71E9"/>
    <w:rsid w:val="004E1782"/>
    <w:rsid w:val="004E1B08"/>
    <w:rsid w:val="004E2C49"/>
    <w:rsid w:val="004E451B"/>
    <w:rsid w:val="004E5994"/>
    <w:rsid w:val="004E5C3A"/>
    <w:rsid w:val="004E63B1"/>
    <w:rsid w:val="004F124A"/>
    <w:rsid w:val="004F1350"/>
    <w:rsid w:val="004F161E"/>
    <w:rsid w:val="004F1E66"/>
    <w:rsid w:val="004F20B5"/>
    <w:rsid w:val="004F3C49"/>
    <w:rsid w:val="004F3F09"/>
    <w:rsid w:val="004F41DD"/>
    <w:rsid w:val="004F482B"/>
    <w:rsid w:val="004F4E2B"/>
    <w:rsid w:val="004F51AE"/>
    <w:rsid w:val="004F59C6"/>
    <w:rsid w:val="004F65B7"/>
    <w:rsid w:val="004F6BB4"/>
    <w:rsid w:val="004F6EF9"/>
    <w:rsid w:val="004F7510"/>
    <w:rsid w:val="0050085D"/>
    <w:rsid w:val="005014DC"/>
    <w:rsid w:val="0050168E"/>
    <w:rsid w:val="00502C32"/>
    <w:rsid w:val="005033B4"/>
    <w:rsid w:val="005040F3"/>
    <w:rsid w:val="00504496"/>
    <w:rsid w:val="00505838"/>
    <w:rsid w:val="00505C19"/>
    <w:rsid w:val="005070D9"/>
    <w:rsid w:val="00507FDB"/>
    <w:rsid w:val="005108DB"/>
    <w:rsid w:val="00510C18"/>
    <w:rsid w:val="00511F1C"/>
    <w:rsid w:val="00512BCA"/>
    <w:rsid w:val="0051336B"/>
    <w:rsid w:val="0051353C"/>
    <w:rsid w:val="005135B0"/>
    <w:rsid w:val="00514113"/>
    <w:rsid w:val="00514D28"/>
    <w:rsid w:val="00515318"/>
    <w:rsid w:val="005153BF"/>
    <w:rsid w:val="00515BDA"/>
    <w:rsid w:val="00515E8D"/>
    <w:rsid w:val="00517982"/>
    <w:rsid w:val="00520427"/>
    <w:rsid w:val="005206FD"/>
    <w:rsid w:val="00520889"/>
    <w:rsid w:val="005217B2"/>
    <w:rsid w:val="00521D0D"/>
    <w:rsid w:val="005223B8"/>
    <w:rsid w:val="00522798"/>
    <w:rsid w:val="00522E71"/>
    <w:rsid w:val="00524212"/>
    <w:rsid w:val="005242D2"/>
    <w:rsid w:val="005247A1"/>
    <w:rsid w:val="0052529A"/>
    <w:rsid w:val="00525976"/>
    <w:rsid w:val="00525AB2"/>
    <w:rsid w:val="00526712"/>
    <w:rsid w:val="005303CF"/>
    <w:rsid w:val="005307E1"/>
    <w:rsid w:val="00530D5B"/>
    <w:rsid w:val="00530E2F"/>
    <w:rsid w:val="00531BC8"/>
    <w:rsid w:val="00532D72"/>
    <w:rsid w:val="00534A67"/>
    <w:rsid w:val="00534AB5"/>
    <w:rsid w:val="00536248"/>
    <w:rsid w:val="005368EE"/>
    <w:rsid w:val="00536AA9"/>
    <w:rsid w:val="0053701B"/>
    <w:rsid w:val="00537A1C"/>
    <w:rsid w:val="00537AA6"/>
    <w:rsid w:val="005420E7"/>
    <w:rsid w:val="005429C7"/>
    <w:rsid w:val="00543156"/>
    <w:rsid w:val="00543485"/>
    <w:rsid w:val="0054373B"/>
    <w:rsid w:val="00544EFF"/>
    <w:rsid w:val="00546B72"/>
    <w:rsid w:val="00550A22"/>
    <w:rsid w:val="00551357"/>
    <w:rsid w:val="00551D27"/>
    <w:rsid w:val="00552423"/>
    <w:rsid w:val="00553C49"/>
    <w:rsid w:val="00554501"/>
    <w:rsid w:val="00556464"/>
    <w:rsid w:val="0055701D"/>
    <w:rsid w:val="0055713B"/>
    <w:rsid w:val="005573E6"/>
    <w:rsid w:val="00560BC0"/>
    <w:rsid w:val="00560D2E"/>
    <w:rsid w:val="00561D10"/>
    <w:rsid w:val="00562CA3"/>
    <w:rsid w:val="005630AD"/>
    <w:rsid w:val="00564867"/>
    <w:rsid w:val="005676A7"/>
    <w:rsid w:val="0057016A"/>
    <w:rsid w:val="00570379"/>
    <w:rsid w:val="005706B4"/>
    <w:rsid w:val="0057138D"/>
    <w:rsid w:val="005717FD"/>
    <w:rsid w:val="00572B25"/>
    <w:rsid w:val="00573900"/>
    <w:rsid w:val="00574D8B"/>
    <w:rsid w:val="00575863"/>
    <w:rsid w:val="0057598B"/>
    <w:rsid w:val="00575E24"/>
    <w:rsid w:val="00577C93"/>
    <w:rsid w:val="00577F7B"/>
    <w:rsid w:val="005802F0"/>
    <w:rsid w:val="00580CF4"/>
    <w:rsid w:val="005811CA"/>
    <w:rsid w:val="00582A73"/>
    <w:rsid w:val="00582E8F"/>
    <w:rsid w:val="00585793"/>
    <w:rsid w:val="0058713C"/>
    <w:rsid w:val="00590C85"/>
    <w:rsid w:val="00591CB6"/>
    <w:rsid w:val="00592D81"/>
    <w:rsid w:val="00593729"/>
    <w:rsid w:val="00593F28"/>
    <w:rsid w:val="00594C10"/>
    <w:rsid w:val="0059582A"/>
    <w:rsid w:val="00597026"/>
    <w:rsid w:val="00597F37"/>
    <w:rsid w:val="005A1CE7"/>
    <w:rsid w:val="005A387F"/>
    <w:rsid w:val="005A4170"/>
    <w:rsid w:val="005A4B27"/>
    <w:rsid w:val="005A587C"/>
    <w:rsid w:val="005A6415"/>
    <w:rsid w:val="005A64FA"/>
    <w:rsid w:val="005A6FE7"/>
    <w:rsid w:val="005A722D"/>
    <w:rsid w:val="005A77EC"/>
    <w:rsid w:val="005B08C2"/>
    <w:rsid w:val="005B1227"/>
    <w:rsid w:val="005B1351"/>
    <w:rsid w:val="005B1DC5"/>
    <w:rsid w:val="005B2849"/>
    <w:rsid w:val="005B3650"/>
    <w:rsid w:val="005B3E86"/>
    <w:rsid w:val="005B416D"/>
    <w:rsid w:val="005B4D85"/>
    <w:rsid w:val="005B5D8A"/>
    <w:rsid w:val="005B69FC"/>
    <w:rsid w:val="005B76A4"/>
    <w:rsid w:val="005C07AA"/>
    <w:rsid w:val="005C1114"/>
    <w:rsid w:val="005C387C"/>
    <w:rsid w:val="005C4045"/>
    <w:rsid w:val="005C49EE"/>
    <w:rsid w:val="005C4A1C"/>
    <w:rsid w:val="005C4EDC"/>
    <w:rsid w:val="005C6596"/>
    <w:rsid w:val="005C7BD7"/>
    <w:rsid w:val="005D0834"/>
    <w:rsid w:val="005D1068"/>
    <w:rsid w:val="005D209B"/>
    <w:rsid w:val="005D2319"/>
    <w:rsid w:val="005D320F"/>
    <w:rsid w:val="005D35D0"/>
    <w:rsid w:val="005D471C"/>
    <w:rsid w:val="005D48B7"/>
    <w:rsid w:val="005D4938"/>
    <w:rsid w:val="005D611A"/>
    <w:rsid w:val="005D61C1"/>
    <w:rsid w:val="005D67CD"/>
    <w:rsid w:val="005E02A8"/>
    <w:rsid w:val="005E1255"/>
    <w:rsid w:val="005E1D34"/>
    <w:rsid w:val="005E2104"/>
    <w:rsid w:val="005E2A85"/>
    <w:rsid w:val="005E2AB0"/>
    <w:rsid w:val="005E3E9C"/>
    <w:rsid w:val="005E47B9"/>
    <w:rsid w:val="005E4F54"/>
    <w:rsid w:val="005E5422"/>
    <w:rsid w:val="005E5BC1"/>
    <w:rsid w:val="005E5C6B"/>
    <w:rsid w:val="005F3CFD"/>
    <w:rsid w:val="005F48D8"/>
    <w:rsid w:val="005F4920"/>
    <w:rsid w:val="005F52F1"/>
    <w:rsid w:val="005F55E7"/>
    <w:rsid w:val="005F5E48"/>
    <w:rsid w:val="005F767B"/>
    <w:rsid w:val="005F772B"/>
    <w:rsid w:val="006004A1"/>
    <w:rsid w:val="00600F06"/>
    <w:rsid w:val="00601178"/>
    <w:rsid w:val="006023AD"/>
    <w:rsid w:val="00602799"/>
    <w:rsid w:val="00602D7C"/>
    <w:rsid w:val="006049E9"/>
    <w:rsid w:val="0060649A"/>
    <w:rsid w:val="006068AC"/>
    <w:rsid w:val="006070BF"/>
    <w:rsid w:val="006071FF"/>
    <w:rsid w:val="00607E1A"/>
    <w:rsid w:val="0061077D"/>
    <w:rsid w:val="00610872"/>
    <w:rsid w:val="00612E49"/>
    <w:rsid w:val="00613B8C"/>
    <w:rsid w:val="00615715"/>
    <w:rsid w:val="006157AD"/>
    <w:rsid w:val="00615814"/>
    <w:rsid w:val="00616F7D"/>
    <w:rsid w:val="00617163"/>
    <w:rsid w:val="006176DF"/>
    <w:rsid w:val="006179CB"/>
    <w:rsid w:val="006200BA"/>
    <w:rsid w:val="006210B8"/>
    <w:rsid w:val="006211C1"/>
    <w:rsid w:val="00621628"/>
    <w:rsid w:val="00623312"/>
    <w:rsid w:val="006247BC"/>
    <w:rsid w:val="00624A5B"/>
    <w:rsid w:val="00627936"/>
    <w:rsid w:val="00627F12"/>
    <w:rsid w:val="00631168"/>
    <w:rsid w:val="006319A8"/>
    <w:rsid w:val="00632572"/>
    <w:rsid w:val="00633281"/>
    <w:rsid w:val="00634671"/>
    <w:rsid w:val="0063602B"/>
    <w:rsid w:val="0063607E"/>
    <w:rsid w:val="00636661"/>
    <w:rsid w:val="0063675D"/>
    <w:rsid w:val="006378D6"/>
    <w:rsid w:val="006408FA"/>
    <w:rsid w:val="006415D7"/>
    <w:rsid w:val="006418D0"/>
    <w:rsid w:val="006418D1"/>
    <w:rsid w:val="00641BBA"/>
    <w:rsid w:val="00641D65"/>
    <w:rsid w:val="00642C54"/>
    <w:rsid w:val="0064355A"/>
    <w:rsid w:val="00643DE5"/>
    <w:rsid w:val="006440F6"/>
    <w:rsid w:val="00644817"/>
    <w:rsid w:val="00646C02"/>
    <w:rsid w:val="00646C14"/>
    <w:rsid w:val="00647144"/>
    <w:rsid w:val="0065019B"/>
    <w:rsid w:val="0065045D"/>
    <w:rsid w:val="00650E67"/>
    <w:rsid w:val="0065296D"/>
    <w:rsid w:val="00654437"/>
    <w:rsid w:val="00654954"/>
    <w:rsid w:val="00654A23"/>
    <w:rsid w:val="00655391"/>
    <w:rsid w:val="0065632B"/>
    <w:rsid w:val="00656A65"/>
    <w:rsid w:val="0065705E"/>
    <w:rsid w:val="0066034E"/>
    <w:rsid w:val="0066044F"/>
    <w:rsid w:val="0066086C"/>
    <w:rsid w:val="00661B4C"/>
    <w:rsid w:val="00662F13"/>
    <w:rsid w:val="00663605"/>
    <w:rsid w:val="006636B4"/>
    <w:rsid w:val="006638AA"/>
    <w:rsid w:val="00663B36"/>
    <w:rsid w:val="00663CAA"/>
    <w:rsid w:val="006655AD"/>
    <w:rsid w:val="0066617D"/>
    <w:rsid w:val="00666885"/>
    <w:rsid w:val="00666E64"/>
    <w:rsid w:val="00667477"/>
    <w:rsid w:val="00667F68"/>
    <w:rsid w:val="00670818"/>
    <w:rsid w:val="006709BC"/>
    <w:rsid w:val="00670AAF"/>
    <w:rsid w:val="00671409"/>
    <w:rsid w:val="006715D5"/>
    <w:rsid w:val="006719C3"/>
    <w:rsid w:val="0067208F"/>
    <w:rsid w:val="00672F6B"/>
    <w:rsid w:val="0067372C"/>
    <w:rsid w:val="00673AAF"/>
    <w:rsid w:val="00675F72"/>
    <w:rsid w:val="00676425"/>
    <w:rsid w:val="00676E04"/>
    <w:rsid w:val="006807F4"/>
    <w:rsid w:val="006823A0"/>
    <w:rsid w:val="00682A7F"/>
    <w:rsid w:val="00684253"/>
    <w:rsid w:val="006851CC"/>
    <w:rsid w:val="00690A66"/>
    <w:rsid w:val="00690BF5"/>
    <w:rsid w:val="00691285"/>
    <w:rsid w:val="0069279F"/>
    <w:rsid w:val="00692A44"/>
    <w:rsid w:val="00694DC2"/>
    <w:rsid w:val="0069580B"/>
    <w:rsid w:val="00695A5A"/>
    <w:rsid w:val="00695B5B"/>
    <w:rsid w:val="00695F32"/>
    <w:rsid w:val="00695F5E"/>
    <w:rsid w:val="00696634"/>
    <w:rsid w:val="00697EF9"/>
    <w:rsid w:val="006A0706"/>
    <w:rsid w:val="006A07F8"/>
    <w:rsid w:val="006A1C32"/>
    <w:rsid w:val="006A2903"/>
    <w:rsid w:val="006A35D8"/>
    <w:rsid w:val="006A3D7D"/>
    <w:rsid w:val="006A4449"/>
    <w:rsid w:val="006A4A5C"/>
    <w:rsid w:val="006A4B93"/>
    <w:rsid w:val="006A5416"/>
    <w:rsid w:val="006A768F"/>
    <w:rsid w:val="006B1B3C"/>
    <w:rsid w:val="006B1B54"/>
    <w:rsid w:val="006B1FE3"/>
    <w:rsid w:val="006B212C"/>
    <w:rsid w:val="006B262E"/>
    <w:rsid w:val="006B2BDD"/>
    <w:rsid w:val="006B2FF3"/>
    <w:rsid w:val="006B344A"/>
    <w:rsid w:val="006B4C0F"/>
    <w:rsid w:val="006B5198"/>
    <w:rsid w:val="006B688C"/>
    <w:rsid w:val="006B748F"/>
    <w:rsid w:val="006B74FF"/>
    <w:rsid w:val="006C00D3"/>
    <w:rsid w:val="006C0C43"/>
    <w:rsid w:val="006C21A2"/>
    <w:rsid w:val="006C4F8E"/>
    <w:rsid w:val="006C53D2"/>
    <w:rsid w:val="006C72E1"/>
    <w:rsid w:val="006C7309"/>
    <w:rsid w:val="006D0273"/>
    <w:rsid w:val="006D097F"/>
    <w:rsid w:val="006D1CAA"/>
    <w:rsid w:val="006D2227"/>
    <w:rsid w:val="006D2264"/>
    <w:rsid w:val="006D43D2"/>
    <w:rsid w:val="006D48D7"/>
    <w:rsid w:val="006D4935"/>
    <w:rsid w:val="006D505E"/>
    <w:rsid w:val="006D56C5"/>
    <w:rsid w:val="006D6356"/>
    <w:rsid w:val="006D7B06"/>
    <w:rsid w:val="006E1BD9"/>
    <w:rsid w:val="006E2C0B"/>
    <w:rsid w:val="006E2C4B"/>
    <w:rsid w:val="006E2EB4"/>
    <w:rsid w:val="006E3296"/>
    <w:rsid w:val="006E3616"/>
    <w:rsid w:val="006E37C8"/>
    <w:rsid w:val="006E422E"/>
    <w:rsid w:val="006E4DF2"/>
    <w:rsid w:val="006F0130"/>
    <w:rsid w:val="006F0317"/>
    <w:rsid w:val="006F1697"/>
    <w:rsid w:val="006F4558"/>
    <w:rsid w:val="006F49C3"/>
    <w:rsid w:val="006F4D7D"/>
    <w:rsid w:val="006F51B8"/>
    <w:rsid w:val="006F53BD"/>
    <w:rsid w:val="006F6AA5"/>
    <w:rsid w:val="006F7B8B"/>
    <w:rsid w:val="006F7FD5"/>
    <w:rsid w:val="007007EA"/>
    <w:rsid w:val="00703975"/>
    <w:rsid w:val="00703B89"/>
    <w:rsid w:val="00704ACB"/>
    <w:rsid w:val="007053E9"/>
    <w:rsid w:val="00705B54"/>
    <w:rsid w:val="00705E9A"/>
    <w:rsid w:val="00707BC8"/>
    <w:rsid w:val="0071012C"/>
    <w:rsid w:val="0071062D"/>
    <w:rsid w:val="00711680"/>
    <w:rsid w:val="0071185C"/>
    <w:rsid w:val="00711AE6"/>
    <w:rsid w:val="00712BC7"/>
    <w:rsid w:val="0071377A"/>
    <w:rsid w:val="00717809"/>
    <w:rsid w:val="00717E74"/>
    <w:rsid w:val="00720965"/>
    <w:rsid w:val="00722B72"/>
    <w:rsid w:val="00723BEA"/>
    <w:rsid w:val="0072406A"/>
    <w:rsid w:val="00725292"/>
    <w:rsid w:val="00725E83"/>
    <w:rsid w:val="00725EDB"/>
    <w:rsid w:val="0072639C"/>
    <w:rsid w:val="007267F5"/>
    <w:rsid w:val="00727869"/>
    <w:rsid w:val="007301BC"/>
    <w:rsid w:val="007307FF"/>
    <w:rsid w:val="00732E2F"/>
    <w:rsid w:val="00733594"/>
    <w:rsid w:val="00733758"/>
    <w:rsid w:val="00733A26"/>
    <w:rsid w:val="00734F18"/>
    <w:rsid w:val="007356B2"/>
    <w:rsid w:val="007357E5"/>
    <w:rsid w:val="00735B7D"/>
    <w:rsid w:val="00735CFC"/>
    <w:rsid w:val="0073676D"/>
    <w:rsid w:val="00740D91"/>
    <w:rsid w:val="00740EEB"/>
    <w:rsid w:val="0074175E"/>
    <w:rsid w:val="00741D8F"/>
    <w:rsid w:val="0074213B"/>
    <w:rsid w:val="00743D0A"/>
    <w:rsid w:val="00744C44"/>
    <w:rsid w:val="00744E11"/>
    <w:rsid w:val="00745258"/>
    <w:rsid w:val="007454F8"/>
    <w:rsid w:val="007501B7"/>
    <w:rsid w:val="00750EAB"/>
    <w:rsid w:val="007537B3"/>
    <w:rsid w:val="007542F5"/>
    <w:rsid w:val="00754939"/>
    <w:rsid w:val="00754CA4"/>
    <w:rsid w:val="007568A0"/>
    <w:rsid w:val="00757425"/>
    <w:rsid w:val="007603C5"/>
    <w:rsid w:val="00760684"/>
    <w:rsid w:val="0076115A"/>
    <w:rsid w:val="00761B72"/>
    <w:rsid w:val="007627D1"/>
    <w:rsid w:val="0076314C"/>
    <w:rsid w:val="00763A9A"/>
    <w:rsid w:val="00763B72"/>
    <w:rsid w:val="00764436"/>
    <w:rsid w:val="00764B36"/>
    <w:rsid w:val="00764E99"/>
    <w:rsid w:val="00765344"/>
    <w:rsid w:val="007655A3"/>
    <w:rsid w:val="007659DD"/>
    <w:rsid w:val="00766692"/>
    <w:rsid w:val="00766BF9"/>
    <w:rsid w:val="00766E81"/>
    <w:rsid w:val="00767B86"/>
    <w:rsid w:val="00767E89"/>
    <w:rsid w:val="00770A08"/>
    <w:rsid w:val="00771B9D"/>
    <w:rsid w:val="00771CD7"/>
    <w:rsid w:val="007720D3"/>
    <w:rsid w:val="00772B95"/>
    <w:rsid w:val="0077356A"/>
    <w:rsid w:val="00773581"/>
    <w:rsid w:val="0077362A"/>
    <w:rsid w:val="00773D02"/>
    <w:rsid w:val="0077442D"/>
    <w:rsid w:val="00774725"/>
    <w:rsid w:val="00774E66"/>
    <w:rsid w:val="0077515A"/>
    <w:rsid w:val="007752F3"/>
    <w:rsid w:val="00775438"/>
    <w:rsid w:val="00777A75"/>
    <w:rsid w:val="0078007A"/>
    <w:rsid w:val="007806BF"/>
    <w:rsid w:val="00780767"/>
    <w:rsid w:val="00780963"/>
    <w:rsid w:val="007817C1"/>
    <w:rsid w:val="00781E9D"/>
    <w:rsid w:val="00782200"/>
    <w:rsid w:val="00782212"/>
    <w:rsid w:val="0078260D"/>
    <w:rsid w:val="00782CD7"/>
    <w:rsid w:val="0078323E"/>
    <w:rsid w:val="00783D3A"/>
    <w:rsid w:val="00784AFE"/>
    <w:rsid w:val="00785DDF"/>
    <w:rsid w:val="00785EFC"/>
    <w:rsid w:val="007861F8"/>
    <w:rsid w:val="00787D6B"/>
    <w:rsid w:val="00787F74"/>
    <w:rsid w:val="0079004E"/>
    <w:rsid w:val="00790448"/>
    <w:rsid w:val="00790BEE"/>
    <w:rsid w:val="00791A6C"/>
    <w:rsid w:val="00793C7D"/>
    <w:rsid w:val="00793ED0"/>
    <w:rsid w:val="00794A83"/>
    <w:rsid w:val="007950A6"/>
    <w:rsid w:val="007970D5"/>
    <w:rsid w:val="00797F34"/>
    <w:rsid w:val="007A0819"/>
    <w:rsid w:val="007A1D4C"/>
    <w:rsid w:val="007A249F"/>
    <w:rsid w:val="007A38CF"/>
    <w:rsid w:val="007A3D6A"/>
    <w:rsid w:val="007A4619"/>
    <w:rsid w:val="007A4B58"/>
    <w:rsid w:val="007A5260"/>
    <w:rsid w:val="007A5783"/>
    <w:rsid w:val="007A7215"/>
    <w:rsid w:val="007B0590"/>
    <w:rsid w:val="007B0B65"/>
    <w:rsid w:val="007B250D"/>
    <w:rsid w:val="007B3A97"/>
    <w:rsid w:val="007B481A"/>
    <w:rsid w:val="007B5207"/>
    <w:rsid w:val="007B6A02"/>
    <w:rsid w:val="007B6CE7"/>
    <w:rsid w:val="007B7871"/>
    <w:rsid w:val="007B7F30"/>
    <w:rsid w:val="007C0EF0"/>
    <w:rsid w:val="007C3160"/>
    <w:rsid w:val="007C37DA"/>
    <w:rsid w:val="007C3DD4"/>
    <w:rsid w:val="007C48EB"/>
    <w:rsid w:val="007C5539"/>
    <w:rsid w:val="007C78F6"/>
    <w:rsid w:val="007D1BF4"/>
    <w:rsid w:val="007D1D0F"/>
    <w:rsid w:val="007D3B1D"/>
    <w:rsid w:val="007D4B41"/>
    <w:rsid w:val="007D4B7E"/>
    <w:rsid w:val="007D4F35"/>
    <w:rsid w:val="007D5034"/>
    <w:rsid w:val="007D51A1"/>
    <w:rsid w:val="007D52B3"/>
    <w:rsid w:val="007D5BCD"/>
    <w:rsid w:val="007D6DF8"/>
    <w:rsid w:val="007D7210"/>
    <w:rsid w:val="007D76E5"/>
    <w:rsid w:val="007D7BBE"/>
    <w:rsid w:val="007E1AB2"/>
    <w:rsid w:val="007E29C9"/>
    <w:rsid w:val="007E2D19"/>
    <w:rsid w:val="007E3CBE"/>
    <w:rsid w:val="007E4B6C"/>
    <w:rsid w:val="007E52F4"/>
    <w:rsid w:val="007E5669"/>
    <w:rsid w:val="007E56EA"/>
    <w:rsid w:val="007E5A24"/>
    <w:rsid w:val="007E5AE0"/>
    <w:rsid w:val="007E5DC3"/>
    <w:rsid w:val="007E611F"/>
    <w:rsid w:val="007F06C8"/>
    <w:rsid w:val="007F1C9F"/>
    <w:rsid w:val="007F24E0"/>
    <w:rsid w:val="007F34E8"/>
    <w:rsid w:val="007F4582"/>
    <w:rsid w:val="007F4727"/>
    <w:rsid w:val="007F600E"/>
    <w:rsid w:val="007F673B"/>
    <w:rsid w:val="007F6891"/>
    <w:rsid w:val="007F6CBC"/>
    <w:rsid w:val="008016DD"/>
    <w:rsid w:val="00801DAC"/>
    <w:rsid w:val="00803783"/>
    <w:rsid w:val="008048B7"/>
    <w:rsid w:val="00805085"/>
    <w:rsid w:val="00805989"/>
    <w:rsid w:val="008079DE"/>
    <w:rsid w:val="00807A88"/>
    <w:rsid w:val="00807FA2"/>
    <w:rsid w:val="008104A9"/>
    <w:rsid w:val="00811613"/>
    <w:rsid w:val="008127DE"/>
    <w:rsid w:val="00812FEA"/>
    <w:rsid w:val="008132F4"/>
    <w:rsid w:val="00813E8B"/>
    <w:rsid w:val="00814A30"/>
    <w:rsid w:val="00815741"/>
    <w:rsid w:val="00815A4D"/>
    <w:rsid w:val="0081666D"/>
    <w:rsid w:val="00816C8A"/>
    <w:rsid w:val="00821699"/>
    <w:rsid w:val="00821FC9"/>
    <w:rsid w:val="00822D6C"/>
    <w:rsid w:val="0082413E"/>
    <w:rsid w:val="00826841"/>
    <w:rsid w:val="00826A48"/>
    <w:rsid w:val="00826B09"/>
    <w:rsid w:val="00826C56"/>
    <w:rsid w:val="00826F20"/>
    <w:rsid w:val="00831FEB"/>
    <w:rsid w:val="00833814"/>
    <w:rsid w:val="00834056"/>
    <w:rsid w:val="008356C8"/>
    <w:rsid w:val="00835ACC"/>
    <w:rsid w:val="00835C04"/>
    <w:rsid w:val="00835DD6"/>
    <w:rsid w:val="00836751"/>
    <w:rsid w:val="008369F0"/>
    <w:rsid w:val="0083732D"/>
    <w:rsid w:val="008403CB"/>
    <w:rsid w:val="008410DB"/>
    <w:rsid w:val="00842C48"/>
    <w:rsid w:val="008433FA"/>
    <w:rsid w:val="00843D2A"/>
    <w:rsid w:val="00844631"/>
    <w:rsid w:val="00844682"/>
    <w:rsid w:val="00845CAE"/>
    <w:rsid w:val="00846B59"/>
    <w:rsid w:val="00847754"/>
    <w:rsid w:val="0084779D"/>
    <w:rsid w:val="008477A0"/>
    <w:rsid w:val="00850B62"/>
    <w:rsid w:val="00850C88"/>
    <w:rsid w:val="00851247"/>
    <w:rsid w:val="00851561"/>
    <w:rsid w:val="00851FA0"/>
    <w:rsid w:val="008526D6"/>
    <w:rsid w:val="008526DA"/>
    <w:rsid w:val="00852883"/>
    <w:rsid w:val="008537E2"/>
    <w:rsid w:val="00855387"/>
    <w:rsid w:val="00855CDB"/>
    <w:rsid w:val="00860743"/>
    <w:rsid w:val="00863707"/>
    <w:rsid w:val="00863E38"/>
    <w:rsid w:val="00864498"/>
    <w:rsid w:val="008735E6"/>
    <w:rsid w:val="00873C44"/>
    <w:rsid w:val="00875C9D"/>
    <w:rsid w:val="00876E42"/>
    <w:rsid w:val="00877A1F"/>
    <w:rsid w:val="00877E59"/>
    <w:rsid w:val="0088116C"/>
    <w:rsid w:val="00881D76"/>
    <w:rsid w:val="008821CB"/>
    <w:rsid w:val="008822E3"/>
    <w:rsid w:val="0088350B"/>
    <w:rsid w:val="00884C79"/>
    <w:rsid w:val="00884ECF"/>
    <w:rsid w:val="00884ED5"/>
    <w:rsid w:val="00885CB9"/>
    <w:rsid w:val="00886585"/>
    <w:rsid w:val="00887D43"/>
    <w:rsid w:val="008904FE"/>
    <w:rsid w:val="0089330F"/>
    <w:rsid w:val="0089620C"/>
    <w:rsid w:val="008963AA"/>
    <w:rsid w:val="00896AD7"/>
    <w:rsid w:val="00896D2A"/>
    <w:rsid w:val="00897863"/>
    <w:rsid w:val="00897F65"/>
    <w:rsid w:val="008A0D6C"/>
    <w:rsid w:val="008A0E2B"/>
    <w:rsid w:val="008A38ED"/>
    <w:rsid w:val="008A48FD"/>
    <w:rsid w:val="008A51F0"/>
    <w:rsid w:val="008A6EFE"/>
    <w:rsid w:val="008A6FB6"/>
    <w:rsid w:val="008A79BD"/>
    <w:rsid w:val="008A7ED4"/>
    <w:rsid w:val="008B03EB"/>
    <w:rsid w:val="008B086E"/>
    <w:rsid w:val="008B0CA5"/>
    <w:rsid w:val="008B2005"/>
    <w:rsid w:val="008B27ED"/>
    <w:rsid w:val="008B2E70"/>
    <w:rsid w:val="008B2EF0"/>
    <w:rsid w:val="008B4052"/>
    <w:rsid w:val="008B424D"/>
    <w:rsid w:val="008B7102"/>
    <w:rsid w:val="008B7D2D"/>
    <w:rsid w:val="008C0CF6"/>
    <w:rsid w:val="008C186C"/>
    <w:rsid w:val="008C2600"/>
    <w:rsid w:val="008C2638"/>
    <w:rsid w:val="008C2AA0"/>
    <w:rsid w:val="008C37E0"/>
    <w:rsid w:val="008C4962"/>
    <w:rsid w:val="008C5918"/>
    <w:rsid w:val="008C5E4F"/>
    <w:rsid w:val="008C601A"/>
    <w:rsid w:val="008C6FAB"/>
    <w:rsid w:val="008C723E"/>
    <w:rsid w:val="008C7D33"/>
    <w:rsid w:val="008C7E71"/>
    <w:rsid w:val="008D036A"/>
    <w:rsid w:val="008D0B83"/>
    <w:rsid w:val="008D0BDA"/>
    <w:rsid w:val="008D1132"/>
    <w:rsid w:val="008D258D"/>
    <w:rsid w:val="008D4152"/>
    <w:rsid w:val="008D460D"/>
    <w:rsid w:val="008D482D"/>
    <w:rsid w:val="008D5C09"/>
    <w:rsid w:val="008D6A3D"/>
    <w:rsid w:val="008E0626"/>
    <w:rsid w:val="008E062F"/>
    <w:rsid w:val="008E08CA"/>
    <w:rsid w:val="008E0A4E"/>
    <w:rsid w:val="008E0B3D"/>
    <w:rsid w:val="008E1B07"/>
    <w:rsid w:val="008E1D1B"/>
    <w:rsid w:val="008E24A6"/>
    <w:rsid w:val="008E2D40"/>
    <w:rsid w:val="008E3DC9"/>
    <w:rsid w:val="008E4305"/>
    <w:rsid w:val="008E4582"/>
    <w:rsid w:val="008E4CE1"/>
    <w:rsid w:val="008E550B"/>
    <w:rsid w:val="008E62C7"/>
    <w:rsid w:val="008E7090"/>
    <w:rsid w:val="008E7353"/>
    <w:rsid w:val="008E749A"/>
    <w:rsid w:val="008F00B1"/>
    <w:rsid w:val="008F0282"/>
    <w:rsid w:val="008F19CB"/>
    <w:rsid w:val="008F2907"/>
    <w:rsid w:val="008F2C00"/>
    <w:rsid w:val="008F3514"/>
    <w:rsid w:val="008F36BD"/>
    <w:rsid w:val="008F3D8B"/>
    <w:rsid w:val="008F536F"/>
    <w:rsid w:val="008F6A5A"/>
    <w:rsid w:val="008F6ACF"/>
    <w:rsid w:val="008F7084"/>
    <w:rsid w:val="008F7F61"/>
    <w:rsid w:val="009000EF"/>
    <w:rsid w:val="00902080"/>
    <w:rsid w:val="00902816"/>
    <w:rsid w:val="00902BAE"/>
    <w:rsid w:val="00902DDD"/>
    <w:rsid w:val="00902F68"/>
    <w:rsid w:val="00903770"/>
    <w:rsid w:val="009039AD"/>
    <w:rsid w:val="00903CC4"/>
    <w:rsid w:val="00904F16"/>
    <w:rsid w:val="009053C4"/>
    <w:rsid w:val="00905653"/>
    <w:rsid w:val="009057E2"/>
    <w:rsid w:val="00905DF1"/>
    <w:rsid w:val="0090729F"/>
    <w:rsid w:val="00910C32"/>
    <w:rsid w:val="00911B7D"/>
    <w:rsid w:val="00911BBB"/>
    <w:rsid w:val="00912FE5"/>
    <w:rsid w:val="00915E96"/>
    <w:rsid w:val="00916CD9"/>
    <w:rsid w:val="00917159"/>
    <w:rsid w:val="009172FA"/>
    <w:rsid w:val="009214BE"/>
    <w:rsid w:val="0092197D"/>
    <w:rsid w:val="00923CC6"/>
    <w:rsid w:val="00923D2E"/>
    <w:rsid w:val="00924157"/>
    <w:rsid w:val="009245D4"/>
    <w:rsid w:val="00924995"/>
    <w:rsid w:val="00925706"/>
    <w:rsid w:val="009262B6"/>
    <w:rsid w:val="009275D5"/>
    <w:rsid w:val="00930144"/>
    <w:rsid w:val="00930D43"/>
    <w:rsid w:val="00930D6C"/>
    <w:rsid w:val="0093125B"/>
    <w:rsid w:val="00934432"/>
    <w:rsid w:val="009351D5"/>
    <w:rsid w:val="00935536"/>
    <w:rsid w:val="00937AD4"/>
    <w:rsid w:val="00937DCD"/>
    <w:rsid w:val="00940C81"/>
    <w:rsid w:val="00941DFD"/>
    <w:rsid w:val="00942019"/>
    <w:rsid w:val="00942AFE"/>
    <w:rsid w:val="00943B6E"/>
    <w:rsid w:val="00944088"/>
    <w:rsid w:val="00944253"/>
    <w:rsid w:val="00944594"/>
    <w:rsid w:val="009455C5"/>
    <w:rsid w:val="00946238"/>
    <w:rsid w:val="0094702A"/>
    <w:rsid w:val="00947CA1"/>
    <w:rsid w:val="00947CDD"/>
    <w:rsid w:val="00947D6B"/>
    <w:rsid w:val="00947F8D"/>
    <w:rsid w:val="009506C1"/>
    <w:rsid w:val="009521B0"/>
    <w:rsid w:val="00953594"/>
    <w:rsid w:val="00954130"/>
    <w:rsid w:val="0095423A"/>
    <w:rsid w:val="0095516D"/>
    <w:rsid w:val="00956253"/>
    <w:rsid w:val="009564F5"/>
    <w:rsid w:val="0095669E"/>
    <w:rsid w:val="0095673C"/>
    <w:rsid w:val="009569B4"/>
    <w:rsid w:val="0095711F"/>
    <w:rsid w:val="0095715A"/>
    <w:rsid w:val="0095773B"/>
    <w:rsid w:val="00957B2E"/>
    <w:rsid w:val="0096026D"/>
    <w:rsid w:val="00960357"/>
    <w:rsid w:val="009606ED"/>
    <w:rsid w:val="0096165E"/>
    <w:rsid w:val="00962FC3"/>
    <w:rsid w:val="00963A51"/>
    <w:rsid w:val="00963CB7"/>
    <w:rsid w:val="00964E60"/>
    <w:rsid w:val="0096502E"/>
    <w:rsid w:val="0096550C"/>
    <w:rsid w:val="009666AB"/>
    <w:rsid w:val="00966B8C"/>
    <w:rsid w:val="00967098"/>
    <w:rsid w:val="00967C0D"/>
    <w:rsid w:val="00967DBE"/>
    <w:rsid w:val="009726E1"/>
    <w:rsid w:val="00972844"/>
    <w:rsid w:val="00972886"/>
    <w:rsid w:val="009728AD"/>
    <w:rsid w:val="009729E2"/>
    <w:rsid w:val="00973674"/>
    <w:rsid w:val="00975405"/>
    <w:rsid w:val="00976104"/>
    <w:rsid w:val="00976F11"/>
    <w:rsid w:val="009808C1"/>
    <w:rsid w:val="00980A8F"/>
    <w:rsid w:val="0098135A"/>
    <w:rsid w:val="009832A9"/>
    <w:rsid w:val="00983E13"/>
    <w:rsid w:val="00983F60"/>
    <w:rsid w:val="009842D1"/>
    <w:rsid w:val="009859C3"/>
    <w:rsid w:val="00985E57"/>
    <w:rsid w:val="00987720"/>
    <w:rsid w:val="009877DF"/>
    <w:rsid w:val="00987AA4"/>
    <w:rsid w:val="00987EB9"/>
    <w:rsid w:val="009907AA"/>
    <w:rsid w:val="00990A17"/>
    <w:rsid w:val="009919B6"/>
    <w:rsid w:val="00991AE1"/>
    <w:rsid w:val="00992131"/>
    <w:rsid w:val="009927B5"/>
    <w:rsid w:val="0099437B"/>
    <w:rsid w:val="009950ED"/>
    <w:rsid w:val="00996BD5"/>
    <w:rsid w:val="00996F53"/>
    <w:rsid w:val="00997CAC"/>
    <w:rsid w:val="009A00CB"/>
    <w:rsid w:val="009A08C4"/>
    <w:rsid w:val="009A0C4F"/>
    <w:rsid w:val="009A1292"/>
    <w:rsid w:val="009A13FF"/>
    <w:rsid w:val="009A1491"/>
    <w:rsid w:val="009A16A0"/>
    <w:rsid w:val="009A1EF5"/>
    <w:rsid w:val="009A323E"/>
    <w:rsid w:val="009A35DC"/>
    <w:rsid w:val="009A551F"/>
    <w:rsid w:val="009A6446"/>
    <w:rsid w:val="009B1FB8"/>
    <w:rsid w:val="009B26D6"/>
    <w:rsid w:val="009B3772"/>
    <w:rsid w:val="009B3C01"/>
    <w:rsid w:val="009B44B5"/>
    <w:rsid w:val="009B52D4"/>
    <w:rsid w:val="009B624F"/>
    <w:rsid w:val="009B6655"/>
    <w:rsid w:val="009B76ED"/>
    <w:rsid w:val="009C008D"/>
    <w:rsid w:val="009C101C"/>
    <w:rsid w:val="009C180D"/>
    <w:rsid w:val="009C2420"/>
    <w:rsid w:val="009C27D8"/>
    <w:rsid w:val="009C2802"/>
    <w:rsid w:val="009C2F55"/>
    <w:rsid w:val="009C3F0A"/>
    <w:rsid w:val="009C4258"/>
    <w:rsid w:val="009C5DC3"/>
    <w:rsid w:val="009C5F2C"/>
    <w:rsid w:val="009C63FF"/>
    <w:rsid w:val="009C7B77"/>
    <w:rsid w:val="009D2538"/>
    <w:rsid w:val="009D33D5"/>
    <w:rsid w:val="009D44AD"/>
    <w:rsid w:val="009D489B"/>
    <w:rsid w:val="009D70B5"/>
    <w:rsid w:val="009D7C11"/>
    <w:rsid w:val="009E1EF1"/>
    <w:rsid w:val="009E2BAD"/>
    <w:rsid w:val="009E354E"/>
    <w:rsid w:val="009E3667"/>
    <w:rsid w:val="009E4065"/>
    <w:rsid w:val="009E4BEB"/>
    <w:rsid w:val="009E4DD2"/>
    <w:rsid w:val="009E6B6B"/>
    <w:rsid w:val="009F04BA"/>
    <w:rsid w:val="009F1890"/>
    <w:rsid w:val="009F1C78"/>
    <w:rsid w:val="009F2BA8"/>
    <w:rsid w:val="009F3D6D"/>
    <w:rsid w:val="009F414E"/>
    <w:rsid w:val="009F4279"/>
    <w:rsid w:val="009F4634"/>
    <w:rsid w:val="009F4950"/>
    <w:rsid w:val="009F4D80"/>
    <w:rsid w:val="009F5A0A"/>
    <w:rsid w:val="00A00DBE"/>
    <w:rsid w:val="00A0203C"/>
    <w:rsid w:val="00A03470"/>
    <w:rsid w:val="00A04148"/>
    <w:rsid w:val="00A0423E"/>
    <w:rsid w:val="00A063E9"/>
    <w:rsid w:val="00A06833"/>
    <w:rsid w:val="00A06F00"/>
    <w:rsid w:val="00A075DC"/>
    <w:rsid w:val="00A076D4"/>
    <w:rsid w:val="00A113A1"/>
    <w:rsid w:val="00A1411C"/>
    <w:rsid w:val="00A154A4"/>
    <w:rsid w:val="00A16758"/>
    <w:rsid w:val="00A169E6"/>
    <w:rsid w:val="00A16D78"/>
    <w:rsid w:val="00A17117"/>
    <w:rsid w:val="00A17FF6"/>
    <w:rsid w:val="00A225E4"/>
    <w:rsid w:val="00A24853"/>
    <w:rsid w:val="00A24CEE"/>
    <w:rsid w:val="00A256A0"/>
    <w:rsid w:val="00A26544"/>
    <w:rsid w:val="00A26CB6"/>
    <w:rsid w:val="00A26D4B"/>
    <w:rsid w:val="00A27B15"/>
    <w:rsid w:val="00A27C80"/>
    <w:rsid w:val="00A30106"/>
    <w:rsid w:val="00A30B0D"/>
    <w:rsid w:val="00A30F52"/>
    <w:rsid w:val="00A3199C"/>
    <w:rsid w:val="00A3218D"/>
    <w:rsid w:val="00A32648"/>
    <w:rsid w:val="00A32846"/>
    <w:rsid w:val="00A32B47"/>
    <w:rsid w:val="00A33667"/>
    <w:rsid w:val="00A33C1F"/>
    <w:rsid w:val="00A341A6"/>
    <w:rsid w:val="00A359F8"/>
    <w:rsid w:val="00A35C21"/>
    <w:rsid w:val="00A36C14"/>
    <w:rsid w:val="00A41859"/>
    <w:rsid w:val="00A41EA2"/>
    <w:rsid w:val="00A41EB4"/>
    <w:rsid w:val="00A41EB6"/>
    <w:rsid w:val="00A42180"/>
    <w:rsid w:val="00A425CB"/>
    <w:rsid w:val="00A42A46"/>
    <w:rsid w:val="00A42D04"/>
    <w:rsid w:val="00A4346F"/>
    <w:rsid w:val="00A44C80"/>
    <w:rsid w:val="00A45370"/>
    <w:rsid w:val="00A4593E"/>
    <w:rsid w:val="00A45FC1"/>
    <w:rsid w:val="00A468CE"/>
    <w:rsid w:val="00A4768C"/>
    <w:rsid w:val="00A50633"/>
    <w:rsid w:val="00A514B9"/>
    <w:rsid w:val="00A5304F"/>
    <w:rsid w:val="00A54806"/>
    <w:rsid w:val="00A564AF"/>
    <w:rsid w:val="00A566A6"/>
    <w:rsid w:val="00A56C07"/>
    <w:rsid w:val="00A610D1"/>
    <w:rsid w:val="00A61480"/>
    <w:rsid w:val="00A62FDC"/>
    <w:rsid w:val="00A645A0"/>
    <w:rsid w:val="00A64AE8"/>
    <w:rsid w:val="00A656F6"/>
    <w:rsid w:val="00A70818"/>
    <w:rsid w:val="00A70BF0"/>
    <w:rsid w:val="00A70D55"/>
    <w:rsid w:val="00A71EE6"/>
    <w:rsid w:val="00A743C6"/>
    <w:rsid w:val="00A74426"/>
    <w:rsid w:val="00A74908"/>
    <w:rsid w:val="00A75FF3"/>
    <w:rsid w:val="00A76C8B"/>
    <w:rsid w:val="00A76C97"/>
    <w:rsid w:val="00A77C8F"/>
    <w:rsid w:val="00A81382"/>
    <w:rsid w:val="00A81FF8"/>
    <w:rsid w:val="00A820EA"/>
    <w:rsid w:val="00A8264B"/>
    <w:rsid w:val="00A82A44"/>
    <w:rsid w:val="00A82CBD"/>
    <w:rsid w:val="00A85072"/>
    <w:rsid w:val="00A85565"/>
    <w:rsid w:val="00A86BF1"/>
    <w:rsid w:val="00A86E85"/>
    <w:rsid w:val="00A90367"/>
    <w:rsid w:val="00A905FE"/>
    <w:rsid w:val="00A91E7D"/>
    <w:rsid w:val="00A92338"/>
    <w:rsid w:val="00A93921"/>
    <w:rsid w:val="00A93C6F"/>
    <w:rsid w:val="00A9417A"/>
    <w:rsid w:val="00A94E9D"/>
    <w:rsid w:val="00A96293"/>
    <w:rsid w:val="00A96E9E"/>
    <w:rsid w:val="00A9752B"/>
    <w:rsid w:val="00A97E9C"/>
    <w:rsid w:val="00AA0451"/>
    <w:rsid w:val="00AA07C4"/>
    <w:rsid w:val="00AA09C1"/>
    <w:rsid w:val="00AA3218"/>
    <w:rsid w:val="00AA360E"/>
    <w:rsid w:val="00AA4235"/>
    <w:rsid w:val="00AA42A7"/>
    <w:rsid w:val="00AA49FC"/>
    <w:rsid w:val="00AA6344"/>
    <w:rsid w:val="00AA63DC"/>
    <w:rsid w:val="00AA7569"/>
    <w:rsid w:val="00AB2269"/>
    <w:rsid w:val="00AB2BF2"/>
    <w:rsid w:val="00AB394A"/>
    <w:rsid w:val="00AB3F4D"/>
    <w:rsid w:val="00AB4B80"/>
    <w:rsid w:val="00AB4CD8"/>
    <w:rsid w:val="00AB5BB7"/>
    <w:rsid w:val="00AB5F38"/>
    <w:rsid w:val="00AB648D"/>
    <w:rsid w:val="00AB688A"/>
    <w:rsid w:val="00AB6993"/>
    <w:rsid w:val="00AB6F71"/>
    <w:rsid w:val="00AB7D30"/>
    <w:rsid w:val="00AC269B"/>
    <w:rsid w:val="00AC29F9"/>
    <w:rsid w:val="00AC3890"/>
    <w:rsid w:val="00AC64CE"/>
    <w:rsid w:val="00AD0A95"/>
    <w:rsid w:val="00AD0C57"/>
    <w:rsid w:val="00AD1170"/>
    <w:rsid w:val="00AD38DE"/>
    <w:rsid w:val="00AD3E65"/>
    <w:rsid w:val="00AD3FF9"/>
    <w:rsid w:val="00AD618E"/>
    <w:rsid w:val="00AD67FF"/>
    <w:rsid w:val="00AE00EF"/>
    <w:rsid w:val="00AE09DE"/>
    <w:rsid w:val="00AE0E84"/>
    <w:rsid w:val="00AE1BE2"/>
    <w:rsid w:val="00AE399C"/>
    <w:rsid w:val="00AE3BA7"/>
    <w:rsid w:val="00AE3E5F"/>
    <w:rsid w:val="00AE456B"/>
    <w:rsid w:val="00AE51EA"/>
    <w:rsid w:val="00AE58E3"/>
    <w:rsid w:val="00AE65ED"/>
    <w:rsid w:val="00AE7008"/>
    <w:rsid w:val="00AE7530"/>
    <w:rsid w:val="00AE7A6D"/>
    <w:rsid w:val="00AF0053"/>
    <w:rsid w:val="00AF146B"/>
    <w:rsid w:val="00AF26C8"/>
    <w:rsid w:val="00AF31F3"/>
    <w:rsid w:val="00AF45EA"/>
    <w:rsid w:val="00AF473E"/>
    <w:rsid w:val="00AF52E7"/>
    <w:rsid w:val="00AF5305"/>
    <w:rsid w:val="00AF5D0C"/>
    <w:rsid w:val="00AF7AF7"/>
    <w:rsid w:val="00AF7E3C"/>
    <w:rsid w:val="00B00B72"/>
    <w:rsid w:val="00B01A23"/>
    <w:rsid w:val="00B030DE"/>
    <w:rsid w:val="00B03304"/>
    <w:rsid w:val="00B034A1"/>
    <w:rsid w:val="00B0488C"/>
    <w:rsid w:val="00B052F4"/>
    <w:rsid w:val="00B053A6"/>
    <w:rsid w:val="00B05BD0"/>
    <w:rsid w:val="00B05D0B"/>
    <w:rsid w:val="00B06888"/>
    <w:rsid w:val="00B10399"/>
    <w:rsid w:val="00B109AE"/>
    <w:rsid w:val="00B112B5"/>
    <w:rsid w:val="00B1224E"/>
    <w:rsid w:val="00B12806"/>
    <w:rsid w:val="00B12DC5"/>
    <w:rsid w:val="00B131BF"/>
    <w:rsid w:val="00B13309"/>
    <w:rsid w:val="00B13AD5"/>
    <w:rsid w:val="00B14361"/>
    <w:rsid w:val="00B14F7D"/>
    <w:rsid w:val="00B173C1"/>
    <w:rsid w:val="00B17C13"/>
    <w:rsid w:val="00B200A4"/>
    <w:rsid w:val="00B2249C"/>
    <w:rsid w:val="00B22FB4"/>
    <w:rsid w:val="00B23165"/>
    <w:rsid w:val="00B23202"/>
    <w:rsid w:val="00B237E7"/>
    <w:rsid w:val="00B263A6"/>
    <w:rsid w:val="00B263CA"/>
    <w:rsid w:val="00B26F32"/>
    <w:rsid w:val="00B271A1"/>
    <w:rsid w:val="00B271B4"/>
    <w:rsid w:val="00B2772B"/>
    <w:rsid w:val="00B30102"/>
    <w:rsid w:val="00B30E0A"/>
    <w:rsid w:val="00B3105B"/>
    <w:rsid w:val="00B311DB"/>
    <w:rsid w:val="00B31A3B"/>
    <w:rsid w:val="00B32276"/>
    <w:rsid w:val="00B32767"/>
    <w:rsid w:val="00B32931"/>
    <w:rsid w:val="00B333AF"/>
    <w:rsid w:val="00B33966"/>
    <w:rsid w:val="00B3413A"/>
    <w:rsid w:val="00B3555B"/>
    <w:rsid w:val="00B35DA6"/>
    <w:rsid w:val="00B37A34"/>
    <w:rsid w:val="00B4017D"/>
    <w:rsid w:val="00B404BA"/>
    <w:rsid w:val="00B40FD1"/>
    <w:rsid w:val="00B41E54"/>
    <w:rsid w:val="00B42571"/>
    <w:rsid w:val="00B43BAE"/>
    <w:rsid w:val="00B4436C"/>
    <w:rsid w:val="00B461C8"/>
    <w:rsid w:val="00B46A51"/>
    <w:rsid w:val="00B47885"/>
    <w:rsid w:val="00B47B54"/>
    <w:rsid w:val="00B5091B"/>
    <w:rsid w:val="00B5111B"/>
    <w:rsid w:val="00B518A2"/>
    <w:rsid w:val="00B51CCE"/>
    <w:rsid w:val="00B526C5"/>
    <w:rsid w:val="00B5578E"/>
    <w:rsid w:val="00B56479"/>
    <w:rsid w:val="00B61600"/>
    <w:rsid w:val="00B62257"/>
    <w:rsid w:val="00B62397"/>
    <w:rsid w:val="00B62E68"/>
    <w:rsid w:val="00B6509A"/>
    <w:rsid w:val="00B65193"/>
    <w:rsid w:val="00B65817"/>
    <w:rsid w:val="00B65A40"/>
    <w:rsid w:val="00B65DE8"/>
    <w:rsid w:val="00B7014B"/>
    <w:rsid w:val="00B7280C"/>
    <w:rsid w:val="00B7330C"/>
    <w:rsid w:val="00B74DC8"/>
    <w:rsid w:val="00B750FF"/>
    <w:rsid w:val="00B76049"/>
    <w:rsid w:val="00B762A7"/>
    <w:rsid w:val="00B76498"/>
    <w:rsid w:val="00B766E9"/>
    <w:rsid w:val="00B76801"/>
    <w:rsid w:val="00B76FD3"/>
    <w:rsid w:val="00B77064"/>
    <w:rsid w:val="00B8030D"/>
    <w:rsid w:val="00B8048C"/>
    <w:rsid w:val="00B81259"/>
    <w:rsid w:val="00B81929"/>
    <w:rsid w:val="00B82350"/>
    <w:rsid w:val="00B82BEF"/>
    <w:rsid w:val="00B84525"/>
    <w:rsid w:val="00B84DB8"/>
    <w:rsid w:val="00B86796"/>
    <w:rsid w:val="00B869F4"/>
    <w:rsid w:val="00B87041"/>
    <w:rsid w:val="00B87E0F"/>
    <w:rsid w:val="00B907DA"/>
    <w:rsid w:val="00B944B6"/>
    <w:rsid w:val="00B94BD1"/>
    <w:rsid w:val="00B95B8B"/>
    <w:rsid w:val="00B9666F"/>
    <w:rsid w:val="00BA12F0"/>
    <w:rsid w:val="00BA18D1"/>
    <w:rsid w:val="00BA1CCA"/>
    <w:rsid w:val="00BA1FAE"/>
    <w:rsid w:val="00BA328A"/>
    <w:rsid w:val="00BA39D9"/>
    <w:rsid w:val="00BA68DB"/>
    <w:rsid w:val="00BA6EFE"/>
    <w:rsid w:val="00BA6FED"/>
    <w:rsid w:val="00BA73E8"/>
    <w:rsid w:val="00BA78E9"/>
    <w:rsid w:val="00BA7F48"/>
    <w:rsid w:val="00BB01D5"/>
    <w:rsid w:val="00BB082B"/>
    <w:rsid w:val="00BB0E2A"/>
    <w:rsid w:val="00BB159E"/>
    <w:rsid w:val="00BB1F6F"/>
    <w:rsid w:val="00BB2A3B"/>
    <w:rsid w:val="00BB2D6A"/>
    <w:rsid w:val="00BB2EBB"/>
    <w:rsid w:val="00BB560C"/>
    <w:rsid w:val="00BB6534"/>
    <w:rsid w:val="00BB785D"/>
    <w:rsid w:val="00BC0E95"/>
    <w:rsid w:val="00BC1237"/>
    <w:rsid w:val="00BC152D"/>
    <w:rsid w:val="00BC7682"/>
    <w:rsid w:val="00BD006C"/>
    <w:rsid w:val="00BD02D6"/>
    <w:rsid w:val="00BD02EC"/>
    <w:rsid w:val="00BD0842"/>
    <w:rsid w:val="00BD1179"/>
    <w:rsid w:val="00BD1D1B"/>
    <w:rsid w:val="00BD1D3F"/>
    <w:rsid w:val="00BD1F89"/>
    <w:rsid w:val="00BD1FDB"/>
    <w:rsid w:val="00BD331D"/>
    <w:rsid w:val="00BD4E6E"/>
    <w:rsid w:val="00BD6ADF"/>
    <w:rsid w:val="00BD6D2B"/>
    <w:rsid w:val="00BD7941"/>
    <w:rsid w:val="00BE02C6"/>
    <w:rsid w:val="00BE04F4"/>
    <w:rsid w:val="00BE0ACE"/>
    <w:rsid w:val="00BE16BD"/>
    <w:rsid w:val="00BE2DF6"/>
    <w:rsid w:val="00BE50F7"/>
    <w:rsid w:val="00BE58FC"/>
    <w:rsid w:val="00BE5D98"/>
    <w:rsid w:val="00BE6EA7"/>
    <w:rsid w:val="00BF037F"/>
    <w:rsid w:val="00BF03D4"/>
    <w:rsid w:val="00BF0627"/>
    <w:rsid w:val="00BF0CF1"/>
    <w:rsid w:val="00BF1D5A"/>
    <w:rsid w:val="00BF3D8F"/>
    <w:rsid w:val="00BF3F43"/>
    <w:rsid w:val="00BF427E"/>
    <w:rsid w:val="00BF5550"/>
    <w:rsid w:val="00BF618A"/>
    <w:rsid w:val="00BF6957"/>
    <w:rsid w:val="00BF6D33"/>
    <w:rsid w:val="00BF6ED2"/>
    <w:rsid w:val="00BF7CE8"/>
    <w:rsid w:val="00BF7D60"/>
    <w:rsid w:val="00C0082A"/>
    <w:rsid w:val="00C01D81"/>
    <w:rsid w:val="00C03829"/>
    <w:rsid w:val="00C038D7"/>
    <w:rsid w:val="00C03BC2"/>
    <w:rsid w:val="00C04139"/>
    <w:rsid w:val="00C04BBE"/>
    <w:rsid w:val="00C04C02"/>
    <w:rsid w:val="00C0541B"/>
    <w:rsid w:val="00C054E0"/>
    <w:rsid w:val="00C05BA4"/>
    <w:rsid w:val="00C06053"/>
    <w:rsid w:val="00C06AB1"/>
    <w:rsid w:val="00C10E7E"/>
    <w:rsid w:val="00C10F46"/>
    <w:rsid w:val="00C112A8"/>
    <w:rsid w:val="00C127C5"/>
    <w:rsid w:val="00C12BA6"/>
    <w:rsid w:val="00C13978"/>
    <w:rsid w:val="00C13D53"/>
    <w:rsid w:val="00C15528"/>
    <w:rsid w:val="00C15FFB"/>
    <w:rsid w:val="00C1676B"/>
    <w:rsid w:val="00C17C64"/>
    <w:rsid w:val="00C20B6A"/>
    <w:rsid w:val="00C20B9C"/>
    <w:rsid w:val="00C213A2"/>
    <w:rsid w:val="00C2463E"/>
    <w:rsid w:val="00C25AE4"/>
    <w:rsid w:val="00C25AE6"/>
    <w:rsid w:val="00C26D99"/>
    <w:rsid w:val="00C26F3A"/>
    <w:rsid w:val="00C26F5B"/>
    <w:rsid w:val="00C3112C"/>
    <w:rsid w:val="00C3165E"/>
    <w:rsid w:val="00C319B4"/>
    <w:rsid w:val="00C328E5"/>
    <w:rsid w:val="00C3305A"/>
    <w:rsid w:val="00C34BFA"/>
    <w:rsid w:val="00C34E87"/>
    <w:rsid w:val="00C351BD"/>
    <w:rsid w:val="00C35609"/>
    <w:rsid w:val="00C3572B"/>
    <w:rsid w:val="00C35BD4"/>
    <w:rsid w:val="00C363DE"/>
    <w:rsid w:val="00C36C7F"/>
    <w:rsid w:val="00C373E0"/>
    <w:rsid w:val="00C3781C"/>
    <w:rsid w:val="00C37AB4"/>
    <w:rsid w:val="00C37BA6"/>
    <w:rsid w:val="00C418DC"/>
    <w:rsid w:val="00C42A27"/>
    <w:rsid w:val="00C42DE5"/>
    <w:rsid w:val="00C43BF6"/>
    <w:rsid w:val="00C43F81"/>
    <w:rsid w:val="00C449F8"/>
    <w:rsid w:val="00C45AB5"/>
    <w:rsid w:val="00C47DAD"/>
    <w:rsid w:val="00C50466"/>
    <w:rsid w:val="00C505F4"/>
    <w:rsid w:val="00C5154D"/>
    <w:rsid w:val="00C51F16"/>
    <w:rsid w:val="00C545B4"/>
    <w:rsid w:val="00C547BB"/>
    <w:rsid w:val="00C548A3"/>
    <w:rsid w:val="00C55EB7"/>
    <w:rsid w:val="00C60681"/>
    <w:rsid w:val="00C609E2"/>
    <w:rsid w:val="00C61E35"/>
    <w:rsid w:val="00C61FCB"/>
    <w:rsid w:val="00C622E0"/>
    <w:rsid w:val="00C62C5B"/>
    <w:rsid w:val="00C62C90"/>
    <w:rsid w:val="00C6504B"/>
    <w:rsid w:val="00C674EC"/>
    <w:rsid w:val="00C677D1"/>
    <w:rsid w:val="00C67F70"/>
    <w:rsid w:val="00C67FA5"/>
    <w:rsid w:val="00C67FBD"/>
    <w:rsid w:val="00C70650"/>
    <w:rsid w:val="00C71E60"/>
    <w:rsid w:val="00C7205F"/>
    <w:rsid w:val="00C733D2"/>
    <w:rsid w:val="00C73861"/>
    <w:rsid w:val="00C74F77"/>
    <w:rsid w:val="00C768A4"/>
    <w:rsid w:val="00C77769"/>
    <w:rsid w:val="00C80508"/>
    <w:rsid w:val="00C80DB8"/>
    <w:rsid w:val="00C811CF"/>
    <w:rsid w:val="00C81392"/>
    <w:rsid w:val="00C8171C"/>
    <w:rsid w:val="00C82C26"/>
    <w:rsid w:val="00C83318"/>
    <w:rsid w:val="00C843FE"/>
    <w:rsid w:val="00C85406"/>
    <w:rsid w:val="00C85A2E"/>
    <w:rsid w:val="00C86D04"/>
    <w:rsid w:val="00C902DA"/>
    <w:rsid w:val="00C910F0"/>
    <w:rsid w:val="00C915EF"/>
    <w:rsid w:val="00C9180B"/>
    <w:rsid w:val="00C91D72"/>
    <w:rsid w:val="00C92242"/>
    <w:rsid w:val="00C925FF"/>
    <w:rsid w:val="00C942A0"/>
    <w:rsid w:val="00C95076"/>
    <w:rsid w:val="00CA141B"/>
    <w:rsid w:val="00CA1A71"/>
    <w:rsid w:val="00CA1CE9"/>
    <w:rsid w:val="00CA1EFB"/>
    <w:rsid w:val="00CA2B15"/>
    <w:rsid w:val="00CA3EC1"/>
    <w:rsid w:val="00CA41FA"/>
    <w:rsid w:val="00CA4ED3"/>
    <w:rsid w:val="00CA5265"/>
    <w:rsid w:val="00CA5ECD"/>
    <w:rsid w:val="00CA7148"/>
    <w:rsid w:val="00CB0899"/>
    <w:rsid w:val="00CB1CC5"/>
    <w:rsid w:val="00CB20AF"/>
    <w:rsid w:val="00CB34E0"/>
    <w:rsid w:val="00CB3A15"/>
    <w:rsid w:val="00CB45BC"/>
    <w:rsid w:val="00CB5461"/>
    <w:rsid w:val="00CB59A2"/>
    <w:rsid w:val="00CB6599"/>
    <w:rsid w:val="00CB72C8"/>
    <w:rsid w:val="00CB7745"/>
    <w:rsid w:val="00CC1A0C"/>
    <w:rsid w:val="00CC21E7"/>
    <w:rsid w:val="00CC2B06"/>
    <w:rsid w:val="00CC390D"/>
    <w:rsid w:val="00CC52CB"/>
    <w:rsid w:val="00CC5A1B"/>
    <w:rsid w:val="00CC5A91"/>
    <w:rsid w:val="00CC617B"/>
    <w:rsid w:val="00CC7086"/>
    <w:rsid w:val="00CC7101"/>
    <w:rsid w:val="00CD01C9"/>
    <w:rsid w:val="00CD116A"/>
    <w:rsid w:val="00CD13CB"/>
    <w:rsid w:val="00CD1DF7"/>
    <w:rsid w:val="00CD38B2"/>
    <w:rsid w:val="00CD391F"/>
    <w:rsid w:val="00CD3FED"/>
    <w:rsid w:val="00CD4147"/>
    <w:rsid w:val="00CD448B"/>
    <w:rsid w:val="00CD4866"/>
    <w:rsid w:val="00CD6447"/>
    <w:rsid w:val="00CD704F"/>
    <w:rsid w:val="00CD7229"/>
    <w:rsid w:val="00CD7EDD"/>
    <w:rsid w:val="00CE0A84"/>
    <w:rsid w:val="00CE1525"/>
    <w:rsid w:val="00CE18AE"/>
    <w:rsid w:val="00CE1BD3"/>
    <w:rsid w:val="00CE1BDC"/>
    <w:rsid w:val="00CE27B1"/>
    <w:rsid w:val="00CE373B"/>
    <w:rsid w:val="00CE3C1E"/>
    <w:rsid w:val="00CE42BD"/>
    <w:rsid w:val="00CE4443"/>
    <w:rsid w:val="00CE6071"/>
    <w:rsid w:val="00CE655D"/>
    <w:rsid w:val="00CE6C34"/>
    <w:rsid w:val="00CE71BA"/>
    <w:rsid w:val="00CE757F"/>
    <w:rsid w:val="00CE76A0"/>
    <w:rsid w:val="00CE76BA"/>
    <w:rsid w:val="00CF0B52"/>
    <w:rsid w:val="00CF0FD7"/>
    <w:rsid w:val="00CF1ECD"/>
    <w:rsid w:val="00CF4BA3"/>
    <w:rsid w:val="00CF6C70"/>
    <w:rsid w:val="00D001EA"/>
    <w:rsid w:val="00D00AC6"/>
    <w:rsid w:val="00D00D85"/>
    <w:rsid w:val="00D04940"/>
    <w:rsid w:val="00D04FC3"/>
    <w:rsid w:val="00D057B5"/>
    <w:rsid w:val="00D05FFB"/>
    <w:rsid w:val="00D06616"/>
    <w:rsid w:val="00D06AE5"/>
    <w:rsid w:val="00D07F24"/>
    <w:rsid w:val="00D07F97"/>
    <w:rsid w:val="00D116EE"/>
    <w:rsid w:val="00D11AC2"/>
    <w:rsid w:val="00D11DF9"/>
    <w:rsid w:val="00D12499"/>
    <w:rsid w:val="00D13F90"/>
    <w:rsid w:val="00D15514"/>
    <w:rsid w:val="00D17CBD"/>
    <w:rsid w:val="00D22456"/>
    <w:rsid w:val="00D23630"/>
    <w:rsid w:val="00D24BEB"/>
    <w:rsid w:val="00D24F8C"/>
    <w:rsid w:val="00D26985"/>
    <w:rsid w:val="00D26FA3"/>
    <w:rsid w:val="00D272A0"/>
    <w:rsid w:val="00D27950"/>
    <w:rsid w:val="00D3097B"/>
    <w:rsid w:val="00D31DE8"/>
    <w:rsid w:val="00D31E2F"/>
    <w:rsid w:val="00D3312E"/>
    <w:rsid w:val="00D34BA8"/>
    <w:rsid w:val="00D357CD"/>
    <w:rsid w:val="00D35929"/>
    <w:rsid w:val="00D35940"/>
    <w:rsid w:val="00D359B4"/>
    <w:rsid w:val="00D35F83"/>
    <w:rsid w:val="00D403AE"/>
    <w:rsid w:val="00D40FB6"/>
    <w:rsid w:val="00D4208F"/>
    <w:rsid w:val="00D434B0"/>
    <w:rsid w:val="00D438DC"/>
    <w:rsid w:val="00D43F66"/>
    <w:rsid w:val="00D464E2"/>
    <w:rsid w:val="00D536BA"/>
    <w:rsid w:val="00D54005"/>
    <w:rsid w:val="00D54418"/>
    <w:rsid w:val="00D545CD"/>
    <w:rsid w:val="00D557FE"/>
    <w:rsid w:val="00D560DD"/>
    <w:rsid w:val="00D568CA"/>
    <w:rsid w:val="00D56CB3"/>
    <w:rsid w:val="00D572A2"/>
    <w:rsid w:val="00D578B1"/>
    <w:rsid w:val="00D57BE0"/>
    <w:rsid w:val="00D61837"/>
    <w:rsid w:val="00D61A2C"/>
    <w:rsid w:val="00D624CE"/>
    <w:rsid w:val="00D63620"/>
    <w:rsid w:val="00D63670"/>
    <w:rsid w:val="00D6540A"/>
    <w:rsid w:val="00D65597"/>
    <w:rsid w:val="00D66D5B"/>
    <w:rsid w:val="00D67B71"/>
    <w:rsid w:val="00D70C05"/>
    <w:rsid w:val="00D70F1A"/>
    <w:rsid w:val="00D727E3"/>
    <w:rsid w:val="00D72D5E"/>
    <w:rsid w:val="00D72EFD"/>
    <w:rsid w:val="00D73CFB"/>
    <w:rsid w:val="00D74703"/>
    <w:rsid w:val="00D7491B"/>
    <w:rsid w:val="00D74B55"/>
    <w:rsid w:val="00D76191"/>
    <w:rsid w:val="00D76225"/>
    <w:rsid w:val="00D77158"/>
    <w:rsid w:val="00D77CFA"/>
    <w:rsid w:val="00D803D2"/>
    <w:rsid w:val="00D807A9"/>
    <w:rsid w:val="00D81BC5"/>
    <w:rsid w:val="00D82E4B"/>
    <w:rsid w:val="00D847CF"/>
    <w:rsid w:val="00D847FC"/>
    <w:rsid w:val="00D84999"/>
    <w:rsid w:val="00D87B95"/>
    <w:rsid w:val="00D87CAF"/>
    <w:rsid w:val="00D90837"/>
    <w:rsid w:val="00D90E40"/>
    <w:rsid w:val="00D916EA"/>
    <w:rsid w:val="00D929F6"/>
    <w:rsid w:val="00D93372"/>
    <w:rsid w:val="00D93CC9"/>
    <w:rsid w:val="00D9505D"/>
    <w:rsid w:val="00D95902"/>
    <w:rsid w:val="00D96169"/>
    <w:rsid w:val="00D9707B"/>
    <w:rsid w:val="00D97981"/>
    <w:rsid w:val="00DA03CA"/>
    <w:rsid w:val="00DA19CE"/>
    <w:rsid w:val="00DA1A6B"/>
    <w:rsid w:val="00DA268D"/>
    <w:rsid w:val="00DA2A2B"/>
    <w:rsid w:val="00DA3086"/>
    <w:rsid w:val="00DA49A7"/>
    <w:rsid w:val="00DA63AE"/>
    <w:rsid w:val="00DA65ED"/>
    <w:rsid w:val="00DA674C"/>
    <w:rsid w:val="00DA7801"/>
    <w:rsid w:val="00DB0A21"/>
    <w:rsid w:val="00DB1A5F"/>
    <w:rsid w:val="00DB1C8D"/>
    <w:rsid w:val="00DB262F"/>
    <w:rsid w:val="00DB3A4D"/>
    <w:rsid w:val="00DB3DA3"/>
    <w:rsid w:val="00DB3E62"/>
    <w:rsid w:val="00DB4920"/>
    <w:rsid w:val="00DB566E"/>
    <w:rsid w:val="00DB6F91"/>
    <w:rsid w:val="00DB77E1"/>
    <w:rsid w:val="00DB784A"/>
    <w:rsid w:val="00DC0108"/>
    <w:rsid w:val="00DC040D"/>
    <w:rsid w:val="00DC05B3"/>
    <w:rsid w:val="00DC14BD"/>
    <w:rsid w:val="00DC14E7"/>
    <w:rsid w:val="00DC1D69"/>
    <w:rsid w:val="00DC2A2C"/>
    <w:rsid w:val="00DC3066"/>
    <w:rsid w:val="00DC3643"/>
    <w:rsid w:val="00DC3D88"/>
    <w:rsid w:val="00DC44B3"/>
    <w:rsid w:val="00DC4835"/>
    <w:rsid w:val="00DC4C6E"/>
    <w:rsid w:val="00DC62C6"/>
    <w:rsid w:val="00DD3F40"/>
    <w:rsid w:val="00DD783A"/>
    <w:rsid w:val="00DE20DC"/>
    <w:rsid w:val="00DE2A2A"/>
    <w:rsid w:val="00DE3FE2"/>
    <w:rsid w:val="00DE4A38"/>
    <w:rsid w:val="00DE5992"/>
    <w:rsid w:val="00DE64F3"/>
    <w:rsid w:val="00DE6BB6"/>
    <w:rsid w:val="00DE7F45"/>
    <w:rsid w:val="00DF035E"/>
    <w:rsid w:val="00DF3A9B"/>
    <w:rsid w:val="00DF775D"/>
    <w:rsid w:val="00E00177"/>
    <w:rsid w:val="00E01248"/>
    <w:rsid w:val="00E01D66"/>
    <w:rsid w:val="00E02C31"/>
    <w:rsid w:val="00E031F2"/>
    <w:rsid w:val="00E04125"/>
    <w:rsid w:val="00E049E6"/>
    <w:rsid w:val="00E05DFF"/>
    <w:rsid w:val="00E061E0"/>
    <w:rsid w:val="00E07901"/>
    <w:rsid w:val="00E07986"/>
    <w:rsid w:val="00E07FBD"/>
    <w:rsid w:val="00E108E5"/>
    <w:rsid w:val="00E11421"/>
    <w:rsid w:val="00E117EA"/>
    <w:rsid w:val="00E11ED4"/>
    <w:rsid w:val="00E12983"/>
    <w:rsid w:val="00E12EF2"/>
    <w:rsid w:val="00E170DC"/>
    <w:rsid w:val="00E205E4"/>
    <w:rsid w:val="00E239CA"/>
    <w:rsid w:val="00E23C31"/>
    <w:rsid w:val="00E23DCB"/>
    <w:rsid w:val="00E245A1"/>
    <w:rsid w:val="00E30049"/>
    <w:rsid w:val="00E30162"/>
    <w:rsid w:val="00E331A9"/>
    <w:rsid w:val="00E340FE"/>
    <w:rsid w:val="00E34F2F"/>
    <w:rsid w:val="00E34F8E"/>
    <w:rsid w:val="00E3517F"/>
    <w:rsid w:val="00E35283"/>
    <w:rsid w:val="00E36C26"/>
    <w:rsid w:val="00E37638"/>
    <w:rsid w:val="00E37C56"/>
    <w:rsid w:val="00E37D4E"/>
    <w:rsid w:val="00E4185C"/>
    <w:rsid w:val="00E4193E"/>
    <w:rsid w:val="00E42DC4"/>
    <w:rsid w:val="00E43C03"/>
    <w:rsid w:val="00E45650"/>
    <w:rsid w:val="00E466AD"/>
    <w:rsid w:val="00E51D8E"/>
    <w:rsid w:val="00E52E19"/>
    <w:rsid w:val="00E534DE"/>
    <w:rsid w:val="00E54421"/>
    <w:rsid w:val="00E54C37"/>
    <w:rsid w:val="00E56466"/>
    <w:rsid w:val="00E57058"/>
    <w:rsid w:val="00E5784B"/>
    <w:rsid w:val="00E623AD"/>
    <w:rsid w:val="00E626D0"/>
    <w:rsid w:val="00E62C8A"/>
    <w:rsid w:val="00E63F2C"/>
    <w:rsid w:val="00E6428E"/>
    <w:rsid w:val="00E65C01"/>
    <w:rsid w:val="00E6773F"/>
    <w:rsid w:val="00E67B3C"/>
    <w:rsid w:val="00E67F7C"/>
    <w:rsid w:val="00E70453"/>
    <w:rsid w:val="00E70C38"/>
    <w:rsid w:val="00E71601"/>
    <w:rsid w:val="00E71CB7"/>
    <w:rsid w:val="00E71CF3"/>
    <w:rsid w:val="00E720EB"/>
    <w:rsid w:val="00E72CE6"/>
    <w:rsid w:val="00E73822"/>
    <w:rsid w:val="00E738A4"/>
    <w:rsid w:val="00E73D57"/>
    <w:rsid w:val="00E73F07"/>
    <w:rsid w:val="00E74787"/>
    <w:rsid w:val="00E7498B"/>
    <w:rsid w:val="00E74BDC"/>
    <w:rsid w:val="00E757A1"/>
    <w:rsid w:val="00E75F79"/>
    <w:rsid w:val="00E77502"/>
    <w:rsid w:val="00E80094"/>
    <w:rsid w:val="00E80C0D"/>
    <w:rsid w:val="00E81320"/>
    <w:rsid w:val="00E825B8"/>
    <w:rsid w:val="00E82E48"/>
    <w:rsid w:val="00E8365A"/>
    <w:rsid w:val="00E836DF"/>
    <w:rsid w:val="00E83F59"/>
    <w:rsid w:val="00E86304"/>
    <w:rsid w:val="00E8678D"/>
    <w:rsid w:val="00E9183E"/>
    <w:rsid w:val="00E92308"/>
    <w:rsid w:val="00E92434"/>
    <w:rsid w:val="00E927E1"/>
    <w:rsid w:val="00E927EC"/>
    <w:rsid w:val="00E9467F"/>
    <w:rsid w:val="00E94F7A"/>
    <w:rsid w:val="00E969B3"/>
    <w:rsid w:val="00E96D77"/>
    <w:rsid w:val="00EA0EC8"/>
    <w:rsid w:val="00EA1817"/>
    <w:rsid w:val="00EA437A"/>
    <w:rsid w:val="00EA46DF"/>
    <w:rsid w:val="00EA4702"/>
    <w:rsid w:val="00EA6B38"/>
    <w:rsid w:val="00EA78F0"/>
    <w:rsid w:val="00EA7B6E"/>
    <w:rsid w:val="00EB06C4"/>
    <w:rsid w:val="00EB0896"/>
    <w:rsid w:val="00EB2EA6"/>
    <w:rsid w:val="00EB4680"/>
    <w:rsid w:val="00EB4B18"/>
    <w:rsid w:val="00EB4E1B"/>
    <w:rsid w:val="00EB542D"/>
    <w:rsid w:val="00EB57A9"/>
    <w:rsid w:val="00EB6EAB"/>
    <w:rsid w:val="00EB6FE2"/>
    <w:rsid w:val="00EB71BE"/>
    <w:rsid w:val="00EB74A3"/>
    <w:rsid w:val="00EB7787"/>
    <w:rsid w:val="00EB78B6"/>
    <w:rsid w:val="00EB7D3C"/>
    <w:rsid w:val="00EB7E48"/>
    <w:rsid w:val="00EB7F88"/>
    <w:rsid w:val="00EC050C"/>
    <w:rsid w:val="00EC0604"/>
    <w:rsid w:val="00EC073D"/>
    <w:rsid w:val="00EC0C10"/>
    <w:rsid w:val="00EC1066"/>
    <w:rsid w:val="00EC106E"/>
    <w:rsid w:val="00EC1126"/>
    <w:rsid w:val="00EC167B"/>
    <w:rsid w:val="00EC2010"/>
    <w:rsid w:val="00EC2F4B"/>
    <w:rsid w:val="00EC3718"/>
    <w:rsid w:val="00EC3ECA"/>
    <w:rsid w:val="00EC5309"/>
    <w:rsid w:val="00ED03EB"/>
    <w:rsid w:val="00ED0AD3"/>
    <w:rsid w:val="00ED1255"/>
    <w:rsid w:val="00ED4BF1"/>
    <w:rsid w:val="00ED5CDF"/>
    <w:rsid w:val="00ED66C4"/>
    <w:rsid w:val="00EE293D"/>
    <w:rsid w:val="00EE3527"/>
    <w:rsid w:val="00EE3E40"/>
    <w:rsid w:val="00EE45CE"/>
    <w:rsid w:val="00EE5133"/>
    <w:rsid w:val="00EE5D49"/>
    <w:rsid w:val="00EE63B2"/>
    <w:rsid w:val="00EE7177"/>
    <w:rsid w:val="00EE741C"/>
    <w:rsid w:val="00EE79F9"/>
    <w:rsid w:val="00EE7B8E"/>
    <w:rsid w:val="00EE7DF4"/>
    <w:rsid w:val="00EF133B"/>
    <w:rsid w:val="00EF2B18"/>
    <w:rsid w:val="00EF3F15"/>
    <w:rsid w:val="00EF4ECF"/>
    <w:rsid w:val="00EF51BA"/>
    <w:rsid w:val="00EF650C"/>
    <w:rsid w:val="00EF6FB5"/>
    <w:rsid w:val="00F0115F"/>
    <w:rsid w:val="00F0245B"/>
    <w:rsid w:val="00F03882"/>
    <w:rsid w:val="00F04DEF"/>
    <w:rsid w:val="00F05451"/>
    <w:rsid w:val="00F0621E"/>
    <w:rsid w:val="00F06A81"/>
    <w:rsid w:val="00F0756E"/>
    <w:rsid w:val="00F10C2C"/>
    <w:rsid w:val="00F1173C"/>
    <w:rsid w:val="00F124D8"/>
    <w:rsid w:val="00F131E7"/>
    <w:rsid w:val="00F1384C"/>
    <w:rsid w:val="00F14C55"/>
    <w:rsid w:val="00F158C3"/>
    <w:rsid w:val="00F1607D"/>
    <w:rsid w:val="00F1681D"/>
    <w:rsid w:val="00F1704A"/>
    <w:rsid w:val="00F171F4"/>
    <w:rsid w:val="00F20A3F"/>
    <w:rsid w:val="00F20BE2"/>
    <w:rsid w:val="00F21982"/>
    <w:rsid w:val="00F22B7C"/>
    <w:rsid w:val="00F23A69"/>
    <w:rsid w:val="00F24BFA"/>
    <w:rsid w:val="00F256B7"/>
    <w:rsid w:val="00F25F3A"/>
    <w:rsid w:val="00F26B11"/>
    <w:rsid w:val="00F2754A"/>
    <w:rsid w:val="00F276AD"/>
    <w:rsid w:val="00F27D40"/>
    <w:rsid w:val="00F30D70"/>
    <w:rsid w:val="00F311FF"/>
    <w:rsid w:val="00F32BDE"/>
    <w:rsid w:val="00F33C8D"/>
    <w:rsid w:val="00F33D79"/>
    <w:rsid w:val="00F34E14"/>
    <w:rsid w:val="00F353A4"/>
    <w:rsid w:val="00F3691D"/>
    <w:rsid w:val="00F369D5"/>
    <w:rsid w:val="00F40F50"/>
    <w:rsid w:val="00F414D1"/>
    <w:rsid w:val="00F41A68"/>
    <w:rsid w:val="00F426CA"/>
    <w:rsid w:val="00F4276A"/>
    <w:rsid w:val="00F4317B"/>
    <w:rsid w:val="00F4353A"/>
    <w:rsid w:val="00F43EB8"/>
    <w:rsid w:val="00F4416D"/>
    <w:rsid w:val="00F44F93"/>
    <w:rsid w:val="00F45187"/>
    <w:rsid w:val="00F465D8"/>
    <w:rsid w:val="00F4784B"/>
    <w:rsid w:val="00F54161"/>
    <w:rsid w:val="00F55194"/>
    <w:rsid w:val="00F551A1"/>
    <w:rsid w:val="00F55E22"/>
    <w:rsid w:val="00F55FAF"/>
    <w:rsid w:val="00F562E0"/>
    <w:rsid w:val="00F564BB"/>
    <w:rsid w:val="00F57263"/>
    <w:rsid w:val="00F577C5"/>
    <w:rsid w:val="00F600C5"/>
    <w:rsid w:val="00F61A7B"/>
    <w:rsid w:val="00F620DA"/>
    <w:rsid w:val="00F622C5"/>
    <w:rsid w:val="00F62D7A"/>
    <w:rsid w:val="00F63153"/>
    <w:rsid w:val="00F63816"/>
    <w:rsid w:val="00F63D20"/>
    <w:rsid w:val="00F64E51"/>
    <w:rsid w:val="00F66116"/>
    <w:rsid w:val="00F67D12"/>
    <w:rsid w:val="00F70B20"/>
    <w:rsid w:val="00F73874"/>
    <w:rsid w:val="00F73AF3"/>
    <w:rsid w:val="00F74637"/>
    <w:rsid w:val="00F755ED"/>
    <w:rsid w:val="00F75690"/>
    <w:rsid w:val="00F76EAC"/>
    <w:rsid w:val="00F7754C"/>
    <w:rsid w:val="00F7758A"/>
    <w:rsid w:val="00F77EAA"/>
    <w:rsid w:val="00F811D8"/>
    <w:rsid w:val="00F82C68"/>
    <w:rsid w:val="00F833F4"/>
    <w:rsid w:val="00F83542"/>
    <w:rsid w:val="00F8380C"/>
    <w:rsid w:val="00F84B6A"/>
    <w:rsid w:val="00F84FA7"/>
    <w:rsid w:val="00F85BF5"/>
    <w:rsid w:val="00F85C02"/>
    <w:rsid w:val="00F9076F"/>
    <w:rsid w:val="00F91184"/>
    <w:rsid w:val="00F91B89"/>
    <w:rsid w:val="00F9290B"/>
    <w:rsid w:val="00F93D3A"/>
    <w:rsid w:val="00F93D96"/>
    <w:rsid w:val="00F950AA"/>
    <w:rsid w:val="00F95519"/>
    <w:rsid w:val="00F958AE"/>
    <w:rsid w:val="00F95E34"/>
    <w:rsid w:val="00F95F2D"/>
    <w:rsid w:val="00F9644E"/>
    <w:rsid w:val="00F9672A"/>
    <w:rsid w:val="00FA0633"/>
    <w:rsid w:val="00FA06E9"/>
    <w:rsid w:val="00FA0BA9"/>
    <w:rsid w:val="00FA0C41"/>
    <w:rsid w:val="00FA1879"/>
    <w:rsid w:val="00FA1CA1"/>
    <w:rsid w:val="00FA23A0"/>
    <w:rsid w:val="00FA2AFF"/>
    <w:rsid w:val="00FA2D08"/>
    <w:rsid w:val="00FA3EF1"/>
    <w:rsid w:val="00FA408D"/>
    <w:rsid w:val="00FA5609"/>
    <w:rsid w:val="00FA6ADB"/>
    <w:rsid w:val="00FA74F3"/>
    <w:rsid w:val="00FA7665"/>
    <w:rsid w:val="00FB0834"/>
    <w:rsid w:val="00FB462D"/>
    <w:rsid w:val="00FB4AF8"/>
    <w:rsid w:val="00FB5578"/>
    <w:rsid w:val="00FB5CC4"/>
    <w:rsid w:val="00FB6824"/>
    <w:rsid w:val="00FC0F20"/>
    <w:rsid w:val="00FC19AE"/>
    <w:rsid w:val="00FC2FD0"/>
    <w:rsid w:val="00FC3CBA"/>
    <w:rsid w:val="00FC4E78"/>
    <w:rsid w:val="00FC5741"/>
    <w:rsid w:val="00FC6C50"/>
    <w:rsid w:val="00FC6F09"/>
    <w:rsid w:val="00FD009E"/>
    <w:rsid w:val="00FD1158"/>
    <w:rsid w:val="00FD1F58"/>
    <w:rsid w:val="00FD3E9F"/>
    <w:rsid w:val="00FD4229"/>
    <w:rsid w:val="00FD4860"/>
    <w:rsid w:val="00FD7430"/>
    <w:rsid w:val="00FD7830"/>
    <w:rsid w:val="00FE143F"/>
    <w:rsid w:val="00FE1BA7"/>
    <w:rsid w:val="00FE1BE4"/>
    <w:rsid w:val="00FE1D7F"/>
    <w:rsid w:val="00FE205B"/>
    <w:rsid w:val="00FE32DB"/>
    <w:rsid w:val="00FE4271"/>
    <w:rsid w:val="00FE4965"/>
    <w:rsid w:val="00FE5C39"/>
    <w:rsid w:val="00FE62DF"/>
    <w:rsid w:val="00FE7614"/>
    <w:rsid w:val="00FF02FC"/>
    <w:rsid w:val="00FF0351"/>
    <w:rsid w:val="00FF0469"/>
    <w:rsid w:val="00FF0804"/>
    <w:rsid w:val="00FF09B5"/>
    <w:rsid w:val="00FF13EB"/>
    <w:rsid w:val="00FF16E2"/>
    <w:rsid w:val="00FF1AA8"/>
    <w:rsid w:val="00FF1F41"/>
    <w:rsid w:val="00FF3B5F"/>
    <w:rsid w:val="00FF44B5"/>
    <w:rsid w:val="00FF5F00"/>
    <w:rsid w:val="00FF64A4"/>
    <w:rsid w:val="00FF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B421B"/>
  <w15:docId w15:val="{9C2372DE-F7D0-4102-AFE0-791CEF600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EA2"/>
    <w:pPr>
      <w:spacing w:after="240"/>
      <w:jc w:val="both"/>
    </w:pPr>
    <w:rPr>
      <w:rFonts w:asciiTheme="minorHAnsi" w:hAnsiTheme="minorHAnsi"/>
      <w:sz w:val="22"/>
    </w:rPr>
  </w:style>
  <w:style w:type="paragraph" w:styleId="Heading1">
    <w:name w:val="heading 1"/>
    <w:basedOn w:val="Normal"/>
    <w:next w:val="Normal"/>
    <w:link w:val="Heading1Char"/>
    <w:qFormat/>
    <w:rsid w:val="00F55FAF"/>
    <w:pPr>
      <w:keepNext/>
      <w:numPr>
        <w:numId w:val="7"/>
      </w:numPr>
      <w:spacing w:before="240" w:after="120"/>
      <w:jc w:val="left"/>
      <w:outlineLvl w:val="0"/>
    </w:pPr>
    <w:rPr>
      <w:rFonts w:ascii="Calibri" w:hAnsi="Calibri"/>
      <w:b/>
      <w:caps/>
      <w:color w:val="001489" w:themeColor="accent1"/>
      <w:kern w:val="28"/>
      <w:sz w:val="28"/>
    </w:rPr>
  </w:style>
  <w:style w:type="paragraph" w:styleId="Heading2">
    <w:name w:val="heading 2"/>
    <w:basedOn w:val="Heading1"/>
    <w:next w:val="Normal"/>
    <w:qFormat/>
    <w:rsid w:val="00F55FAF"/>
    <w:pPr>
      <w:numPr>
        <w:ilvl w:val="1"/>
      </w:numPr>
      <w:outlineLvl w:val="1"/>
    </w:pPr>
    <w:rPr>
      <w:caps w:val="0"/>
    </w:rPr>
  </w:style>
  <w:style w:type="paragraph" w:styleId="Heading3">
    <w:name w:val="heading 3"/>
    <w:basedOn w:val="Heading2"/>
    <w:next w:val="Normal"/>
    <w:qFormat/>
    <w:rsid w:val="00F55FAF"/>
    <w:pPr>
      <w:numPr>
        <w:ilvl w:val="2"/>
      </w:numPr>
      <w:outlineLvl w:val="2"/>
    </w:pPr>
    <w:rPr>
      <w:i/>
      <w:color w:val="001489"/>
      <w:sz w:val="24"/>
    </w:rPr>
  </w:style>
  <w:style w:type="paragraph" w:styleId="Heading4">
    <w:name w:val="heading 4"/>
    <w:basedOn w:val="Heading3"/>
    <w:next w:val="Normal"/>
    <w:qFormat/>
    <w:rsid w:val="002B4321"/>
    <w:pPr>
      <w:numPr>
        <w:ilvl w:val="3"/>
      </w:numPr>
      <w:outlineLvl w:val="3"/>
    </w:pPr>
    <w:rPr>
      <w:b w:val="0"/>
      <w:i w:val="0"/>
    </w:rPr>
  </w:style>
  <w:style w:type="paragraph" w:styleId="Heading5">
    <w:name w:val="heading 5"/>
    <w:basedOn w:val="Heading4"/>
    <w:next w:val="Normal"/>
    <w:qFormat/>
    <w:rsid w:val="002B4321"/>
    <w:pPr>
      <w:numPr>
        <w:ilvl w:val="4"/>
      </w:numPr>
      <w:outlineLvl w:val="4"/>
    </w:pPr>
    <w:rPr>
      <w:bCs/>
      <w:i/>
      <w:iCs/>
      <w:szCs w:val="26"/>
    </w:rPr>
  </w:style>
  <w:style w:type="paragraph" w:styleId="Heading6">
    <w:name w:val="heading 6"/>
    <w:basedOn w:val="Normal"/>
    <w:next w:val="Normal"/>
    <w:qFormat/>
    <w:rsid w:val="002B4321"/>
    <w:pPr>
      <w:keepNext/>
      <w:numPr>
        <w:ilvl w:val="5"/>
        <w:numId w:val="7"/>
      </w:numPr>
      <w:spacing w:before="240" w:after="120"/>
      <w:jc w:val="left"/>
      <w:outlineLvl w:val="5"/>
    </w:pPr>
    <w:rPr>
      <w:bCs/>
      <w:color w:val="001489"/>
      <w:sz w:val="24"/>
      <w:szCs w:val="22"/>
    </w:rPr>
  </w:style>
  <w:style w:type="paragraph" w:styleId="Heading7">
    <w:name w:val="heading 7"/>
    <w:basedOn w:val="Normal"/>
    <w:next w:val="Normal"/>
    <w:qFormat/>
    <w:rsid w:val="00A74908"/>
    <w:pPr>
      <w:numPr>
        <w:ilvl w:val="6"/>
        <w:numId w:val="6"/>
      </w:numPr>
      <w:spacing w:before="240" w:after="60"/>
      <w:outlineLvl w:val="6"/>
    </w:pPr>
    <w:rPr>
      <w:szCs w:val="24"/>
    </w:rPr>
  </w:style>
  <w:style w:type="paragraph" w:styleId="Heading8">
    <w:name w:val="heading 8"/>
    <w:basedOn w:val="Normal"/>
    <w:next w:val="Normal"/>
    <w:qFormat/>
    <w:rsid w:val="00A74908"/>
    <w:pPr>
      <w:numPr>
        <w:ilvl w:val="7"/>
        <w:numId w:val="6"/>
      </w:numPr>
      <w:spacing w:before="240" w:after="60"/>
      <w:outlineLvl w:val="7"/>
    </w:pPr>
    <w:rPr>
      <w:i/>
      <w:iCs/>
      <w:szCs w:val="24"/>
    </w:rPr>
  </w:style>
  <w:style w:type="paragraph" w:styleId="Heading9">
    <w:name w:val="heading 9"/>
    <w:basedOn w:val="Normal"/>
    <w:next w:val="Normal"/>
    <w:link w:val="Heading9Char"/>
    <w:semiHidden/>
    <w:unhideWhenUsed/>
    <w:qFormat/>
    <w:rsid w:val="002D433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Chapter">
    <w:name w:val="TOC Chapter"/>
    <w:basedOn w:val="TOC1"/>
    <w:rsid w:val="00BF0627"/>
    <w:pPr>
      <w:spacing w:before="240"/>
    </w:pPr>
    <w:rPr>
      <w:b w:val="0"/>
      <w:bCs/>
      <w:color w:val="001489"/>
    </w:rPr>
  </w:style>
  <w:style w:type="paragraph" w:customStyle="1" w:styleId="LetterHeading">
    <w:name w:val="LetterHeading"/>
    <w:basedOn w:val="Normal"/>
    <w:pPr>
      <w:tabs>
        <w:tab w:val="left" w:pos="1440"/>
        <w:tab w:val="right" w:pos="9360"/>
      </w:tabs>
      <w:spacing w:after="0"/>
    </w:pPr>
  </w:style>
  <w:style w:type="paragraph" w:customStyle="1" w:styleId="Number">
    <w:name w:val="Number"/>
    <w:basedOn w:val="Normal"/>
    <w:rsid w:val="00BF0627"/>
    <w:pPr>
      <w:numPr>
        <w:numId w:val="5"/>
      </w:numPr>
      <w:spacing w:after="80"/>
      <w:jc w:val="left"/>
    </w:pPr>
  </w:style>
  <w:style w:type="paragraph" w:customStyle="1" w:styleId="Bullet">
    <w:name w:val="Bullet"/>
    <w:basedOn w:val="Normal"/>
    <w:rsid w:val="0096026D"/>
    <w:pPr>
      <w:numPr>
        <w:numId w:val="4"/>
      </w:numPr>
      <w:spacing w:after="80"/>
      <w:jc w:val="left"/>
    </w:pPr>
  </w:style>
  <w:style w:type="paragraph" w:styleId="TOC1">
    <w:name w:val="toc 1"/>
    <w:basedOn w:val="Normal"/>
    <w:next w:val="Normal"/>
    <w:uiPriority w:val="39"/>
    <w:rsid w:val="00CB1CC5"/>
    <w:pPr>
      <w:tabs>
        <w:tab w:val="right" w:leader="dot" w:pos="9360"/>
      </w:tabs>
      <w:spacing w:before="120" w:after="0"/>
      <w:jc w:val="left"/>
    </w:pPr>
    <w:rPr>
      <w:b/>
      <w:color w:val="001489" w:themeColor="accent1"/>
    </w:rPr>
  </w:style>
  <w:style w:type="paragraph" w:styleId="TOC2">
    <w:name w:val="toc 2"/>
    <w:basedOn w:val="Normal"/>
    <w:next w:val="Normal"/>
    <w:uiPriority w:val="39"/>
    <w:rsid w:val="00C67FBD"/>
    <w:pPr>
      <w:tabs>
        <w:tab w:val="right" w:leader="dot" w:pos="9360"/>
      </w:tabs>
      <w:spacing w:before="120" w:after="0"/>
      <w:ind w:left="360"/>
      <w:jc w:val="left"/>
    </w:pPr>
  </w:style>
  <w:style w:type="paragraph" w:styleId="TOC3">
    <w:name w:val="toc 3"/>
    <w:basedOn w:val="Normal"/>
    <w:next w:val="Normal"/>
    <w:uiPriority w:val="39"/>
    <w:rsid w:val="00C67FBD"/>
    <w:pPr>
      <w:tabs>
        <w:tab w:val="right" w:leader="dot" w:pos="9360"/>
      </w:tabs>
      <w:spacing w:before="20" w:after="20"/>
      <w:ind w:left="720"/>
      <w:jc w:val="left"/>
    </w:pPr>
  </w:style>
  <w:style w:type="paragraph" w:styleId="TOC4">
    <w:name w:val="toc 4"/>
    <w:basedOn w:val="Normal"/>
    <w:next w:val="Normal"/>
    <w:uiPriority w:val="39"/>
    <w:rsid w:val="00C67FBD"/>
    <w:pPr>
      <w:tabs>
        <w:tab w:val="right" w:leader="dot" w:pos="9360"/>
      </w:tabs>
      <w:spacing w:before="20" w:after="20"/>
      <w:ind w:left="1080"/>
      <w:jc w:val="left"/>
    </w:pPr>
  </w:style>
  <w:style w:type="paragraph" w:customStyle="1" w:styleId="figure">
    <w:name w:val="figure"/>
    <w:basedOn w:val="Normal"/>
    <w:next w:val="Normal"/>
    <w:rsid w:val="00C0082A"/>
    <w:pPr>
      <w:keepNext/>
      <w:jc w:val="center"/>
    </w:pPr>
    <w:rPr>
      <w:b/>
    </w:rPr>
  </w:style>
  <w:style w:type="paragraph" w:styleId="Footer">
    <w:name w:val="footer"/>
    <w:basedOn w:val="Normal"/>
    <w:link w:val="FooterChar"/>
    <w:rsid w:val="0026612A"/>
    <w:pPr>
      <w:tabs>
        <w:tab w:val="center" w:pos="4680"/>
        <w:tab w:val="right" w:pos="9360"/>
      </w:tabs>
      <w:spacing w:after="0"/>
      <w:jc w:val="right"/>
    </w:pPr>
    <w:rPr>
      <w:sz w:val="16"/>
    </w:rPr>
  </w:style>
  <w:style w:type="paragraph" w:styleId="Header">
    <w:name w:val="header"/>
    <w:basedOn w:val="Normal"/>
    <w:pPr>
      <w:tabs>
        <w:tab w:val="center" w:pos="4680"/>
        <w:tab w:val="right" w:pos="9360"/>
      </w:tabs>
      <w:spacing w:after="0"/>
    </w:pPr>
  </w:style>
  <w:style w:type="paragraph" w:styleId="ListBullet2">
    <w:name w:val="List Bullet 2"/>
    <w:basedOn w:val="Normal"/>
    <w:rsid w:val="00723BEA"/>
    <w:pPr>
      <w:numPr>
        <w:numId w:val="3"/>
      </w:numPr>
      <w:spacing w:after="80"/>
    </w:pPr>
  </w:style>
  <w:style w:type="paragraph" w:customStyle="1" w:styleId="TOCWY1">
    <w:name w:val="TOC WY 1"/>
    <w:basedOn w:val="TOC1"/>
    <w:rsid w:val="00E3517F"/>
    <w:pPr>
      <w:tabs>
        <w:tab w:val="left" w:pos="1008"/>
      </w:tabs>
      <w:ind w:left="360"/>
    </w:pPr>
    <w:rPr>
      <w:caps/>
    </w:rPr>
  </w:style>
  <w:style w:type="paragraph" w:customStyle="1" w:styleId="Table">
    <w:name w:val="Table"/>
    <w:basedOn w:val="Normal"/>
    <w:rsid w:val="00DC62C6"/>
    <w:pPr>
      <w:spacing w:before="30" w:after="30"/>
      <w:jc w:val="left"/>
    </w:pPr>
    <w:rPr>
      <w:rFonts w:ascii="Calibri" w:hAnsi="Calibri"/>
      <w:sz w:val="20"/>
    </w:rPr>
  </w:style>
  <w:style w:type="paragraph" w:customStyle="1" w:styleId="TableTitle">
    <w:name w:val="TableTitle"/>
    <w:basedOn w:val="Normal"/>
    <w:next w:val="Table"/>
    <w:rsid w:val="007D51A1"/>
    <w:pPr>
      <w:keepNext/>
      <w:spacing w:before="120" w:after="120"/>
      <w:jc w:val="center"/>
    </w:pPr>
    <w:rPr>
      <w:rFonts w:cstheme="minorHAnsi"/>
      <w:b/>
      <w:szCs w:val="28"/>
    </w:rPr>
  </w:style>
  <w:style w:type="paragraph" w:customStyle="1" w:styleId="AppendixTitle">
    <w:name w:val="Appendix_Title"/>
    <w:basedOn w:val="Normal"/>
    <w:next w:val="Normal"/>
    <w:rsid w:val="002F7E92"/>
    <w:pPr>
      <w:spacing w:after="0"/>
      <w:jc w:val="right"/>
    </w:pPr>
    <w:rPr>
      <w:b/>
      <w:caps/>
      <w:color w:val="FFFFFF" w:themeColor="background1"/>
      <w:sz w:val="40"/>
      <w:szCs w:val="40"/>
    </w:rPr>
  </w:style>
  <w:style w:type="paragraph" w:customStyle="1" w:styleId="tblbullet">
    <w:name w:val="tblbullet"/>
    <w:basedOn w:val="Normal"/>
    <w:rsid w:val="00A645A0"/>
    <w:pPr>
      <w:numPr>
        <w:numId w:val="2"/>
      </w:numPr>
      <w:spacing w:after="0"/>
      <w:ind w:left="288"/>
      <w:jc w:val="left"/>
    </w:pPr>
    <w:rPr>
      <w:rFonts w:ascii="Calibri" w:hAnsi="Calibri"/>
      <w:sz w:val="20"/>
    </w:rPr>
  </w:style>
  <w:style w:type="paragraph" w:customStyle="1" w:styleId="tblnumber">
    <w:name w:val="tblnumber"/>
    <w:basedOn w:val="Number"/>
    <w:rsid w:val="00BF0627"/>
    <w:pPr>
      <w:numPr>
        <w:numId w:val="1"/>
      </w:numPr>
      <w:spacing w:after="0"/>
    </w:pPr>
    <w:rPr>
      <w:rFonts w:ascii="Arial" w:hAnsi="Arial"/>
      <w:sz w:val="20"/>
    </w:rPr>
  </w:style>
  <w:style w:type="paragraph" w:styleId="Caption">
    <w:name w:val="caption"/>
    <w:basedOn w:val="Normal"/>
    <w:next w:val="Normal"/>
    <w:qFormat/>
    <w:rsid w:val="00C811CF"/>
    <w:pPr>
      <w:spacing w:before="60" w:after="120"/>
      <w:jc w:val="center"/>
    </w:pPr>
    <w:rPr>
      <w:rFonts w:ascii="Arial" w:hAnsi="Arial"/>
      <w:bCs/>
      <w:sz w:val="18"/>
    </w:rPr>
  </w:style>
  <w:style w:type="character" w:styleId="FollowedHyperlink">
    <w:name w:val="FollowedHyperlink"/>
    <w:basedOn w:val="DefaultParagraphFont"/>
    <w:rPr>
      <w:color w:val="333399"/>
      <w:u w:val="single"/>
    </w:rPr>
  </w:style>
  <w:style w:type="paragraph" w:customStyle="1" w:styleId="TableFootnote">
    <w:name w:val="Table Footnote"/>
    <w:basedOn w:val="Normal"/>
    <w:rsid w:val="00F55FAF"/>
    <w:pPr>
      <w:spacing w:before="40" w:after="40"/>
      <w:ind w:left="331" w:hanging="331"/>
      <w:jc w:val="left"/>
    </w:pPr>
    <w:rPr>
      <w:rFonts w:ascii="Calibri" w:hAnsi="Calibri"/>
      <w:sz w:val="16"/>
    </w:rPr>
  </w:style>
  <w:style w:type="paragraph" w:customStyle="1" w:styleId="TOCWY2">
    <w:name w:val="TOC WY 2"/>
    <w:basedOn w:val="TOC2"/>
    <w:next w:val="TOC2"/>
    <w:rsid w:val="009950ED"/>
    <w:pPr>
      <w:tabs>
        <w:tab w:val="left" w:pos="1440"/>
      </w:tabs>
      <w:ind w:left="720"/>
    </w:pPr>
    <w:rPr>
      <w:caps/>
    </w:rPr>
  </w:style>
  <w:style w:type="paragraph" w:customStyle="1" w:styleId="TOCWY3">
    <w:name w:val="TOC WY 3"/>
    <w:basedOn w:val="TOC3"/>
    <w:rsid w:val="009950ED"/>
    <w:pPr>
      <w:tabs>
        <w:tab w:val="left" w:pos="2016"/>
      </w:tabs>
      <w:ind w:left="1080"/>
    </w:pPr>
  </w:style>
  <w:style w:type="paragraph" w:customStyle="1" w:styleId="TOCWY4">
    <w:name w:val="TOC WY 4"/>
    <w:basedOn w:val="TOC4"/>
    <w:rsid w:val="009950ED"/>
    <w:pPr>
      <w:tabs>
        <w:tab w:val="left" w:pos="2448"/>
      </w:tabs>
      <w:ind w:left="1440"/>
    </w:pPr>
  </w:style>
  <w:style w:type="paragraph" w:customStyle="1" w:styleId="TOCTableFigure">
    <w:name w:val="TOC Table Figure"/>
    <w:basedOn w:val="TOC1"/>
    <w:rsid w:val="00BF0627"/>
    <w:pPr>
      <w:spacing w:before="0" w:after="120"/>
      <w:ind w:left="360"/>
    </w:pPr>
    <w:rPr>
      <w:b w:val="0"/>
      <w:color w:val="auto"/>
    </w:rPr>
  </w:style>
  <w:style w:type="paragraph" w:customStyle="1" w:styleId="TOCList">
    <w:name w:val="TOC List"/>
    <w:basedOn w:val="Normal"/>
    <w:next w:val="Normal"/>
    <w:rsid w:val="002406F7"/>
    <w:pPr>
      <w:keepNext/>
    </w:pPr>
    <w:rPr>
      <w:b/>
      <w:color w:val="001489"/>
    </w:rPr>
  </w:style>
  <w:style w:type="paragraph" w:customStyle="1" w:styleId="TOCAppendices">
    <w:name w:val="TOC Appendices"/>
    <w:basedOn w:val="Normal"/>
    <w:rsid w:val="005C49EE"/>
    <w:pPr>
      <w:spacing w:after="120"/>
      <w:ind w:left="360"/>
      <w:jc w:val="left"/>
    </w:pPr>
  </w:style>
  <w:style w:type="paragraph" w:customStyle="1" w:styleId="TOCWY5">
    <w:name w:val="TOC WY 5"/>
    <w:basedOn w:val="TOC5"/>
    <w:rsid w:val="00476F65"/>
    <w:pPr>
      <w:tabs>
        <w:tab w:val="right" w:pos="2448"/>
        <w:tab w:val="left" w:pos="2880"/>
        <w:tab w:val="right" w:leader="dot" w:pos="9360"/>
      </w:tabs>
      <w:spacing w:after="0"/>
      <w:ind w:left="1800"/>
      <w:jc w:val="left"/>
    </w:pPr>
  </w:style>
  <w:style w:type="table" w:styleId="TableGrid">
    <w:name w:val="Table Grid"/>
    <w:basedOn w:val="TableNormal"/>
    <w:rsid w:val="00A30106"/>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rsid w:val="00C67FBD"/>
    <w:pPr>
      <w:spacing w:before="20" w:after="20"/>
      <w:ind w:left="1440"/>
    </w:pPr>
  </w:style>
  <w:style w:type="paragraph" w:styleId="BalloonText">
    <w:name w:val="Balloon Text"/>
    <w:basedOn w:val="Normal"/>
    <w:link w:val="BalloonTextChar"/>
    <w:rsid w:val="00B311DB"/>
    <w:pPr>
      <w:spacing w:after="0"/>
    </w:pPr>
    <w:rPr>
      <w:rFonts w:ascii="Tahoma" w:hAnsi="Tahoma" w:cs="Tahoma"/>
      <w:sz w:val="16"/>
      <w:szCs w:val="16"/>
    </w:rPr>
  </w:style>
  <w:style w:type="character" w:customStyle="1" w:styleId="BalloonTextChar">
    <w:name w:val="Balloon Text Char"/>
    <w:basedOn w:val="DefaultParagraphFont"/>
    <w:link w:val="BalloonText"/>
    <w:rsid w:val="00B311DB"/>
    <w:rPr>
      <w:rFonts w:ascii="Tahoma" w:hAnsi="Tahoma" w:cs="Tahoma"/>
      <w:sz w:val="16"/>
      <w:szCs w:val="16"/>
    </w:rPr>
  </w:style>
  <w:style w:type="paragraph" w:styleId="ListParagraph">
    <w:name w:val="List Paragraph"/>
    <w:basedOn w:val="Normal"/>
    <w:uiPriority w:val="34"/>
    <w:qFormat/>
    <w:rsid w:val="006638AA"/>
    <w:pPr>
      <w:ind w:left="720"/>
      <w:contextualSpacing/>
    </w:pPr>
  </w:style>
  <w:style w:type="character" w:styleId="Hyperlink">
    <w:name w:val="Hyperlink"/>
    <w:basedOn w:val="DefaultParagraphFont"/>
    <w:uiPriority w:val="99"/>
    <w:unhideWhenUsed/>
    <w:rsid w:val="00E8678D"/>
    <w:rPr>
      <w:color w:val="0000FF" w:themeColor="hyperlink"/>
      <w:sz w:val="22"/>
      <w:u w:val="single"/>
    </w:rPr>
  </w:style>
  <w:style w:type="paragraph" w:styleId="TOC6">
    <w:name w:val="toc 6"/>
    <w:basedOn w:val="Normal"/>
    <w:next w:val="Normal"/>
    <w:autoRedefine/>
    <w:uiPriority w:val="39"/>
    <w:unhideWhenUsed/>
    <w:rsid w:val="00C67FBD"/>
    <w:pPr>
      <w:spacing w:before="20" w:after="20"/>
      <w:ind w:left="1800"/>
    </w:pPr>
  </w:style>
  <w:style w:type="paragraph" w:customStyle="1" w:styleId="ListBullet30">
    <w:name w:val="List Bullet3"/>
    <w:basedOn w:val="ListBullet2"/>
    <w:qFormat/>
    <w:rsid w:val="00723BEA"/>
    <w:pPr>
      <w:numPr>
        <w:numId w:val="8"/>
      </w:numPr>
      <w:ind w:left="1800"/>
    </w:pPr>
  </w:style>
  <w:style w:type="paragraph" w:customStyle="1" w:styleId="ListBullet40">
    <w:name w:val="List Bullet4"/>
    <w:basedOn w:val="ListBullet30"/>
    <w:qFormat/>
    <w:rsid w:val="00723BEA"/>
    <w:pPr>
      <w:numPr>
        <w:numId w:val="9"/>
      </w:numPr>
      <w:ind w:left="2160"/>
    </w:pPr>
  </w:style>
  <w:style w:type="paragraph" w:customStyle="1" w:styleId="WYLevel5">
    <w:name w:val="WY Level 5"/>
    <w:basedOn w:val="Normal"/>
    <w:autoRedefine/>
    <w:rsid w:val="0074175E"/>
    <w:pPr>
      <w:numPr>
        <w:ilvl w:val="4"/>
        <w:numId w:val="10"/>
      </w:numPr>
      <w:spacing w:after="60"/>
      <w:jc w:val="left"/>
    </w:pPr>
  </w:style>
  <w:style w:type="paragraph" w:customStyle="1" w:styleId="WYLevel1">
    <w:name w:val="WY Level 1"/>
    <w:basedOn w:val="Normal"/>
    <w:next w:val="WYLevel2"/>
    <w:autoRedefine/>
    <w:rsid w:val="0074175E"/>
    <w:pPr>
      <w:keepNext/>
      <w:numPr>
        <w:numId w:val="10"/>
      </w:numPr>
      <w:spacing w:before="240" w:after="120"/>
      <w:jc w:val="left"/>
      <w:outlineLvl w:val="0"/>
    </w:pPr>
    <w:rPr>
      <w:caps/>
    </w:rPr>
  </w:style>
  <w:style w:type="paragraph" w:customStyle="1" w:styleId="WYLevel2">
    <w:name w:val="WY Level 2"/>
    <w:basedOn w:val="Normal"/>
    <w:autoRedefine/>
    <w:rsid w:val="0074175E"/>
    <w:pPr>
      <w:keepNext/>
      <w:numPr>
        <w:ilvl w:val="1"/>
        <w:numId w:val="10"/>
      </w:numPr>
      <w:spacing w:before="240" w:after="120"/>
      <w:jc w:val="left"/>
    </w:pPr>
  </w:style>
  <w:style w:type="paragraph" w:customStyle="1" w:styleId="WYLevel3">
    <w:name w:val="WY Level 3"/>
    <w:basedOn w:val="Normal"/>
    <w:autoRedefine/>
    <w:rsid w:val="0074175E"/>
    <w:pPr>
      <w:numPr>
        <w:ilvl w:val="2"/>
        <w:numId w:val="10"/>
      </w:numPr>
      <w:spacing w:before="120" w:after="120"/>
      <w:jc w:val="left"/>
    </w:pPr>
  </w:style>
  <w:style w:type="paragraph" w:customStyle="1" w:styleId="WYLevel4">
    <w:name w:val="WY Level 4"/>
    <w:basedOn w:val="Normal"/>
    <w:autoRedefine/>
    <w:rsid w:val="0074175E"/>
    <w:pPr>
      <w:numPr>
        <w:ilvl w:val="3"/>
        <w:numId w:val="10"/>
      </w:numPr>
      <w:spacing w:after="120"/>
      <w:jc w:val="left"/>
    </w:pPr>
  </w:style>
  <w:style w:type="paragraph" w:customStyle="1" w:styleId="WYLevel6">
    <w:name w:val="WY Level 6"/>
    <w:basedOn w:val="Normal"/>
    <w:link w:val="WYLevel6Char"/>
    <w:autoRedefine/>
    <w:rsid w:val="0074175E"/>
    <w:pPr>
      <w:numPr>
        <w:ilvl w:val="5"/>
        <w:numId w:val="10"/>
      </w:numPr>
      <w:spacing w:after="60"/>
      <w:jc w:val="left"/>
    </w:pPr>
    <w:rPr>
      <w:bCs/>
      <w:szCs w:val="22"/>
    </w:rPr>
  </w:style>
  <w:style w:type="character" w:customStyle="1" w:styleId="WYLevel6Char">
    <w:name w:val="WY Level 6 Char"/>
    <w:link w:val="WYLevel6"/>
    <w:rsid w:val="0074175E"/>
    <w:rPr>
      <w:rFonts w:asciiTheme="minorHAnsi" w:hAnsiTheme="minorHAnsi"/>
      <w:bCs/>
      <w:sz w:val="22"/>
      <w:szCs w:val="22"/>
    </w:rPr>
  </w:style>
  <w:style w:type="paragraph" w:customStyle="1" w:styleId="PhotoCaption">
    <w:name w:val="Photo Caption"/>
    <w:basedOn w:val="Normal"/>
    <w:qFormat/>
    <w:rsid w:val="00220433"/>
    <w:pPr>
      <w:spacing w:before="40" w:after="40"/>
      <w:jc w:val="left"/>
    </w:pPr>
    <w:rPr>
      <w:b/>
      <w:sz w:val="18"/>
    </w:rPr>
  </w:style>
  <w:style w:type="paragraph" w:customStyle="1" w:styleId="Appendixsubheading">
    <w:name w:val="Appendix_sub_heading"/>
    <w:basedOn w:val="Normal"/>
    <w:qFormat/>
    <w:rsid w:val="005A64FA"/>
    <w:pPr>
      <w:pBdr>
        <w:top w:val="single" w:sz="24" w:space="1" w:color="001489" w:themeColor="accent1"/>
        <w:bottom w:val="single" w:sz="24" w:space="1" w:color="001489" w:themeColor="accent1"/>
      </w:pBdr>
      <w:spacing w:after="0"/>
      <w:jc w:val="right"/>
    </w:pPr>
    <w:rPr>
      <w:color w:val="001489"/>
      <w:sz w:val="32"/>
      <w:szCs w:val="32"/>
    </w:rPr>
  </w:style>
  <w:style w:type="character" w:customStyle="1" w:styleId="Heading1Char">
    <w:name w:val="Heading 1 Char"/>
    <w:basedOn w:val="DefaultParagraphFont"/>
    <w:link w:val="Heading1"/>
    <w:rsid w:val="00F55FAF"/>
    <w:rPr>
      <w:rFonts w:ascii="Calibri" w:hAnsi="Calibri"/>
      <w:b/>
      <w:caps/>
      <w:color w:val="001489" w:themeColor="accent1"/>
      <w:kern w:val="28"/>
      <w:sz w:val="28"/>
    </w:rPr>
  </w:style>
  <w:style w:type="paragraph" w:styleId="Bibliography">
    <w:name w:val="Bibliography"/>
    <w:basedOn w:val="Normal"/>
    <w:next w:val="Normal"/>
    <w:uiPriority w:val="37"/>
    <w:semiHidden/>
    <w:unhideWhenUsed/>
    <w:rsid w:val="002D433E"/>
  </w:style>
  <w:style w:type="paragraph" w:styleId="BlockText">
    <w:name w:val="Block Text"/>
    <w:basedOn w:val="Normal"/>
    <w:semiHidden/>
    <w:unhideWhenUsed/>
    <w:rsid w:val="002D433E"/>
    <w:pPr>
      <w:pBdr>
        <w:top w:val="single" w:sz="2" w:space="10" w:color="001489" w:themeColor="accent1"/>
        <w:left w:val="single" w:sz="2" w:space="10" w:color="001489" w:themeColor="accent1"/>
        <w:bottom w:val="single" w:sz="2" w:space="10" w:color="001489" w:themeColor="accent1"/>
        <w:right w:val="single" w:sz="2" w:space="10" w:color="001489" w:themeColor="accent1"/>
      </w:pBdr>
      <w:ind w:left="1152" w:right="1152"/>
    </w:pPr>
    <w:rPr>
      <w:rFonts w:eastAsiaTheme="minorEastAsia" w:cstheme="minorBidi"/>
      <w:i/>
      <w:iCs/>
      <w:color w:val="001489" w:themeColor="accent1"/>
    </w:rPr>
  </w:style>
  <w:style w:type="paragraph" w:styleId="BodyText">
    <w:name w:val="Body Text"/>
    <w:basedOn w:val="Normal"/>
    <w:link w:val="BodyTextChar"/>
    <w:unhideWhenUsed/>
    <w:rsid w:val="002D433E"/>
    <w:pPr>
      <w:spacing w:after="120"/>
    </w:pPr>
  </w:style>
  <w:style w:type="character" w:customStyle="1" w:styleId="BodyTextChar">
    <w:name w:val="Body Text Char"/>
    <w:basedOn w:val="DefaultParagraphFont"/>
    <w:link w:val="BodyText"/>
    <w:rsid w:val="002D433E"/>
    <w:rPr>
      <w:rFonts w:asciiTheme="minorHAnsi" w:hAnsiTheme="minorHAnsi"/>
      <w:sz w:val="24"/>
    </w:rPr>
  </w:style>
  <w:style w:type="paragraph" w:styleId="BodyText2">
    <w:name w:val="Body Text 2"/>
    <w:basedOn w:val="Normal"/>
    <w:link w:val="BodyText2Char"/>
    <w:semiHidden/>
    <w:unhideWhenUsed/>
    <w:rsid w:val="002D433E"/>
    <w:pPr>
      <w:spacing w:after="120" w:line="480" w:lineRule="auto"/>
    </w:pPr>
  </w:style>
  <w:style w:type="character" w:customStyle="1" w:styleId="BodyText2Char">
    <w:name w:val="Body Text 2 Char"/>
    <w:basedOn w:val="DefaultParagraphFont"/>
    <w:link w:val="BodyText2"/>
    <w:semiHidden/>
    <w:rsid w:val="002D433E"/>
    <w:rPr>
      <w:rFonts w:asciiTheme="minorHAnsi" w:hAnsiTheme="minorHAnsi"/>
      <w:sz w:val="24"/>
    </w:rPr>
  </w:style>
  <w:style w:type="paragraph" w:styleId="BodyText3">
    <w:name w:val="Body Text 3"/>
    <w:basedOn w:val="Normal"/>
    <w:link w:val="BodyText3Char"/>
    <w:semiHidden/>
    <w:unhideWhenUsed/>
    <w:rsid w:val="002D433E"/>
    <w:pPr>
      <w:spacing w:after="120"/>
    </w:pPr>
    <w:rPr>
      <w:sz w:val="16"/>
      <w:szCs w:val="16"/>
    </w:rPr>
  </w:style>
  <w:style w:type="character" w:customStyle="1" w:styleId="BodyText3Char">
    <w:name w:val="Body Text 3 Char"/>
    <w:basedOn w:val="DefaultParagraphFont"/>
    <w:link w:val="BodyText3"/>
    <w:semiHidden/>
    <w:rsid w:val="002D433E"/>
    <w:rPr>
      <w:rFonts w:asciiTheme="minorHAnsi" w:hAnsiTheme="minorHAnsi"/>
      <w:sz w:val="16"/>
      <w:szCs w:val="16"/>
    </w:rPr>
  </w:style>
  <w:style w:type="paragraph" w:styleId="BodyTextFirstIndent">
    <w:name w:val="Body Text First Indent"/>
    <w:basedOn w:val="BodyText"/>
    <w:link w:val="BodyTextFirstIndentChar"/>
    <w:rsid w:val="002D433E"/>
    <w:pPr>
      <w:spacing w:after="240"/>
      <w:ind w:firstLine="360"/>
    </w:pPr>
  </w:style>
  <w:style w:type="character" w:customStyle="1" w:styleId="BodyTextFirstIndentChar">
    <w:name w:val="Body Text First Indent Char"/>
    <w:basedOn w:val="BodyTextChar"/>
    <w:link w:val="BodyTextFirstIndent"/>
    <w:rsid w:val="002D433E"/>
    <w:rPr>
      <w:rFonts w:asciiTheme="minorHAnsi" w:hAnsiTheme="minorHAnsi"/>
      <w:sz w:val="24"/>
    </w:rPr>
  </w:style>
  <w:style w:type="paragraph" w:styleId="BodyTextIndent">
    <w:name w:val="Body Text Indent"/>
    <w:basedOn w:val="Normal"/>
    <w:link w:val="BodyTextIndentChar"/>
    <w:semiHidden/>
    <w:unhideWhenUsed/>
    <w:rsid w:val="002D433E"/>
    <w:pPr>
      <w:spacing w:after="120"/>
      <w:ind w:left="360"/>
    </w:pPr>
  </w:style>
  <w:style w:type="character" w:customStyle="1" w:styleId="BodyTextIndentChar">
    <w:name w:val="Body Text Indent Char"/>
    <w:basedOn w:val="DefaultParagraphFont"/>
    <w:link w:val="BodyTextIndent"/>
    <w:semiHidden/>
    <w:rsid w:val="002D433E"/>
    <w:rPr>
      <w:rFonts w:asciiTheme="minorHAnsi" w:hAnsiTheme="minorHAnsi"/>
      <w:sz w:val="24"/>
    </w:rPr>
  </w:style>
  <w:style w:type="paragraph" w:styleId="BodyTextFirstIndent2">
    <w:name w:val="Body Text First Indent 2"/>
    <w:basedOn w:val="BodyTextIndent"/>
    <w:link w:val="BodyTextFirstIndent2Char"/>
    <w:semiHidden/>
    <w:unhideWhenUsed/>
    <w:rsid w:val="002D433E"/>
    <w:pPr>
      <w:spacing w:after="240"/>
      <w:ind w:firstLine="360"/>
    </w:pPr>
  </w:style>
  <w:style w:type="character" w:customStyle="1" w:styleId="BodyTextFirstIndent2Char">
    <w:name w:val="Body Text First Indent 2 Char"/>
    <w:basedOn w:val="BodyTextIndentChar"/>
    <w:link w:val="BodyTextFirstIndent2"/>
    <w:semiHidden/>
    <w:rsid w:val="002D433E"/>
    <w:rPr>
      <w:rFonts w:asciiTheme="minorHAnsi" w:hAnsiTheme="minorHAnsi"/>
      <w:sz w:val="24"/>
    </w:rPr>
  </w:style>
  <w:style w:type="paragraph" w:styleId="BodyTextIndent2">
    <w:name w:val="Body Text Indent 2"/>
    <w:basedOn w:val="Normal"/>
    <w:link w:val="BodyTextIndent2Char"/>
    <w:semiHidden/>
    <w:unhideWhenUsed/>
    <w:rsid w:val="002D433E"/>
    <w:pPr>
      <w:spacing w:after="120" w:line="480" w:lineRule="auto"/>
      <w:ind w:left="360"/>
    </w:pPr>
  </w:style>
  <w:style w:type="character" w:customStyle="1" w:styleId="BodyTextIndent2Char">
    <w:name w:val="Body Text Indent 2 Char"/>
    <w:basedOn w:val="DefaultParagraphFont"/>
    <w:link w:val="BodyTextIndent2"/>
    <w:semiHidden/>
    <w:rsid w:val="002D433E"/>
    <w:rPr>
      <w:rFonts w:asciiTheme="minorHAnsi" w:hAnsiTheme="minorHAnsi"/>
      <w:sz w:val="24"/>
    </w:rPr>
  </w:style>
  <w:style w:type="paragraph" w:styleId="BodyTextIndent3">
    <w:name w:val="Body Text Indent 3"/>
    <w:basedOn w:val="Normal"/>
    <w:link w:val="BodyTextIndent3Char"/>
    <w:semiHidden/>
    <w:unhideWhenUsed/>
    <w:rsid w:val="002D433E"/>
    <w:pPr>
      <w:spacing w:after="120"/>
      <w:ind w:left="360"/>
    </w:pPr>
    <w:rPr>
      <w:sz w:val="16"/>
      <w:szCs w:val="16"/>
    </w:rPr>
  </w:style>
  <w:style w:type="character" w:customStyle="1" w:styleId="BodyTextIndent3Char">
    <w:name w:val="Body Text Indent 3 Char"/>
    <w:basedOn w:val="DefaultParagraphFont"/>
    <w:link w:val="BodyTextIndent3"/>
    <w:semiHidden/>
    <w:rsid w:val="002D433E"/>
    <w:rPr>
      <w:rFonts w:asciiTheme="minorHAnsi" w:hAnsiTheme="minorHAnsi"/>
      <w:sz w:val="16"/>
      <w:szCs w:val="16"/>
    </w:rPr>
  </w:style>
  <w:style w:type="paragraph" w:styleId="Closing">
    <w:name w:val="Closing"/>
    <w:basedOn w:val="Normal"/>
    <w:link w:val="ClosingChar"/>
    <w:semiHidden/>
    <w:unhideWhenUsed/>
    <w:rsid w:val="002D433E"/>
    <w:pPr>
      <w:spacing w:after="0"/>
      <w:ind w:left="4320"/>
    </w:pPr>
  </w:style>
  <w:style w:type="character" w:customStyle="1" w:styleId="ClosingChar">
    <w:name w:val="Closing Char"/>
    <w:basedOn w:val="DefaultParagraphFont"/>
    <w:link w:val="Closing"/>
    <w:semiHidden/>
    <w:rsid w:val="002D433E"/>
    <w:rPr>
      <w:rFonts w:asciiTheme="minorHAnsi" w:hAnsiTheme="minorHAnsi"/>
      <w:sz w:val="24"/>
    </w:rPr>
  </w:style>
  <w:style w:type="paragraph" w:styleId="CommentText">
    <w:name w:val="annotation text"/>
    <w:basedOn w:val="Normal"/>
    <w:link w:val="CommentTextChar"/>
    <w:unhideWhenUsed/>
    <w:rsid w:val="002D433E"/>
    <w:rPr>
      <w:sz w:val="20"/>
    </w:rPr>
  </w:style>
  <w:style w:type="character" w:customStyle="1" w:styleId="CommentTextChar">
    <w:name w:val="Comment Text Char"/>
    <w:basedOn w:val="DefaultParagraphFont"/>
    <w:link w:val="CommentText"/>
    <w:rsid w:val="002D433E"/>
    <w:rPr>
      <w:rFonts w:asciiTheme="minorHAnsi" w:hAnsiTheme="minorHAnsi"/>
    </w:rPr>
  </w:style>
  <w:style w:type="paragraph" w:styleId="CommentSubject">
    <w:name w:val="annotation subject"/>
    <w:basedOn w:val="CommentText"/>
    <w:next w:val="CommentText"/>
    <w:link w:val="CommentSubjectChar"/>
    <w:semiHidden/>
    <w:unhideWhenUsed/>
    <w:rsid w:val="002D433E"/>
    <w:rPr>
      <w:b/>
      <w:bCs/>
    </w:rPr>
  </w:style>
  <w:style w:type="character" w:customStyle="1" w:styleId="CommentSubjectChar">
    <w:name w:val="Comment Subject Char"/>
    <w:basedOn w:val="CommentTextChar"/>
    <w:link w:val="CommentSubject"/>
    <w:semiHidden/>
    <w:rsid w:val="002D433E"/>
    <w:rPr>
      <w:rFonts w:asciiTheme="minorHAnsi" w:hAnsiTheme="minorHAnsi"/>
      <w:b/>
      <w:bCs/>
    </w:rPr>
  </w:style>
  <w:style w:type="paragraph" w:styleId="Date">
    <w:name w:val="Date"/>
    <w:basedOn w:val="Normal"/>
    <w:next w:val="Normal"/>
    <w:link w:val="DateChar"/>
    <w:rsid w:val="002D433E"/>
  </w:style>
  <w:style w:type="character" w:customStyle="1" w:styleId="DateChar">
    <w:name w:val="Date Char"/>
    <w:basedOn w:val="DefaultParagraphFont"/>
    <w:link w:val="Date"/>
    <w:rsid w:val="002D433E"/>
    <w:rPr>
      <w:rFonts w:asciiTheme="minorHAnsi" w:hAnsiTheme="minorHAnsi"/>
      <w:sz w:val="24"/>
    </w:rPr>
  </w:style>
  <w:style w:type="paragraph" w:styleId="DocumentMap">
    <w:name w:val="Document Map"/>
    <w:basedOn w:val="Normal"/>
    <w:link w:val="DocumentMapChar"/>
    <w:semiHidden/>
    <w:unhideWhenUsed/>
    <w:rsid w:val="002D433E"/>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2D433E"/>
    <w:rPr>
      <w:rFonts w:ascii="Segoe UI" w:hAnsi="Segoe UI" w:cs="Segoe UI"/>
      <w:sz w:val="16"/>
      <w:szCs w:val="16"/>
    </w:rPr>
  </w:style>
  <w:style w:type="paragraph" w:styleId="E-mailSignature">
    <w:name w:val="E-mail Signature"/>
    <w:basedOn w:val="Normal"/>
    <w:link w:val="E-mailSignatureChar"/>
    <w:semiHidden/>
    <w:unhideWhenUsed/>
    <w:rsid w:val="002D433E"/>
    <w:pPr>
      <w:spacing w:after="0"/>
    </w:pPr>
  </w:style>
  <w:style w:type="character" w:customStyle="1" w:styleId="E-mailSignatureChar">
    <w:name w:val="E-mail Signature Char"/>
    <w:basedOn w:val="DefaultParagraphFont"/>
    <w:link w:val="E-mailSignature"/>
    <w:semiHidden/>
    <w:rsid w:val="002D433E"/>
    <w:rPr>
      <w:rFonts w:asciiTheme="minorHAnsi" w:hAnsiTheme="minorHAnsi"/>
      <w:sz w:val="24"/>
    </w:rPr>
  </w:style>
  <w:style w:type="paragraph" w:styleId="EndnoteText">
    <w:name w:val="endnote text"/>
    <w:basedOn w:val="Normal"/>
    <w:link w:val="EndnoteTextChar"/>
    <w:semiHidden/>
    <w:unhideWhenUsed/>
    <w:rsid w:val="002D433E"/>
    <w:pPr>
      <w:spacing w:after="0"/>
    </w:pPr>
    <w:rPr>
      <w:sz w:val="20"/>
    </w:rPr>
  </w:style>
  <w:style w:type="character" w:customStyle="1" w:styleId="EndnoteTextChar">
    <w:name w:val="Endnote Text Char"/>
    <w:basedOn w:val="DefaultParagraphFont"/>
    <w:link w:val="EndnoteText"/>
    <w:semiHidden/>
    <w:rsid w:val="002D433E"/>
    <w:rPr>
      <w:rFonts w:asciiTheme="minorHAnsi" w:hAnsiTheme="minorHAnsi"/>
    </w:rPr>
  </w:style>
  <w:style w:type="paragraph" w:styleId="EnvelopeAddress">
    <w:name w:val="envelope address"/>
    <w:basedOn w:val="Normal"/>
    <w:semiHidden/>
    <w:unhideWhenUsed/>
    <w:rsid w:val="002D433E"/>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2D433E"/>
    <w:pPr>
      <w:spacing w:after="0"/>
    </w:pPr>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FF13EB"/>
    <w:pPr>
      <w:spacing w:after="80"/>
    </w:pPr>
    <w:rPr>
      <w:sz w:val="20"/>
    </w:rPr>
  </w:style>
  <w:style w:type="character" w:customStyle="1" w:styleId="FootnoteTextChar">
    <w:name w:val="Footnote Text Char"/>
    <w:basedOn w:val="DefaultParagraphFont"/>
    <w:link w:val="FootnoteText"/>
    <w:semiHidden/>
    <w:rsid w:val="00FF13EB"/>
    <w:rPr>
      <w:rFonts w:asciiTheme="minorHAnsi" w:hAnsiTheme="minorHAnsi"/>
    </w:rPr>
  </w:style>
  <w:style w:type="character" w:customStyle="1" w:styleId="Heading9Char">
    <w:name w:val="Heading 9 Char"/>
    <w:basedOn w:val="DefaultParagraphFont"/>
    <w:link w:val="Heading9"/>
    <w:semiHidden/>
    <w:rsid w:val="002D433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2D433E"/>
    <w:pPr>
      <w:spacing w:after="0"/>
    </w:pPr>
    <w:rPr>
      <w:i/>
      <w:iCs/>
    </w:rPr>
  </w:style>
  <w:style w:type="character" w:customStyle="1" w:styleId="HTMLAddressChar">
    <w:name w:val="HTML Address Char"/>
    <w:basedOn w:val="DefaultParagraphFont"/>
    <w:link w:val="HTMLAddress"/>
    <w:semiHidden/>
    <w:rsid w:val="002D433E"/>
    <w:rPr>
      <w:rFonts w:asciiTheme="minorHAnsi" w:hAnsiTheme="minorHAnsi"/>
      <w:i/>
      <w:iCs/>
      <w:sz w:val="24"/>
    </w:rPr>
  </w:style>
  <w:style w:type="paragraph" w:styleId="HTMLPreformatted">
    <w:name w:val="HTML Preformatted"/>
    <w:basedOn w:val="Normal"/>
    <w:link w:val="HTMLPreformattedChar"/>
    <w:semiHidden/>
    <w:unhideWhenUsed/>
    <w:rsid w:val="002D433E"/>
    <w:pPr>
      <w:spacing w:after="0"/>
    </w:pPr>
    <w:rPr>
      <w:rFonts w:ascii="Consolas" w:hAnsi="Consolas"/>
      <w:sz w:val="20"/>
    </w:rPr>
  </w:style>
  <w:style w:type="character" w:customStyle="1" w:styleId="HTMLPreformattedChar">
    <w:name w:val="HTML Preformatted Char"/>
    <w:basedOn w:val="DefaultParagraphFont"/>
    <w:link w:val="HTMLPreformatted"/>
    <w:semiHidden/>
    <w:rsid w:val="002D433E"/>
    <w:rPr>
      <w:rFonts w:ascii="Consolas" w:hAnsi="Consolas"/>
    </w:rPr>
  </w:style>
  <w:style w:type="paragraph" w:styleId="Index1">
    <w:name w:val="index 1"/>
    <w:basedOn w:val="Normal"/>
    <w:next w:val="Normal"/>
    <w:autoRedefine/>
    <w:semiHidden/>
    <w:unhideWhenUsed/>
    <w:rsid w:val="002D433E"/>
    <w:pPr>
      <w:spacing w:after="0"/>
      <w:ind w:left="240" w:hanging="240"/>
    </w:pPr>
  </w:style>
  <w:style w:type="paragraph" w:styleId="Index2">
    <w:name w:val="index 2"/>
    <w:basedOn w:val="Normal"/>
    <w:next w:val="Normal"/>
    <w:autoRedefine/>
    <w:semiHidden/>
    <w:unhideWhenUsed/>
    <w:rsid w:val="002D433E"/>
    <w:pPr>
      <w:spacing w:after="0"/>
      <w:ind w:left="480" w:hanging="240"/>
    </w:pPr>
  </w:style>
  <w:style w:type="paragraph" w:styleId="Index3">
    <w:name w:val="index 3"/>
    <w:basedOn w:val="Normal"/>
    <w:next w:val="Normal"/>
    <w:autoRedefine/>
    <w:semiHidden/>
    <w:unhideWhenUsed/>
    <w:rsid w:val="002D433E"/>
    <w:pPr>
      <w:spacing w:after="0"/>
      <w:ind w:left="720" w:hanging="240"/>
    </w:pPr>
  </w:style>
  <w:style w:type="paragraph" w:styleId="Index4">
    <w:name w:val="index 4"/>
    <w:basedOn w:val="Normal"/>
    <w:next w:val="Normal"/>
    <w:autoRedefine/>
    <w:semiHidden/>
    <w:unhideWhenUsed/>
    <w:rsid w:val="002D433E"/>
    <w:pPr>
      <w:spacing w:after="0"/>
      <w:ind w:left="960" w:hanging="240"/>
    </w:pPr>
  </w:style>
  <w:style w:type="paragraph" w:styleId="Index5">
    <w:name w:val="index 5"/>
    <w:basedOn w:val="Normal"/>
    <w:next w:val="Normal"/>
    <w:autoRedefine/>
    <w:semiHidden/>
    <w:unhideWhenUsed/>
    <w:rsid w:val="002D433E"/>
    <w:pPr>
      <w:spacing w:after="0"/>
      <w:ind w:left="1200" w:hanging="240"/>
    </w:pPr>
  </w:style>
  <w:style w:type="paragraph" w:styleId="Index6">
    <w:name w:val="index 6"/>
    <w:basedOn w:val="Normal"/>
    <w:next w:val="Normal"/>
    <w:autoRedefine/>
    <w:semiHidden/>
    <w:unhideWhenUsed/>
    <w:rsid w:val="002D433E"/>
    <w:pPr>
      <w:spacing w:after="0"/>
      <w:ind w:left="1440" w:hanging="240"/>
    </w:pPr>
  </w:style>
  <w:style w:type="paragraph" w:styleId="Index7">
    <w:name w:val="index 7"/>
    <w:basedOn w:val="Normal"/>
    <w:next w:val="Normal"/>
    <w:autoRedefine/>
    <w:semiHidden/>
    <w:unhideWhenUsed/>
    <w:rsid w:val="002D433E"/>
    <w:pPr>
      <w:spacing w:after="0"/>
      <w:ind w:left="1680" w:hanging="240"/>
    </w:pPr>
  </w:style>
  <w:style w:type="paragraph" w:styleId="Index8">
    <w:name w:val="index 8"/>
    <w:basedOn w:val="Normal"/>
    <w:next w:val="Normal"/>
    <w:autoRedefine/>
    <w:semiHidden/>
    <w:unhideWhenUsed/>
    <w:rsid w:val="002D433E"/>
    <w:pPr>
      <w:spacing w:after="0"/>
      <w:ind w:left="1920" w:hanging="240"/>
    </w:pPr>
  </w:style>
  <w:style w:type="paragraph" w:styleId="Index9">
    <w:name w:val="index 9"/>
    <w:basedOn w:val="Normal"/>
    <w:next w:val="Normal"/>
    <w:autoRedefine/>
    <w:semiHidden/>
    <w:unhideWhenUsed/>
    <w:rsid w:val="002D433E"/>
    <w:pPr>
      <w:spacing w:after="0"/>
      <w:ind w:left="2160" w:hanging="240"/>
    </w:pPr>
  </w:style>
  <w:style w:type="paragraph" w:styleId="IndexHeading">
    <w:name w:val="index heading"/>
    <w:basedOn w:val="Normal"/>
    <w:next w:val="Index1"/>
    <w:semiHidden/>
    <w:unhideWhenUsed/>
    <w:rsid w:val="002D433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D433E"/>
    <w:pPr>
      <w:pBdr>
        <w:top w:val="single" w:sz="4" w:space="10" w:color="001489" w:themeColor="accent1"/>
        <w:bottom w:val="single" w:sz="4" w:space="10" w:color="001489" w:themeColor="accent1"/>
      </w:pBdr>
      <w:spacing w:before="360" w:after="360"/>
      <w:ind w:left="864" w:right="864"/>
      <w:jc w:val="center"/>
    </w:pPr>
    <w:rPr>
      <w:i/>
      <w:iCs/>
      <w:color w:val="001489" w:themeColor="accent1"/>
    </w:rPr>
  </w:style>
  <w:style w:type="character" w:customStyle="1" w:styleId="IntenseQuoteChar">
    <w:name w:val="Intense Quote Char"/>
    <w:basedOn w:val="DefaultParagraphFont"/>
    <w:link w:val="IntenseQuote"/>
    <w:uiPriority w:val="30"/>
    <w:rsid w:val="002D433E"/>
    <w:rPr>
      <w:rFonts w:asciiTheme="minorHAnsi" w:hAnsiTheme="minorHAnsi"/>
      <w:i/>
      <w:iCs/>
      <w:color w:val="001489" w:themeColor="accent1"/>
      <w:sz w:val="24"/>
    </w:rPr>
  </w:style>
  <w:style w:type="paragraph" w:styleId="List">
    <w:name w:val="List"/>
    <w:basedOn w:val="Normal"/>
    <w:semiHidden/>
    <w:unhideWhenUsed/>
    <w:rsid w:val="002D433E"/>
    <w:pPr>
      <w:ind w:left="360" w:hanging="360"/>
      <w:contextualSpacing/>
    </w:pPr>
  </w:style>
  <w:style w:type="paragraph" w:styleId="List2">
    <w:name w:val="List 2"/>
    <w:basedOn w:val="Normal"/>
    <w:semiHidden/>
    <w:unhideWhenUsed/>
    <w:rsid w:val="002D433E"/>
    <w:pPr>
      <w:ind w:left="720" w:hanging="360"/>
      <w:contextualSpacing/>
    </w:pPr>
  </w:style>
  <w:style w:type="paragraph" w:styleId="List3">
    <w:name w:val="List 3"/>
    <w:basedOn w:val="Normal"/>
    <w:semiHidden/>
    <w:unhideWhenUsed/>
    <w:rsid w:val="002D433E"/>
    <w:pPr>
      <w:ind w:left="1080" w:hanging="360"/>
      <w:contextualSpacing/>
    </w:pPr>
  </w:style>
  <w:style w:type="paragraph" w:styleId="List4">
    <w:name w:val="List 4"/>
    <w:basedOn w:val="Normal"/>
    <w:rsid w:val="002D433E"/>
    <w:pPr>
      <w:ind w:left="1440" w:hanging="360"/>
      <w:contextualSpacing/>
    </w:pPr>
  </w:style>
  <w:style w:type="paragraph" w:styleId="List5">
    <w:name w:val="List 5"/>
    <w:basedOn w:val="Normal"/>
    <w:rsid w:val="002D433E"/>
    <w:pPr>
      <w:ind w:left="1800" w:hanging="360"/>
      <w:contextualSpacing/>
    </w:pPr>
  </w:style>
  <w:style w:type="paragraph" w:styleId="ListBullet">
    <w:name w:val="List Bullet"/>
    <w:basedOn w:val="Normal"/>
    <w:semiHidden/>
    <w:unhideWhenUsed/>
    <w:rsid w:val="002D433E"/>
    <w:pPr>
      <w:numPr>
        <w:numId w:val="11"/>
      </w:numPr>
      <w:contextualSpacing/>
    </w:pPr>
  </w:style>
  <w:style w:type="paragraph" w:styleId="ListBullet3">
    <w:name w:val="List Bullet 3"/>
    <w:basedOn w:val="Normal"/>
    <w:semiHidden/>
    <w:unhideWhenUsed/>
    <w:rsid w:val="002D433E"/>
    <w:pPr>
      <w:numPr>
        <w:numId w:val="12"/>
      </w:numPr>
      <w:contextualSpacing/>
    </w:pPr>
  </w:style>
  <w:style w:type="paragraph" w:styleId="ListBullet4">
    <w:name w:val="List Bullet 4"/>
    <w:basedOn w:val="Normal"/>
    <w:semiHidden/>
    <w:unhideWhenUsed/>
    <w:rsid w:val="002D433E"/>
    <w:pPr>
      <w:numPr>
        <w:numId w:val="13"/>
      </w:numPr>
      <w:contextualSpacing/>
    </w:pPr>
  </w:style>
  <w:style w:type="paragraph" w:styleId="ListBullet5">
    <w:name w:val="List Bullet 5"/>
    <w:basedOn w:val="Normal"/>
    <w:semiHidden/>
    <w:unhideWhenUsed/>
    <w:rsid w:val="002D433E"/>
    <w:pPr>
      <w:numPr>
        <w:numId w:val="14"/>
      </w:numPr>
      <w:contextualSpacing/>
    </w:pPr>
  </w:style>
  <w:style w:type="paragraph" w:styleId="ListContinue">
    <w:name w:val="List Continue"/>
    <w:basedOn w:val="Normal"/>
    <w:semiHidden/>
    <w:unhideWhenUsed/>
    <w:rsid w:val="002D433E"/>
    <w:pPr>
      <w:spacing w:after="120"/>
      <w:ind w:left="360"/>
      <w:contextualSpacing/>
    </w:pPr>
  </w:style>
  <w:style w:type="paragraph" w:styleId="ListContinue2">
    <w:name w:val="List Continue 2"/>
    <w:basedOn w:val="Normal"/>
    <w:semiHidden/>
    <w:unhideWhenUsed/>
    <w:rsid w:val="002D433E"/>
    <w:pPr>
      <w:spacing w:after="120"/>
      <w:ind w:left="720"/>
      <w:contextualSpacing/>
    </w:pPr>
  </w:style>
  <w:style w:type="paragraph" w:styleId="ListContinue3">
    <w:name w:val="List Continue 3"/>
    <w:basedOn w:val="Normal"/>
    <w:semiHidden/>
    <w:unhideWhenUsed/>
    <w:rsid w:val="002D433E"/>
    <w:pPr>
      <w:spacing w:after="120"/>
      <w:ind w:left="1080"/>
      <w:contextualSpacing/>
    </w:pPr>
  </w:style>
  <w:style w:type="paragraph" w:styleId="ListContinue4">
    <w:name w:val="List Continue 4"/>
    <w:basedOn w:val="Normal"/>
    <w:semiHidden/>
    <w:unhideWhenUsed/>
    <w:rsid w:val="002D433E"/>
    <w:pPr>
      <w:spacing w:after="120"/>
      <w:ind w:left="1440"/>
      <w:contextualSpacing/>
    </w:pPr>
  </w:style>
  <w:style w:type="paragraph" w:styleId="ListContinue5">
    <w:name w:val="List Continue 5"/>
    <w:basedOn w:val="Normal"/>
    <w:semiHidden/>
    <w:unhideWhenUsed/>
    <w:rsid w:val="002D433E"/>
    <w:pPr>
      <w:spacing w:after="120"/>
      <w:ind w:left="1800"/>
      <w:contextualSpacing/>
    </w:pPr>
  </w:style>
  <w:style w:type="paragraph" w:styleId="ListNumber2">
    <w:name w:val="List Number 2"/>
    <w:basedOn w:val="Normal"/>
    <w:semiHidden/>
    <w:unhideWhenUsed/>
    <w:rsid w:val="002D433E"/>
    <w:pPr>
      <w:numPr>
        <w:numId w:val="15"/>
      </w:numPr>
      <w:contextualSpacing/>
    </w:pPr>
  </w:style>
  <w:style w:type="paragraph" w:styleId="ListNumber3">
    <w:name w:val="List Number 3"/>
    <w:basedOn w:val="Normal"/>
    <w:semiHidden/>
    <w:unhideWhenUsed/>
    <w:rsid w:val="002D433E"/>
    <w:pPr>
      <w:numPr>
        <w:numId w:val="16"/>
      </w:numPr>
      <w:contextualSpacing/>
    </w:pPr>
  </w:style>
  <w:style w:type="paragraph" w:styleId="ListNumber4">
    <w:name w:val="List Number 4"/>
    <w:basedOn w:val="Normal"/>
    <w:semiHidden/>
    <w:unhideWhenUsed/>
    <w:rsid w:val="002D433E"/>
    <w:pPr>
      <w:numPr>
        <w:numId w:val="17"/>
      </w:numPr>
      <w:contextualSpacing/>
    </w:pPr>
  </w:style>
  <w:style w:type="paragraph" w:styleId="ListNumber5">
    <w:name w:val="List Number 5"/>
    <w:basedOn w:val="Normal"/>
    <w:semiHidden/>
    <w:unhideWhenUsed/>
    <w:rsid w:val="002D433E"/>
    <w:pPr>
      <w:numPr>
        <w:numId w:val="18"/>
      </w:numPr>
      <w:contextualSpacing/>
    </w:pPr>
  </w:style>
  <w:style w:type="paragraph" w:styleId="MacroText">
    <w:name w:val="macro"/>
    <w:link w:val="MacroTextChar"/>
    <w:semiHidden/>
    <w:unhideWhenUsed/>
    <w:rsid w:val="002D433E"/>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semiHidden/>
    <w:rsid w:val="002D433E"/>
    <w:rPr>
      <w:rFonts w:ascii="Consolas" w:hAnsi="Consolas"/>
    </w:rPr>
  </w:style>
  <w:style w:type="paragraph" w:styleId="MessageHeader">
    <w:name w:val="Message Header"/>
    <w:basedOn w:val="Normal"/>
    <w:link w:val="MessageHeaderChar"/>
    <w:semiHidden/>
    <w:unhideWhenUsed/>
    <w:rsid w:val="002D433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2D433E"/>
    <w:rPr>
      <w:rFonts w:asciiTheme="majorHAnsi" w:eastAsiaTheme="majorEastAsia" w:hAnsiTheme="majorHAnsi" w:cstheme="majorBidi"/>
      <w:sz w:val="24"/>
      <w:szCs w:val="24"/>
      <w:shd w:val="pct20" w:color="auto" w:fill="auto"/>
    </w:rPr>
  </w:style>
  <w:style w:type="paragraph" w:styleId="NoSpacing">
    <w:name w:val="No Spacing"/>
    <w:uiPriority w:val="1"/>
    <w:qFormat/>
    <w:rsid w:val="00BF0627"/>
    <w:pPr>
      <w:jc w:val="both"/>
    </w:pPr>
    <w:rPr>
      <w:rFonts w:asciiTheme="minorHAnsi" w:hAnsiTheme="minorHAnsi"/>
      <w:sz w:val="22"/>
    </w:rPr>
  </w:style>
  <w:style w:type="paragraph" w:styleId="NormalWeb">
    <w:name w:val="Normal (Web)"/>
    <w:basedOn w:val="Normal"/>
    <w:semiHidden/>
    <w:unhideWhenUsed/>
    <w:rsid w:val="002D433E"/>
    <w:rPr>
      <w:rFonts w:ascii="Times New Roman" w:hAnsi="Times New Roman"/>
      <w:szCs w:val="24"/>
    </w:rPr>
  </w:style>
  <w:style w:type="paragraph" w:styleId="NormalIndent">
    <w:name w:val="Normal Indent"/>
    <w:basedOn w:val="Normal"/>
    <w:semiHidden/>
    <w:unhideWhenUsed/>
    <w:rsid w:val="002D433E"/>
    <w:pPr>
      <w:ind w:left="720"/>
    </w:pPr>
  </w:style>
  <w:style w:type="paragraph" w:styleId="NoteHeading">
    <w:name w:val="Note Heading"/>
    <w:basedOn w:val="Normal"/>
    <w:next w:val="Normal"/>
    <w:link w:val="NoteHeadingChar"/>
    <w:semiHidden/>
    <w:unhideWhenUsed/>
    <w:rsid w:val="002D433E"/>
    <w:pPr>
      <w:spacing w:after="0"/>
    </w:pPr>
  </w:style>
  <w:style w:type="character" w:customStyle="1" w:styleId="NoteHeadingChar">
    <w:name w:val="Note Heading Char"/>
    <w:basedOn w:val="DefaultParagraphFont"/>
    <w:link w:val="NoteHeading"/>
    <w:semiHidden/>
    <w:rsid w:val="002D433E"/>
    <w:rPr>
      <w:rFonts w:asciiTheme="minorHAnsi" w:hAnsiTheme="minorHAnsi"/>
      <w:sz w:val="24"/>
    </w:rPr>
  </w:style>
  <w:style w:type="paragraph" w:styleId="PlainText">
    <w:name w:val="Plain Text"/>
    <w:basedOn w:val="Normal"/>
    <w:link w:val="PlainTextChar"/>
    <w:semiHidden/>
    <w:unhideWhenUsed/>
    <w:rsid w:val="002D433E"/>
    <w:pPr>
      <w:spacing w:after="0"/>
    </w:pPr>
    <w:rPr>
      <w:rFonts w:ascii="Consolas" w:hAnsi="Consolas"/>
      <w:sz w:val="21"/>
      <w:szCs w:val="21"/>
    </w:rPr>
  </w:style>
  <w:style w:type="character" w:customStyle="1" w:styleId="PlainTextChar">
    <w:name w:val="Plain Text Char"/>
    <w:basedOn w:val="DefaultParagraphFont"/>
    <w:link w:val="PlainText"/>
    <w:semiHidden/>
    <w:rsid w:val="002D433E"/>
    <w:rPr>
      <w:rFonts w:ascii="Consolas" w:hAnsi="Consolas"/>
      <w:sz w:val="21"/>
      <w:szCs w:val="21"/>
    </w:rPr>
  </w:style>
  <w:style w:type="paragraph" w:styleId="Quote">
    <w:name w:val="Quote"/>
    <w:basedOn w:val="Normal"/>
    <w:next w:val="Normal"/>
    <w:link w:val="QuoteChar"/>
    <w:uiPriority w:val="29"/>
    <w:qFormat/>
    <w:rsid w:val="002D433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D433E"/>
    <w:rPr>
      <w:rFonts w:asciiTheme="minorHAnsi" w:hAnsiTheme="minorHAnsi"/>
      <w:i/>
      <w:iCs/>
      <w:color w:val="404040" w:themeColor="text1" w:themeTint="BF"/>
      <w:sz w:val="24"/>
    </w:rPr>
  </w:style>
  <w:style w:type="paragraph" w:styleId="Salutation">
    <w:name w:val="Salutation"/>
    <w:basedOn w:val="Normal"/>
    <w:next w:val="Normal"/>
    <w:link w:val="SalutationChar"/>
    <w:rsid w:val="002D433E"/>
  </w:style>
  <w:style w:type="character" w:customStyle="1" w:styleId="SalutationChar">
    <w:name w:val="Salutation Char"/>
    <w:basedOn w:val="DefaultParagraphFont"/>
    <w:link w:val="Salutation"/>
    <w:rsid w:val="002D433E"/>
    <w:rPr>
      <w:rFonts w:asciiTheme="minorHAnsi" w:hAnsiTheme="minorHAnsi"/>
      <w:sz w:val="24"/>
    </w:rPr>
  </w:style>
  <w:style w:type="paragraph" w:styleId="Signature">
    <w:name w:val="Signature"/>
    <w:basedOn w:val="Normal"/>
    <w:link w:val="SignatureChar"/>
    <w:semiHidden/>
    <w:unhideWhenUsed/>
    <w:rsid w:val="002D433E"/>
    <w:pPr>
      <w:spacing w:after="0"/>
      <w:ind w:left="4320"/>
    </w:pPr>
  </w:style>
  <w:style w:type="character" w:customStyle="1" w:styleId="SignatureChar">
    <w:name w:val="Signature Char"/>
    <w:basedOn w:val="DefaultParagraphFont"/>
    <w:link w:val="Signature"/>
    <w:semiHidden/>
    <w:rsid w:val="002D433E"/>
    <w:rPr>
      <w:rFonts w:asciiTheme="minorHAnsi" w:hAnsiTheme="minorHAnsi"/>
      <w:sz w:val="24"/>
    </w:rPr>
  </w:style>
  <w:style w:type="paragraph" w:styleId="Subtitle">
    <w:name w:val="Subtitle"/>
    <w:basedOn w:val="Normal"/>
    <w:next w:val="Normal"/>
    <w:link w:val="SubtitleChar"/>
    <w:qFormat/>
    <w:rsid w:val="002D433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2D433E"/>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2D433E"/>
    <w:pPr>
      <w:spacing w:after="0"/>
      <w:ind w:left="240" w:hanging="240"/>
    </w:pPr>
  </w:style>
  <w:style w:type="paragraph" w:styleId="TableofFigures">
    <w:name w:val="table of figures"/>
    <w:basedOn w:val="Normal"/>
    <w:next w:val="Normal"/>
    <w:semiHidden/>
    <w:unhideWhenUsed/>
    <w:rsid w:val="002D433E"/>
    <w:pPr>
      <w:spacing w:after="0"/>
    </w:pPr>
  </w:style>
  <w:style w:type="paragraph" w:styleId="TOAHeading">
    <w:name w:val="toa heading"/>
    <w:basedOn w:val="Normal"/>
    <w:next w:val="Normal"/>
    <w:semiHidden/>
    <w:unhideWhenUsed/>
    <w:rsid w:val="002D433E"/>
    <w:pPr>
      <w:spacing w:before="120"/>
    </w:pPr>
    <w:rPr>
      <w:rFonts w:asciiTheme="majorHAnsi" w:eastAsiaTheme="majorEastAsia" w:hAnsiTheme="majorHAnsi" w:cstheme="majorBidi"/>
      <w:b/>
      <w:bCs/>
      <w:szCs w:val="24"/>
    </w:rPr>
  </w:style>
  <w:style w:type="paragraph" w:styleId="TOC7">
    <w:name w:val="toc 7"/>
    <w:basedOn w:val="Normal"/>
    <w:next w:val="Normal"/>
    <w:autoRedefine/>
    <w:uiPriority w:val="39"/>
    <w:unhideWhenUsed/>
    <w:rsid w:val="002D433E"/>
    <w:pPr>
      <w:spacing w:after="100"/>
      <w:ind w:left="1440"/>
    </w:pPr>
  </w:style>
  <w:style w:type="paragraph" w:styleId="TOC8">
    <w:name w:val="toc 8"/>
    <w:basedOn w:val="Normal"/>
    <w:next w:val="Normal"/>
    <w:autoRedefine/>
    <w:uiPriority w:val="39"/>
    <w:unhideWhenUsed/>
    <w:rsid w:val="002D433E"/>
    <w:pPr>
      <w:spacing w:after="100"/>
      <w:ind w:left="1680"/>
    </w:pPr>
  </w:style>
  <w:style w:type="paragraph" w:styleId="TOC9">
    <w:name w:val="toc 9"/>
    <w:basedOn w:val="Normal"/>
    <w:next w:val="Normal"/>
    <w:autoRedefine/>
    <w:uiPriority w:val="39"/>
    <w:unhideWhenUsed/>
    <w:rsid w:val="002D433E"/>
    <w:pPr>
      <w:spacing w:after="100"/>
      <w:ind w:left="1920"/>
    </w:pPr>
  </w:style>
  <w:style w:type="paragraph" w:styleId="TOCHeading">
    <w:name w:val="TOC Heading"/>
    <w:basedOn w:val="Heading1"/>
    <w:next w:val="Normal"/>
    <w:uiPriority w:val="39"/>
    <w:unhideWhenUsed/>
    <w:rsid w:val="002D433E"/>
    <w:pPr>
      <w:keepLines/>
      <w:numPr>
        <w:numId w:val="0"/>
      </w:numPr>
      <w:jc w:val="both"/>
      <w:outlineLvl w:val="9"/>
    </w:pPr>
    <w:rPr>
      <w:rFonts w:asciiTheme="majorHAnsi" w:eastAsiaTheme="majorEastAsia" w:hAnsiTheme="majorHAnsi" w:cstheme="majorBidi"/>
      <w:b w:val="0"/>
      <w:caps w:val="0"/>
      <w:color w:val="000E66" w:themeColor="accent1" w:themeShade="BF"/>
      <w:kern w:val="0"/>
      <w:szCs w:val="32"/>
    </w:rPr>
  </w:style>
  <w:style w:type="character" w:styleId="CommentReference">
    <w:name w:val="annotation reference"/>
    <w:basedOn w:val="DefaultParagraphFont"/>
    <w:semiHidden/>
    <w:unhideWhenUsed/>
    <w:rsid w:val="00E63F2C"/>
    <w:rPr>
      <w:sz w:val="16"/>
      <w:szCs w:val="16"/>
    </w:rPr>
  </w:style>
  <w:style w:type="character" w:customStyle="1" w:styleId="FooterChar">
    <w:name w:val="Footer Char"/>
    <w:basedOn w:val="DefaultParagraphFont"/>
    <w:link w:val="Footer"/>
    <w:rsid w:val="0026612A"/>
    <w:rPr>
      <w:rFonts w:asciiTheme="minorHAnsi" w:hAnsiTheme="minorHAnsi"/>
      <w:sz w:val="16"/>
    </w:rPr>
  </w:style>
  <w:style w:type="table" w:customStyle="1" w:styleId="Style1">
    <w:name w:val="Style1"/>
    <w:basedOn w:val="TableNormal"/>
    <w:uiPriority w:val="99"/>
    <w:rsid w:val="00E00177"/>
    <w:pPr>
      <w:jc w:val="center"/>
    </w:pPr>
    <w:tblPr>
      <w:tblBorders>
        <w:top w:val="single" w:sz="4" w:space="0" w:color="5B6770" w:themeColor="accent6"/>
        <w:left w:val="single" w:sz="4" w:space="0" w:color="5B6770" w:themeColor="accent6"/>
        <w:bottom w:val="single" w:sz="4" w:space="0" w:color="5B6770" w:themeColor="accent6"/>
        <w:right w:val="single" w:sz="4" w:space="0" w:color="5B6770" w:themeColor="accent6"/>
        <w:insideH w:val="single" w:sz="4" w:space="0" w:color="5B6770" w:themeColor="accent6"/>
        <w:insideV w:val="single" w:sz="4" w:space="0" w:color="5B6770" w:themeColor="accent6"/>
      </w:tblBorders>
    </w:tblPr>
    <w:tcPr>
      <w:vAlign w:val="center"/>
    </w:tcPr>
  </w:style>
  <w:style w:type="paragraph" w:customStyle="1" w:styleId="Appendixsubtext">
    <w:name w:val="Appendix_sub_text"/>
    <w:basedOn w:val="Normal"/>
    <w:qFormat/>
    <w:rsid w:val="00AD618E"/>
    <w:pPr>
      <w:jc w:val="right"/>
    </w:pPr>
    <w:rPr>
      <w:color w:val="001489" w:themeColor="accent1"/>
      <w:sz w:val="32"/>
      <w:szCs w:val="32"/>
    </w:rPr>
  </w:style>
  <w:style w:type="paragraph" w:customStyle="1" w:styleId="CoverReportTitle">
    <w:name w:val="Cover Report Title"/>
    <w:basedOn w:val="Normal"/>
    <w:qFormat/>
    <w:rsid w:val="00EE5D49"/>
    <w:pPr>
      <w:spacing w:after="0"/>
      <w:jc w:val="right"/>
    </w:pPr>
    <w:rPr>
      <w:rFonts w:cstheme="minorHAnsi"/>
      <w:b/>
      <w:color w:val="001489" w:themeColor="accent1"/>
      <w:sz w:val="44"/>
      <w:szCs w:val="44"/>
    </w:rPr>
  </w:style>
  <w:style w:type="paragraph" w:customStyle="1" w:styleId="Preparedforby">
    <w:name w:val="Prepared for_by"/>
    <w:basedOn w:val="Normal"/>
    <w:qFormat/>
    <w:rsid w:val="00661B4C"/>
    <w:pPr>
      <w:spacing w:after="0"/>
      <w:jc w:val="right"/>
    </w:pPr>
    <w:rPr>
      <w:rFonts w:cstheme="minorHAnsi"/>
      <w:b/>
      <w:caps/>
      <w:spacing w:val="20"/>
      <w:szCs w:val="24"/>
    </w:rPr>
  </w:style>
  <w:style w:type="paragraph" w:customStyle="1" w:styleId="CoverClientName">
    <w:name w:val="Cover Client Name"/>
    <w:basedOn w:val="Normal"/>
    <w:qFormat/>
    <w:rsid w:val="00661B4C"/>
    <w:pPr>
      <w:spacing w:after="0"/>
      <w:jc w:val="right"/>
    </w:pPr>
    <w:rPr>
      <w:rFonts w:cstheme="minorHAnsi"/>
      <w:color w:val="001489" w:themeColor="accent1"/>
      <w:sz w:val="36"/>
      <w:szCs w:val="44"/>
    </w:rPr>
  </w:style>
  <w:style w:type="paragraph" w:customStyle="1" w:styleId="SignaturePageReportandClient">
    <w:name w:val="Signature Page_Report and Client"/>
    <w:basedOn w:val="Normal"/>
    <w:qFormat/>
    <w:rsid w:val="009A16A0"/>
    <w:pPr>
      <w:spacing w:after="0"/>
      <w:jc w:val="center"/>
    </w:pPr>
    <w:rPr>
      <w:rFonts w:cstheme="minorHAnsi"/>
      <w:b/>
      <w:color w:val="001489" w:themeColor="accent1"/>
      <w:sz w:val="48"/>
      <w:szCs w:val="48"/>
    </w:rPr>
  </w:style>
  <w:style w:type="paragraph" w:customStyle="1" w:styleId="StyleNumberLeft0Firstline0">
    <w:name w:val="Style Number + Left:  0&quot; First line:  0&quot;"/>
    <w:basedOn w:val="Number"/>
    <w:rsid w:val="00BF0627"/>
    <w:pPr>
      <w:ind w:left="0" w:firstLine="0"/>
    </w:pPr>
  </w:style>
  <w:style w:type="paragraph" w:customStyle="1" w:styleId="StyleTableBodyCalibriBoldItalicText1Left017">
    <w:name w:val="Style Table + +Body (Calibri) Bold Italic Text 1 Left:  0.17&quot;"/>
    <w:basedOn w:val="Table"/>
    <w:rsid w:val="00DC62C6"/>
    <w:pPr>
      <w:ind w:left="245"/>
    </w:pPr>
    <w:rPr>
      <w:rFonts w:asciiTheme="minorHAnsi" w:hAnsiTheme="minorHAnsi"/>
      <w:b/>
      <w:bCs/>
      <w:i/>
      <w:iCs/>
      <w:color w:val="000000" w:themeColor="text1"/>
    </w:rPr>
  </w:style>
  <w:style w:type="character" w:customStyle="1" w:styleId="References">
    <w:name w:val="References"/>
    <w:basedOn w:val="DefaultParagraphFont"/>
    <w:rsid w:val="0026612A"/>
    <w:rPr>
      <w:rFonts w:ascii="Calibri" w:hAnsi="Calibri"/>
      <w:sz w:val="20"/>
    </w:rPr>
  </w:style>
  <w:style w:type="character" w:styleId="FootnoteReference">
    <w:name w:val="footnote reference"/>
    <w:basedOn w:val="DefaultParagraphFont"/>
    <w:semiHidden/>
    <w:unhideWhenUsed/>
    <w:rsid w:val="00FF13EB"/>
    <w:rPr>
      <w:vertAlign w:val="superscript"/>
    </w:rPr>
  </w:style>
  <w:style w:type="character" w:customStyle="1" w:styleId="fontstyle01">
    <w:name w:val="fontstyle01"/>
    <w:basedOn w:val="DefaultParagraphFont"/>
    <w:rsid w:val="00DB262F"/>
    <w:rPr>
      <w:rFonts w:ascii="Calibri" w:hAnsi="Calibri" w:cs="Calibri" w:hint="default"/>
      <w:b w:val="0"/>
      <w:bCs w:val="0"/>
      <w:i w:val="0"/>
      <w:iCs w:val="0"/>
      <w:color w:val="000000"/>
      <w:sz w:val="22"/>
      <w:szCs w:val="22"/>
    </w:rPr>
  </w:style>
  <w:style w:type="paragraph" w:styleId="Revision">
    <w:name w:val="Revision"/>
    <w:hidden/>
    <w:uiPriority w:val="99"/>
    <w:semiHidden/>
    <w:rsid w:val="002676B8"/>
    <w:rPr>
      <w:rFonts w:asciiTheme="minorHAnsi" w:hAnsiTheme="minorHAnsi"/>
      <w:sz w:val="22"/>
    </w:rPr>
  </w:style>
  <w:style w:type="character" w:styleId="UnresolvedMention">
    <w:name w:val="Unresolved Mention"/>
    <w:basedOn w:val="DefaultParagraphFont"/>
    <w:uiPriority w:val="99"/>
    <w:semiHidden/>
    <w:unhideWhenUsed/>
    <w:rsid w:val="006E3616"/>
    <w:rPr>
      <w:color w:val="605E5C"/>
      <w:shd w:val="clear" w:color="auto" w:fill="E1DFDD"/>
    </w:rPr>
  </w:style>
  <w:style w:type="paragraph" w:customStyle="1" w:styleId="paragraph">
    <w:name w:val="paragraph"/>
    <w:basedOn w:val="Normal"/>
    <w:rsid w:val="007E5A24"/>
    <w:pPr>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7E5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07432">
      <w:bodyDiv w:val="1"/>
      <w:marLeft w:val="0"/>
      <w:marRight w:val="0"/>
      <w:marTop w:val="0"/>
      <w:marBottom w:val="0"/>
      <w:divBdr>
        <w:top w:val="none" w:sz="0" w:space="0" w:color="auto"/>
        <w:left w:val="none" w:sz="0" w:space="0" w:color="auto"/>
        <w:bottom w:val="none" w:sz="0" w:space="0" w:color="auto"/>
        <w:right w:val="none" w:sz="0" w:space="0" w:color="auto"/>
      </w:divBdr>
    </w:div>
    <w:div w:id="217859374">
      <w:bodyDiv w:val="1"/>
      <w:marLeft w:val="0"/>
      <w:marRight w:val="0"/>
      <w:marTop w:val="0"/>
      <w:marBottom w:val="0"/>
      <w:divBdr>
        <w:top w:val="none" w:sz="0" w:space="0" w:color="auto"/>
        <w:left w:val="none" w:sz="0" w:space="0" w:color="auto"/>
        <w:bottom w:val="none" w:sz="0" w:space="0" w:color="auto"/>
        <w:right w:val="none" w:sz="0" w:space="0" w:color="auto"/>
      </w:divBdr>
    </w:div>
    <w:div w:id="298077071">
      <w:bodyDiv w:val="1"/>
      <w:marLeft w:val="0"/>
      <w:marRight w:val="0"/>
      <w:marTop w:val="0"/>
      <w:marBottom w:val="0"/>
      <w:divBdr>
        <w:top w:val="none" w:sz="0" w:space="0" w:color="auto"/>
        <w:left w:val="none" w:sz="0" w:space="0" w:color="auto"/>
        <w:bottom w:val="none" w:sz="0" w:space="0" w:color="auto"/>
        <w:right w:val="none" w:sz="0" w:space="0" w:color="auto"/>
      </w:divBdr>
    </w:div>
    <w:div w:id="708338818">
      <w:bodyDiv w:val="1"/>
      <w:marLeft w:val="0"/>
      <w:marRight w:val="0"/>
      <w:marTop w:val="0"/>
      <w:marBottom w:val="0"/>
      <w:divBdr>
        <w:top w:val="none" w:sz="0" w:space="0" w:color="auto"/>
        <w:left w:val="none" w:sz="0" w:space="0" w:color="auto"/>
        <w:bottom w:val="none" w:sz="0" w:space="0" w:color="auto"/>
        <w:right w:val="none" w:sz="0" w:space="0" w:color="auto"/>
      </w:divBdr>
    </w:div>
    <w:div w:id="1126122054">
      <w:bodyDiv w:val="1"/>
      <w:marLeft w:val="0"/>
      <w:marRight w:val="0"/>
      <w:marTop w:val="0"/>
      <w:marBottom w:val="0"/>
      <w:divBdr>
        <w:top w:val="none" w:sz="0" w:space="0" w:color="auto"/>
        <w:left w:val="none" w:sz="0" w:space="0" w:color="auto"/>
        <w:bottom w:val="none" w:sz="0" w:space="0" w:color="auto"/>
        <w:right w:val="none" w:sz="0" w:space="0" w:color="auto"/>
      </w:divBdr>
    </w:div>
    <w:div w:id="1468476587">
      <w:bodyDiv w:val="1"/>
      <w:marLeft w:val="0"/>
      <w:marRight w:val="0"/>
      <w:marTop w:val="0"/>
      <w:marBottom w:val="0"/>
      <w:divBdr>
        <w:top w:val="none" w:sz="0" w:space="0" w:color="auto"/>
        <w:left w:val="none" w:sz="0" w:space="0" w:color="auto"/>
        <w:bottom w:val="none" w:sz="0" w:space="0" w:color="auto"/>
        <w:right w:val="none" w:sz="0" w:space="0" w:color="auto"/>
      </w:divBdr>
      <w:divsChild>
        <w:div w:id="865873632">
          <w:marLeft w:val="0"/>
          <w:marRight w:val="0"/>
          <w:marTop w:val="0"/>
          <w:marBottom w:val="0"/>
          <w:divBdr>
            <w:top w:val="none" w:sz="0" w:space="0" w:color="auto"/>
            <w:left w:val="none" w:sz="0" w:space="0" w:color="auto"/>
            <w:bottom w:val="none" w:sz="0" w:space="0" w:color="auto"/>
            <w:right w:val="none" w:sz="0" w:space="0" w:color="auto"/>
          </w:divBdr>
        </w:div>
      </w:divsChild>
    </w:div>
    <w:div w:id="1527055877">
      <w:bodyDiv w:val="1"/>
      <w:marLeft w:val="0"/>
      <w:marRight w:val="0"/>
      <w:marTop w:val="0"/>
      <w:marBottom w:val="0"/>
      <w:divBdr>
        <w:top w:val="none" w:sz="0" w:space="0" w:color="auto"/>
        <w:left w:val="none" w:sz="0" w:space="0" w:color="auto"/>
        <w:bottom w:val="none" w:sz="0" w:space="0" w:color="auto"/>
        <w:right w:val="none" w:sz="0" w:space="0" w:color="auto"/>
      </w:divBdr>
    </w:div>
    <w:div w:id="1634407840">
      <w:bodyDiv w:val="1"/>
      <w:marLeft w:val="0"/>
      <w:marRight w:val="0"/>
      <w:marTop w:val="0"/>
      <w:marBottom w:val="0"/>
      <w:divBdr>
        <w:top w:val="none" w:sz="0" w:space="0" w:color="auto"/>
        <w:left w:val="none" w:sz="0" w:space="0" w:color="auto"/>
        <w:bottom w:val="none" w:sz="0" w:space="0" w:color="auto"/>
        <w:right w:val="none" w:sz="0" w:space="0" w:color="auto"/>
      </w:divBdr>
    </w:div>
    <w:div w:id="2135174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sawpa.org/task-forces/basin-monitoring-program-taskforce" TargetMode="External"/><Relationship Id="rId32"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header" Target="header10.xml"/><Relationship Id="rId10" Type="http://schemas.openxmlformats.org/officeDocument/2006/relationships/image" Target="media/image1.png"/><Relationship Id="rId19" Type="http://schemas.openxmlformats.org/officeDocument/2006/relationships/header" Target="header7.xml"/><Relationship Id="rId31" Type="http://schemas.openxmlformats.org/officeDocument/2006/relationships/header" Target="header1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image" Target="media/image7.png"/><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www.waterboards.ca.gov/santaana/water_issues/programs/basin_plan/docs/2019/New/Chapter_5_June_2019.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Y Color Palette">
      <a:dk1>
        <a:sysClr val="windowText" lastClr="000000"/>
      </a:dk1>
      <a:lt1>
        <a:sysClr val="window" lastClr="FFFFFF"/>
      </a:lt1>
      <a:dk2>
        <a:srgbClr val="6C2C91"/>
      </a:dk2>
      <a:lt2>
        <a:srgbClr val="B1222A"/>
      </a:lt2>
      <a:accent1>
        <a:srgbClr val="001489"/>
      </a:accent1>
      <a:accent2>
        <a:srgbClr val="006DB0"/>
      </a:accent2>
      <a:accent3>
        <a:srgbClr val="509E2F"/>
      </a:accent3>
      <a:accent4>
        <a:srgbClr val="035F1D"/>
      </a:accent4>
      <a:accent5>
        <a:srgbClr val="A2AAAD"/>
      </a:accent5>
      <a:accent6>
        <a:srgbClr val="5B677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4057D6891669443AE2F010A0FF1326F" ma:contentTypeVersion="9" ma:contentTypeDescription="Create a new document." ma:contentTypeScope="" ma:versionID="6ef3b2dbd1dffc3de1908cc3cee2fa01">
  <xsd:schema xmlns:xsd="http://www.w3.org/2001/XMLSchema" xmlns:xs="http://www.w3.org/2001/XMLSchema" xmlns:p="http://schemas.microsoft.com/office/2006/metadata/properties" xmlns:ns2="cedd2700-675f-4aae-9d72-e8e713038213" targetNamespace="http://schemas.microsoft.com/office/2006/metadata/properties" ma:root="true" ma:fieldsID="49bb003c375b93b8edddd58cb44b562e" ns2:_="">
    <xsd:import namespace="cedd2700-675f-4aae-9d72-e8e7130382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d2700-675f-4aae-9d72-e8e7130382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18DC56-62D9-4A25-B807-1815EAF5E5F4}">
  <ds:schemaRefs>
    <ds:schemaRef ds:uri="http://schemas.microsoft.com/sharepoint/v3/contenttype/forms"/>
  </ds:schemaRefs>
</ds:datastoreItem>
</file>

<file path=customXml/itemProps2.xml><?xml version="1.0" encoding="utf-8"?>
<ds:datastoreItem xmlns:ds="http://schemas.openxmlformats.org/officeDocument/2006/customXml" ds:itemID="{1055D28D-8CC8-4539-A033-01EED0E3A0F2}">
  <ds:schemaRefs>
    <ds:schemaRef ds:uri="http://schemas.openxmlformats.org/officeDocument/2006/bibliography"/>
  </ds:schemaRefs>
</ds:datastoreItem>
</file>

<file path=customXml/itemProps3.xml><?xml version="1.0" encoding="utf-8"?>
<ds:datastoreItem xmlns:ds="http://schemas.openxmlformats.org/officeDocument/2006/customXml" ds:itemID="{900F1C08-CBF6-4D8D-9448-AE82D2ED7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d2700-675f-4aae-9d72-e8e713038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13273</Words>
  <Characters>75657</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West Yost &amp; Associates</Company>
  <LinksUpToDate>false</LinksUpToDate>
  <CharactersWithSpaces>88753</CharactersWithSpaces>
  <SharedDoc>false</SharedDoc>
  <HLinks>
    <vt:vector size="246" baseType="variant">
      <vt:variant>
        <vt:i4>1245214</vt:i4>
      </vt:variant>
      <vt:variant>
        <vt:i4>249</vt:i4>
      </vt:variant>
      <vt:variant>
        <vt:i4>0</vt:i4>
      </vt:variant>
      <vt:variant>
        <vt:i4>5</vt:i4>
      </vt:variant>
      <vt:variant>
        <vt:lpwstr>https://sawpa.org/task-forces/basin-monitoring-program-taskforce</vt:lpwstr>
      </vt:variant>
      <vt:variant>
        <vt:lpwstr/>
      </vt:variant>
      <vt:variant>
        <vt:i4>1572927</vt:i4>
      </vt:variant>
      <vt:variant>
        <vt:i4>230</vt:i4>
      </vt:variant>
      <vt:variant>
        <vt:i4>0</vt:i4>
      </vt:variant>
      <vt:variant>
        <vt:i4>5</vt:i4>
      </vt:variant>
      <vt:variant>
        <vt:lpwstr/>
      </vt:variant>
      <vt:variant>
        <vt:lpwstr>_Toc117719809</vt:lpwstr>
      </vt:variant>
      <vt:variant>
        <vt:i4>1572927</vt:i4>
      </vt:variant>
      <vt:variant>
        <vt:i4>224</vt:i4>
      </vt:variant>
      <vt:variant>
        <vt:i4>0</vt:i4>
      </vt:variant>
      <vt:variant>
        <vt:i4>5</vt:i4>
      </vt:variant>
      <vt:variant>
        <vt:lpwstr/>
      </vt:variant>
      <vt:variant>
        <vt:lpwstr>_Toc117719808</vt:lpwstr>
      </vt:variant>
      <vt:variant>
        <vt:i4>1572927</vt:i4>
      </vt:variant>
      <vt:variant>
        <vt:i4>218</vt:i4>
      </vt:variant>
      <vt:variant>
        <vt:i4>0</vt:i4>
      </vt:variant>
      <vt:variant>
        <vt:i4>5</vt:i4>
      </vt:variant>
      <vt:variant>
        <vt:lpwstr/>
      </vt:variant>
      <vt:variant>
        <vt:lpwstr>_Toc117719807</vt:lpwstr>
      </vt:variant>
      <vt:variant>
        <vt:i4>1572927</vt:i4>
      </vt:variant>
      <vt:variant>
        <vt:i4>212</vt:i4>
      </vt:variant>
      <vt:variant>
        <vt:i4>0</vt:i4>
      </vt:variant>
      <vt:variant>
        <vt:i4>5</vt:i4>
      </vt:variant>
      <vt:variant>
        <vt:lpwstr/>
      </vt:variant>
      <vt:variant>
        <vt:lpwstr>_Toc117719806</vt:lpwstr>
      </vt:variant>
      <vt:variant>
        <vt:i4>1572927</vt:i4>
      </vt:variant>
      <vt:variant>
        <vt:i4>206</vt:i4>
      </vt:variant>
      <vt:variant>
        <vt:i4>0</vt:i4>
      </vt:variant>
      <vt:variant>
        <vt:i4>5</vt:i4>
      </vt:variant>
      <vt:variant>
        <vt:lpwstr/>
      </vt:variant>
      <vt:variant>
        <vt:lpwstr>_Toc117719805</vt:lpwstr>
      </vt:variant>
      <vt:variant>
        <vt:i4>1572927</vt:i4>
      </vt:variant>
      <vt:variant>
        <vt:i4>200</vt:i4>
      </vt:variant>
      <vt:variant>
        <vt:i4>0</vt:i4>
      </vt:variant>
      <vt:variant>
        <vt:i4>5</vt:i4>
      </vt:variant>
      <vt:variant>
        <vt:lpwstr/>
      </vt:variant>
      <vt:variant>
        <vt:lpwstr>_Toc117719804</vt:lpwstr>
      </vt:variant>
      <vt:variant>
        <vt:i4>1572927</vt:i4>
      </vt:variant>
      <vt:variant>
        <vt:i4>194</vt:i4>
      </vt:variant>
      <vt:variant>
        <vt:i4>0</vt:i4>
      </vt:variant>
      <vt:variant>
        <vt:i4>5</vt:i4>
      </vt:variant>
      <vt:variant>
        <vt:lpwstr/>
      </vt:variant>
      <vt:variant>
        <vt:lpwstr>_Toc117719803</vt:lpwstr>
      </vt:variant>
      <vt:variant>
        <vt:i4>1572927</vt:i4>
      </vt:variant>
      <vt:variant>
        <vt:i4>188</vt:i4>
      </vt:variant>
      <vt:variant>
        <vt:i4>0</vt:i4>
      </vt:variant>
      <vt:variant>
        <vt:i4>5</vt:i4>
      </vt:variant>
      <vt:variant>
        <vt:lpwstr/>
      </vt:variant>
      <vt:variant>
        <vt:lpwstr>_Toc117719802</vt:lpwstr>
      </vt:variant>
      <vt:variant>
        <vt:i4>1572927</vt:i4>
      </vt:variant>
      <vt:variant>
        <vt:i4>182</vt:i4>
      </vt:variant>
      <vt:variant>
        <vt:i4>0</vt:i4>
      </vt:variant>
      <vt:variant>
        <vt:i4>5</vt:i4>
      </vt:variant>
      <vt:variant>
        <vt:lpwstr/>
      </vt:variant>
      <vt:variant>
        <vt:lpwstr>_Toc117719801</vt:lpwstr>
      </vt:variant>
      <vt:variant>
        <vt:i4>1572927</vt:i4>
      </vt:variant>
      <vt:variant>
        <vt:i4>176</vt:i4>
      </vt:variant>
      <vt:variant>
        <vt:i4>0</vt:i4>
      </vt:variant>
      <vt:variant>
        <vt:i4>5</vt:i4>
      </vt:variant>
      <vt:variant>
        <vt:lpwstr/>
      </vt:variant>
      <vt:variant>
        <vt:lpwstr>_Toc117719800</vt:lpwstr>
      </vt:variant>
      <vt:variant>
        <vt:i4>1114160</vt:i4>
      </vt:variant>
      <vt:variant>
        <vt:i4>170</vt:i4>
      </vt:variant>
      <vt:variant>
        <vt:i4>0</vt:i4>
      </vt:variant>
      <vt:variant>
        <vt:i4>5</vt:i4>
      </vt:variant>
      <vt:variant>
        <vt:lpwstr/>
      </vt:variant>
      <vt:variant>
        <vt:lpwstr>_Toc117719799</vt:lpwstr>
      </vt:variant>
      <vt:variant>
        <vt:i4>1114160</vt:i4>
      </vt:variant>
      <vt:variant>
        <vt:i4>164</vt:i4>
      </vt:variant>
      <vt:variant>
        <vt:i4>0</vt:i4>
      </vt:variant>
      <vt:variant>
        <vt:i4>5</vt:i4>
      </vt:variant>
      <vt:variant>
        <vt:lpwstr/>
      </vt:variant>
      <vt:variant>
        <vt:lpwstr>_Toc117719798</vt:lpwstr>
      </vt:variant>
      <vt:variant>
        <vt:i4>1114160</vt:i4>
      </vt:variant>
      <vt:variant>
        <vt:i4>158</vt:i4>
      </vt:variant>
      <vt:variant>
        <vt:i4>0</vt:i4>
      </vt:variant>
      <vt:variant>
        <vt:i4>5</vt:i4>
      </vt:variant>
      <vt:variant>
        <vt:lpwstr/>
      </vt:variant>
      <vt:variant>
        <vt:lpwstr>_Toc117719797</vt:lpwstr>
      </vt:variant>
      <vt:variant>
        <vt:i4>1114160</vt:i4>
      </vt:variant>
      <vt:variant>
        <vt:i4>152</vt:i4>
      </vt:variant>
      <vt:variant>
        <vt:i4>0</vt:i4>
      </vt:variant>
      <vt:variant>
        <vt:i4>5</vt:i4>
      </vt:variant>
      <vt:variant>
        <vt:lpwstr/>
      </vt:variant>
      <vt:variant>
        <vt:lpwstr>_Toc117719796</vt:lpwstr>
      </vt:variant>
      <vt:variant>
        <vt:i4>1114160</vt:i4>
      </vt:variant>
      <vt:variant>
        <vt:i4>146</vt:i4>
      </vt:variant>
      <vt:variant>
        <vt:i4>0</vt:i4>
      </vt:variant>
      <vt:variant>
        <vt:i4>5</vt:i4>
      </vt:variant>
      <vt:variant>
        <vt:lpwstr/>
      </vt:variant>
      <vt:variant>
        <vt:lpwstr>_Toc117719795</vt:lpwstr>
      </vt:variant>
      <vt:variant>
        <vt:i4>1114160</vt:i4>
      </vt:variant>
      <vt:variant>
        <vt:i4>140</vt:i4>
      </vt:variant>
      <vt:variant>
        <vt:i4>0</vt:i4>
      </vt:variant>
      <vt:variant>
        <vt:i4>5</vt:i4>
      </vt:variant>
      <vt:variant>
        <vt:lpwstr/>
      </vt:variant>
      <vt:variant>
        <vt:lpwstr>_Toc117719794</vt:lpwstr>
      </vt:variant>
      <vt:variant>
        <vt:i4>1114160</vt:i4>
      </vt:variant>
      <vt:variant>
        <vt:i4>134</vt:i4>
      </vt:variant>
      <vt:variant>
        <vt:i4>0</vt:i4>
      </vt:variant>
      <vt:variant>
        <vt:i4>5</vt:i4>
      </vt:variant>
      <vt:variant>
        <vt:lpwstr/>
      </vt:variant>
      <vt:variant>
        <vt:lpwstr>_Toc117719793</vt:lpwstr>
      </vt:variant>
      <vt:variant>
        <vt:i4>1114160</vt:i4>
      </vt:variant>
      <vt:variant>
        <vt:i4>128</vt:i4>
      </vt:variant>
      <vt:variant>
        <vt:i4>0</vt:i4>
      </vt:variant>
      <vt:variant>
        <vt:i4>5</vt:i4>
      </vt:variant>
      <vt:variant>
        <vt:lpwstr/>
      </vt:variant>
      <vt:variant>
        <vt:lpwstr>_Toc117719792</vt:lpwstr>
      </vt:variant>
      <vt:variant>
        <vt:i4>1114160</vt:i4>
      </vt:variant>
      <vt:variant>
        <vt:i4>122</vt:i4>
      </vt:variant>
      <vt:variant>
        <vt:i4>0</vt:i4>
      </vt:variant>
      <vt:variant>
        <vt:i4>5</vt:i4>
      </vt:variant>
      <vt:variant>
        <vt:lpwstr/>
      </vt:variant>
      <vt:variant>
        <vt:lpwstr>_Toc117719791</vt:lpwstr>
      </vt:variant>
      <vt:variant>
        <vt:i4>1114160</vt:i4>
      </vt:variant>
      <vt:variant>
        <vt:i4>116</vt:i4>
      </vt:variant>
      <vt:variant>
        <vt:i4>0</vt:i4>
      </vt:variant>
      <vt:variant>
        <vt:i4>5</vt:i4>
      </vt:variant>
      <vt:variant>
        <vt:lpwstr/>
      </vt:variant>
      <vt:variant>
        <vt:lpwstr>_Toc117719790</vt:lpwstr>
      </vt:variant>
      <vt:variant>
        <vt:i4>1048624</vt:i4>
      </vt:variant>
      <vt:variant>
        <vt:i4>110</vt:i4>
      </vt:variant>
      <vt:variant>
        <vt:i4>0</vt:i4>
      </vt:variant>
      <vt:variant>
        <vt:i4>5</vt:i4>
      </vt:variant>
      <vt:variant>
        <vt:lpwstr/>
      </vt:variant>
      <vt:variant>
        <vt:lpwstr>_Toc117719789</vt:lpwstr>
      </vt:variant>
      <vt:variant>
        <vt:i4>1048624</vt:i4>
      </vt:variant>
      <vt:variant>
        <vt:i4>104</vt:i4>
      </vt:variant>
      <vt:variant>
        <vt:i4>0</vt:i4>
      </vt:variant>
      <vt:variant>
        <vt:i4>5</vt:i4>
      </vt:variant>
      <vt:variant>
        <vt:lpwstr/>
      </vt:variant>
      <vt:variant>
        <vt:lpwstr>_Toc117719788</vt:lpwstr>
      </vt:variant>
      <vt:variant>
        <vt:i4>1048624</vt:i4>
      </vt:variant>
      <vt:variant>
        <vt:i4>98</vt:i4>
      </vt:variant>
      <vt:variant>
        <vt:i4>0</vt:i4>
      </vt:variant>
      <vt:variant>
        <vt:i4>5</vt:i4>
      </vt:variant>
      <vt:variant>
        <vt:lpwstr/>
      </vt:variant>
      <vt:variant>
        <vt:lpwstr>_Toc117719787</vt:lpwstr>
      </vt:variant>
      <vt:variant>
        <vt:i4>1048624</vt:i4>
      </vt:variant>
      <vt:variant>
        <vt:i4>92</vt:i4>
      </vt:variant>
      <vt:variant>
        <vt:i4>0</vt:i4>
      </vt:variant>
      <vt:variant>
        <vt:i4>5</vt:i4>
      </vt:variant>
      <vt:variant>
        <vt:lpwstr/>
      </vt:variant>
      <vt:variant>
        <vt:lpwstr>_Toc117719786</vt:lpwstr>
      </vt:variant>
      <vt:variant>
        <vt:i4>1048624</vt:i4>
      </vt:variant>
      <vt:variant>
        <vt:i4>86</vt:i4>
      </vt:variant>
      <vt:variant>
        <vt:i4>0</vt:i4>
      </vt:variant>
      <vt:variant>
        <vt:i4>5</vt:i4>
      </vt:variant>
      <vt:variant>
        <vt:lpwstr/>
      </vt:variant>
      <vt:variant>
        <vt:lpwstr>_Toc117719785</vt:lpwstr>
      </vt:variant>
      <vt:variant>
        <vt:i4>1048624</vt:i4>
      </vt:variant>
      <vt:variant>
        <vt:i4>80</vt:i4>
      </vt:variant>
      <vt:variant>
        <vt:i4>0</vt:i4>
      </vt:variant>
      <vt:variant>
        <vt:i4>5</vt:i4>
      </vt:variant>
      <vt:variant>
        <vt:lpwstr/>
      </vt:variant>
      <vt:variant>
        <vt:lpwstr>_Toc117719784</vt:lpwstr>
      </vt:variant>
      <vt:variant>
        <vt:i4>1048624</vt:i4>
      </vt:variant>
      <vt:variant>
        <vt:i4>74</vt:i4>
      </vt:variant>
      <vt:variant>
        <vt:i4>0</vt:i4>
      </vt:variant>
      <vt:variant>
        <vt:i4>5</vt:i4>
      </vt:variant>
      <vt:variant>
        <vt:lpwstr/>
      </vt:variant>
      <vt:variant>
        <vt:lpwstr>_Toc117719783</vt:lpwstr>
      </vt:variant>
      <vt:variant>
        <vt:i4>1048624</vt:i4>
      </vt:variant>
      <vt:variant>
        <vt:i4>68</vt:i4>
      </vt:variant>
      <vt:variant>
        <vt:i4>0</vt:i4>
      </vt:variant>
      <vt:variant>
        <vt:i4>5</vt:i4>
      </vt:variant>
      <vt:variant>
        <vt:lpwstr/>
      </vt:variant>
      <vt:variant>
        <vt:lpwstr>_Toc117719782</vt:lpwstr>
      </vt:variant>
      <vt:variant>
        <vt:i4>1048624</vt:i4>
      </vt:variant>
      <vt:variant>
        <vt:i4>62</vt:i4>
      </vt:variant>
      <vt:variant>
        <vt:i4>0</vt:i4>
      </vt:variant>
      <vt:variant>
        <vt:i4>5</vt:i4>
      </vt:variant>
      <vt:variant>
        <vt:lpwstr/>
      </vt:variant>
      <vt:variant>
        <vt:lpwstr>_Toc117719781</vt:lpwstr>
      </vt:variant>
      <vt:variant>
        <vt:i4>1048624</vt:i4>
      </vt:variant>
      <vt:variant>
        <vt:i4>56</vt:i4>
      </vt:variant>
      <vt:variant>
        <vt:i4>0</vt:i4>
      </vt:variant>
      <vt:variant>
        <vt:i4>5</vt:i4>
      </vt:variant>
      <vt:variant>
        <vt:lpwstr/>
      </vt:variant>
      <vt:variant>
        <vt:lpwstr>_Toc117719780</vt:lpwstr>
      </vt:variant>
      <vt:variant>
        <vt:i4>2031664</vt:i4>
      </vt:variant>
      <vt:variant>
        <vt:i4>50</vt:i4>
      </vt:variant>
      <vt:variant>
        <vt:i4>0</vt:i4>
      </vt:variant>
      <vt:variant>
        <vt:i4>5</vt:i4>
      </vt:variant>
      <vt:variant>
        <vt:lpwstr/>
      </vt:variant>
      <vt:variant>
        <vt:lpwstr>_Toc117719779</vt:lpwstr>
      </vt:variant>
      <vt:variant>
        <vt:i4>2031664</vt:i4>
      </vt:variant>
      <vt:variant>
        <vt:i4>44</vt:i4>
      </vt:variant>
      <vt:variant>
        <vt:i4>0</vt:i4>
      </vt:variant>
      <vt:variant>
        <vt:i4>5</vt:i4>
      </vt:variant>
      <vt:variant>
        <vt:lpwstr/>
      </vt:variant>
      <vt:variant>
        <vt:lpwstr>_Toc117719778</vt:lpwstr>
      </vt:variant>
      <vt:variant>
        <vt:i4>2031664</vt:i4>
      </vt:variant>
      <vt:variant>
        <vt:i4>38</vt:i4>
      </vt:variant>
      <vt:variant>
        <vt:i4>0</vt:i4>
      </vt:variant>
      <vt:variant>
        <vt:i4>5</vt:i4>
      </vt:variant>
      <vt:variant>
        <vt:lpwstr/>
      </vt:variant>
      <vt:variant>
        <vt:lpwstr>_Toc117719777</vt:lpwstr>
      </vt:variant>
      <vt:variant>
        <vt:i4>2031664</vt:i4>
      </vt:variant>
      <vt:variant>
        <vt:i4>32</vt:i4>
      </vt:variant>
      <vt:variant>
        <vt:i4>0</vt:i4>
      </vt:variant>
      <vt:variant>
        <vt:i4>5</vt:i4>
      </vt:variant>
      <vt:variant>
        <vt:lpwstr/>
      </vt:variant>
      <vt:variant>
        <vt:lpwstr>_Toc117719776</vt:lpwstr>
      </vt:variant>
      <vt:variant>
        <vt:i4>2031664</vt:i4>
      </vt:variant>
      <vt:variant>
        <vt:i4>26</vt:i4>
      </vt:variant>
      <vt:variant>
        <vt:i4>0</vt:i4>
      </vt:variant>
      <vt:variant>
        <vt:i4>5</vt:i4>
      </vt:variant>
      <vt:variant>
        <vt:lpwstr/>
      </vt:variant>
      <vt:variant>
        <vt:lpwstr>_Toc117719775</vt:lpwstr>
      </vt:variant>
      <vt:variant>
        <vt:i4>2031664</vt:i4>
      </vt:variant>
      <vt:variant>
        <vt:i4>20</vt:i4>
      </vt:variant>
      <vt:variant>
        <vt:i4>0</vt:i4>
      </vt:variant>
      <vt:variant>
        <vt:i4>5</vt:i4>
      </vt:variant>
      <vt:variant>
        <vt:lpwstr/>
      </vt:variant>
      <vt:variant>
        <vt:lpwstr>_Toc117719774</vt:lpwstr>
      </vt:variant>
      <vt:variant>
        <vt:i4>2031664</vt:i4>
      </vt:variant>
      <vt:variant>
        <vt:i4>14</vt:i4>
      </vt:variant>
      <vt:variant>
        <vt:i4>0</vt:i4>
      </vt:variant>
      <vt:variant>
        <vt:i4>5</vt:i4>
      </vt:variant>
      <vt:variant>
        <vt:lpwstr/>
      </vt:variant>
      <vt:variant>
        <vt:lpwstr>_Toc117719773</vt:lpwstr>
      </vt:variant>
      <vt:variant>
        <vt:i4>2031664</vt:i4>
      </vt:variant>
      <vt:variant>
        <vt:i4>8</vt:i4>
      </vt:variant>
      <vt:variant>
        <vt:i4>0</vt:i4>
      </vt:variant>
      <vt:variant>
        <vt:i4>5</vt:i4>
      </vt:variant>
      <vt:variant>
        <vt:lpwstr/>
      </vt:variant>
      <vt:variant>
        <vt:lpwstr>_Toc117719772</vt:lpwstr>
      </vt:variant>
      <vt:variant>
        <vt:i4>2031664</vt:i4>
      </vt:variant>
      <vt:variant>
        <vt:i4>2</vt:i4>
      </vt:variant>
      <vt:variant>
        <vt:i4>0</vt:i4>
      </vt:variant>
      <vt:variant>
        <vt:i4>5</vt:i4>
      </vt:variant>
      <vt:variant>
        <vt:lpwstr/>
      </vt:variant>
      <vt:variant>
        <vt:lpwstr>_Toc117719771</vt:lpwstr>
      </vt:variant>
      <vt:variant>
        <vt:i4>5308542</vt:i4>
      </vt:variant>
      <vt:variant>
        <vt:i4>0</vt:i4>
      </vt:variant>
      <vt:variant>
        <vt:i4>0</vt:i4>
      </vt:variant>
      <vt:variant>
        <vt:i4>5</vt:i4>
      </vt:variant>
      <vt:variant>
        <vt:lpwstr>https://www.waterboards.ca.gov/santaana/water_issues/programs/basin_plan/docs/2019/New/Chapter_5_June_2019.pdf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Sodavy Ou</dc:creator>
  <cp:keywords/>
  <dc:description/>
  <cp:lastModifiedBy>Samantha Adams</cp:lastModifiedBy>
  <cp:revision>2</cp:revision>
  <cp:lastPrinted>2022-10-27T23:30:00Z</cp:lastPrinted>
  <dcterms:created xsi:type="dcterms:W3CDTF">2022-10-27T23:31:00Z</dcterms:created>
  <dcterms:modified xsi:type="dcterms:W3CDTF">2022-10-27T23:31:00Z</dcterms:modified>
</cp:coreProperties>
</file>