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21F1" w14:textId="121F0891" w:rsidR="00B1549D" w:rsidRDefault="002959F4" w:rsidP="00B1549D">
      <w:r>
        <w:t xml:space="preserve">April </w:t>
      </w:r>
      <w:r w:rsidR="006A5BA2">
        <w:t>X</w:t>
      </w:r>
      <w:r w:rsidR="00B1549D">
        <w:t>, 2022</w:t>
      </w:r>
    </w:p>
    <w:p w14:paraId="64FE016D" w14:textId="77777777" w:rsidR="00B1549D" w:rsidRDefault="00B1549D" w:rsidP="00B1549D"/>
    <w:p w14:paraId="7F899B92" w14:textId="77777777" w:rsidR="00B1549D" w:rsidRDefault="00B1549D" w:rsidP="00B1549D">
      <w:r>
        <w:rPr>
          <w:i/>
          <w:iCs/>
        </w:rPr>
        <w:t>Via Email Only</w:t>
      </w:r>
    </w:p>
    <w:p w14:paraId="5D221C3C" w14:textId="77777777" w:rsidR="00B1549D" w:rsidRDefault="00B1549D" w:rsidP="00B1549D"/>
    <w:p w14:paraId="00A20EBB" w14:textId="77777777" w:rsidR="00B1549D" w:rsidRDefault="00B1549D" w:rsidP="00B1549D">
      <w:r>
        <w:t>Jayne Joy</w:t>
      </w:r>
    </w:p>
    <w:p w14:paraId="641BC2BF" w14:textId="77777777" w:rsidR="00B1549D" w:rsidRDefault="00B1549D" w:rsidP="00B1549D">
      <w:r>
        <w:t>Executive Officer</w:t>
      </w:r>
    </w:p>
    <w:p w14:paraId="180AF6AD" w14:textId="77777777" w:rsidR="00B1549D" w:rsidRDefault="00B1549D" w:rsidP="00B1549D">
      <w:r>
        <w:t>Santa Ana Regional Water Quality Control Board</w:t>
      </w:r>
    </w:p>
    <w:p w14:paraId="77A60F41" w14:textId="77777777" w:rsidR="00B1549D" w:rsidRDefault="00B1549D" w:rsidP="00B1549D">
      <w:r>
        <w:t>3737 Main Street, Suite 500</w:t>
      </w:r>
    </w:p>
    <w:p w14:paraId="38A42A99" w14:textId="77777777" w:rsidR="00B1549D" w:rsidRDefault="00B1549D" w:rsidP="00B1549D">
      <w:r>
        <w:t>Riverside, CA 92501-3348</w:t>
      </w:r>
    </w:p>
    <w:p w14:paraId="0D02FE56" w14:textId="77777777" w:rsidR="00B1549D" w:rsidRDefault="00232849" w:rsidP="00B1549D">
      <w:hyperlink r:id="rId8" w:history="1">
        <w:r w:rsidR="00B1549D" w:rsidRPr="009C4AA2">
          <w:rPr>
            <w:rStyle w:val="Hyperlink"/>
          </w:rPr>
          <w:t>Jayne.Joy@waterboards.ca.gov</w:t>
        </w:r>
      </w:hyperlink>
    </w:p>
    <w:p w14:paraId="46E3D90C" w14:textId="77777777" w:rsidR="00B1549D" w:rsidRDefault="00232849" w:rsidP="00B1549D">
      <w:hyperlink r:id="rId9" w:history="1">
        <w:r w:rsidR="00B1549D" w:rsidRPr="009C4AA2">
          <w:rPr>
            <w:rStyle w:val="Hyperlink"/>
          </w:rPr>
          <w:t>R8_stormwater@waterboards.ca.gov</w:t>
        </w:r>
      </w:hyperlink>
    </w:p>
    <w:p w14:paraId="2E0A76DB" w14:textId="77777777" w:rsidR="00B1549D" w:rsidRDefault="00B1549D" w:rsidP="00B1549D"/>
    <w:p w14:paraId="627E6CB3" w14:textId="77777777" w:rsidR="00B1549D" w:rsidRDefault="00B1549D" w:rsidP="00B1549D">
      <w:r>
        <w:t>SUBJECT:</w:t>
      </w:r>
      <w:r>
        <w:tab/>
        <w:t xml:space="preserve">Staff Working Proposal of the </w:t>
      </w:r>
      <w:r>
        <w:rPr>
          <w:i/>
          <w:iCs/>
        </w:rPr>
        <w:t>National Pollutant Discharge Elimination System (NPDES) Permit and Waste Discharge Requirements for Discharges of Pollutants in Urban Runoff from the Municipal Storm Sewer Systems in the Counties of Orange, Riverside and San Bernardino within the Santa Ana Region</w:t>
      </w:r>
    </w:p>
    <w:p w14:paraId="271CF143" w14:textId="77777777" w:rsidR="00B1549D" w:rsidRDefault="00B1549D" w:rsidP="00B1549D"/>
    <w:p w14:paraId="1C604FD7" w14:textId="77777777" w:rsidR="00B1549D" w:rsidRDefault="00B1549D" w:rsidP="00B1549D">
      <w:r>
        <w:t>Dear Ms. Joy:</w:t>
      </w:r>
    </w:p>
    <w:p w14:paraId="35E39CEF" w14:textId="77777777" w:rsidR="00B1549D" w:rsidRDefault="00B1549D" w:rsidP="00B1549D"/>
    <w:p w14:paraId="354B6474" w14:textId="60A89F75" w:rsidR="00377F24" w:rsidRDefault="00B1549D" w:rsidP="00B1549D">
      <w:r>
        <w:t xml:space="preserve">On behalf of the </w:t>
      </w:r>
      <w:r w:rsidR="006A5BA2">
        <w:t xml:space="preserve">voting members of </w:t>
      </w:r>
      <w:r w:rsidR="00972E6A">
        <w:t xml:space="preserve">Lake Elsinore and Canyon Lake TMDL Task Force (LECL Task Force), the Lake Elsinore and San Jacinto Watersheds Authority (LESJWA) </w:t>
      </w:r>
      <w:r>
        <w:t xml:space="preserve"> appreciates the opportunity to provide written comments on the Staff Working Proposal of the </w:t>
      </w:r>
      <w:r>
        <w:rPr>
          <w:i/>
          <w:iCs/>
        </w:rPr>
        <w:t>National Pollutant Discharge Elimination System (NPDES) Permit and Waste Discharge Requirements for Discharges of Pollutants in Urban Runoff from the Municipal Storm Sewer Systems in the Counties of Orange, Riverside and San Bernardino within the Santa Ana Region</w:t>
      </w:r>
      <w:r>
        <w:t xml:space="preserve"> (</w:t>
      </w:r>
      <w:r w:rsidR="003E5758">
        <w:t>Staff Working Proposal</w:t>
      </w:r>
      <w:r>
        <w:t>).</w:t>
      </w:r>
      <w:r w:rsidR="00670806">
        <w:t xml:space="preserve"> Typically, the LECL Task Force would not </w:t>
      </w:r>
      <w:r w:rsidR="000C57AB">
        <w:t xml:space="preserve">comment on </w:t>
      </w:r>
      <w:r w:rsidR="00670806">
        <w:t xml:space="preserve">the Santa Ana Regional Water Quality Control Board’s (Santa Ana Water Board) efforts to incorporate TMDL provisions into </w:t>
      </w:r>
      <w:r w:rsidR="000C57AB">
        <w:t xml:space="preserve">municipal separate storm sewer system (MS4) </w:t>
      </w:r>
      <w:r w:rsidR="003E5758">
        <w:t xml:space="preserve">NPDES </w:t>
      </w:r>
      <w:r w:rsidR="00670806">
        <w:t xml:space="preserve">permits; however, </w:t>
      </w:r>
      <w:r w:rsidR="000C57AB">
        <w:t xml:space="preserve">due to concerns regarding how the Staff Working Proposal </w:t>
      </w:r>
      <w:r w:rsidR="002959F4">
        <w:t xml:space="preserve">looks </w:t>
      </w:r>
      <w:r w:rsidR="000C57AB">
        <w:t xml:space="preserve">to incorporate </w:t>
      </w:r>
      <w:r w:rsidR="00670806">
        <w:t>the Lake Elsinore and Canyon Lake Nutrient TMDLs</w:t>
      </w:r>
      <w:r w:rsidR="009D5AAB">
        <w:t xml:space="preserve"> (LE/CL TMDLs)</w:t>
      </w:r>
      <w:r w:rsidR="00621245">
        <w:t xml:space="preserve"> and associated compliance provisions</w:t>
      </w:r>
      <w:r w:rsidR="000C57AB">
        <w:t xml:space="preserve"> into the Santa Ana Regional MS4 Permit</w:t>
      </w:r>
      <w:r w:rsidR="00670806">
        <w:t xml:space="preserve">, we </w:t>
      </w:r>
      <w:r w:rsidR="006818E1">
        <w:t xml:space="preserve">find it necessary to </w:t>
      </w:r>
      <w:r w:rsidR="00670806">
        <w:t xml:space="preserve">provide </w:t>
      </w:r>
      <w:r w:rsidR="00377F24">
        <w:t xml:space="preserve">comments </w:t>
      </w:r>
      <w:r w:rsidR="006818E1">
        <w:t>at this earl</w:t>
      </w:r>
      <w:r w:rsidR="000C57AB">
        <w:t>y</w:t>
      </w:r>
      <w:r w:rsidR="006818E1">
        <w:t xml:space="preserve"> opportunity. </w:t>
      </w:r>
      <w:r w:rsidR="00377F24">
        <w:t xml:space="preserve"> </w:t>
      </w:r>
    </w:p>
    <w:p w14:paraId="7CB36ECD" w14:textId="0AAEB51F" w:rsidR="00934183" w:rsidRDefault="00934183" w:rsidP="00B1549D"/>
    <w:p w14:paraId="6B672978" w14:textId="3FFA3022" w:rsidR="00934183" w:rsidRDefault="005D3F74" w:rsidP="00B1549D">
      <w:r>
        <w:t xml:space="preserve">In summary, the LECL Task Force is concerned that provisions in the Staff Working Proposal ignore </w:t>
      </w:r>
      <w:r w:rsidR="00BC568E">
        <w:t xml:space="preserve">the more than 15 years of </w:t>
      </w:r>
      <w:r>
        <w:t xml:space="preserve">cooperative and successful efforts of the </w:t>
      </w:r>
      <w:r w:rsidR="00BC568E">
        <w:t xml:space="preserve">LECL </w:t>
      </w:r>
      <w:r>
        <w:t xml:space="preserve">Task Force </w:t>
      </w:r>
      <w:r w:rsidR="00BC568E">
        <w:t xml:space="preserve">to address nutrient issues in the lakes </w:t>
      </w:r>
      <w:r>
        <w:t xml:space="preserve">and </w:t>
      </w:r>
      <w:r w:rsidR="00BC568E">
        <w:t xml:space="preserve">instead seeks to </w:t>
      </w:r>
      <w:r>
        <w:t>replace the collaborative BMP-based compliance effort</w:t>
      </w:r>
      <w:r w:rsidR="00BC568E">
        <w:t>s</w:t>
      </w:r>
      <w:r>
        <w:t xml:space="preserve"> with requirements for strict compliance with numeric WQBELs. </w:t>
      </w:r>
      <w:r w:rsidR="00882F3C">
        <w:t>Further</w:t>
      </w:r>
      <w:r w:rsidR="00BC568E">
        <w:t xml:space="preserve">, the </w:t>
      </w:r>
      <w:r w:rsidR="00C70BD3">
        <w:t>Staff Working Proposal</w:t>
      </w:r>
      <w:r w:rsidR="0023307C">
        <w:t xml:space="preserve"> fai</w:t>
      </w:r>
      <w:r w:rsidR="008665B3">
        <w:t>ls</w:t>
      </w:r>
      <w:r w:rsidR="0023307C">
        <w:t xml:space="preserve"> to mention the ongoing, multiple-year efforts to update the </w:t>
      </w:r>
      <w:r w:rsidR="009D5AAB">
        <w:t xml:space="preserve">LE/CL </w:t>
      </w:r>
      <w:r w:rsidR="0023307C">
        <w:t>TMDL</w:t>
      </w:r>
      <w:r w:rsidR="009D5AAB">
        <w:t>s</w:t>
      </w:r>
      <w:r w:rsidR="0023307C">
        <w:t xml:space="preserve"> and </w:t>
      </w:r>
      <w:r w:rsidR="002959F4">
        <w:t xml:space="preserve">does not incorporate </w:t>
      </w:r>
      <w:r w:rsidR="0023307C">
        <w:t>in-lake offsets as a pathway for compliance.</w:t>
      </w:r>
      <w:r w:rsidR="00882F3C">
        <w:t xml:space="preserve"> As such, the Staff Working Proposal appears to depart from the Santa Ana Water Board’s long-standing practice of working with the LECL Task Force to </w:t>
      </w:r>
      <w:r w:rsidR="00D403BD">
        <w:t>address nutrient issues on a watershed basis to improve water quality in Canyon Lake and Lake Elsinore.</w:t>
      </w:r>
    </w:p>
    <w:p w14:paraId="1188B3BD" w14:textId="44640A37" w:rsidR="00744F6C" w:rsidRDefault="00744F6C" w:rsidP="00B1549D"/>
    <w:p w14:paraId="449A4DFC" w14:textId="5B116739" w:rsidR="00A3672A" w:rsidRDefault="00D403BD" w:rsidP="00B1549D">
      <w:r>
        <w:t>S</w:t>
      </w:r>
      <w:r w:rsidR="00A0103D">
        <w:t>ince 20</w:t>
      </w:r>
      <w:r w:rsidR="003D07F8">
        <w:t>05</w:t>
      </w:r>
      <w:r w:rsidR="00A0103D">
        <w:t xml:space="preserve">, </w:t>
      </w:r>
      <w:r w:rsidR="00E14895">
        <w:t>the LECL Task Force has expended significant time and resources to</w:t>
      </w:r>
      <w:r w:rsidR="00F26D50">
        <w:t xml:space="preserve"> implement the existing TMDL</w:t>
      </w:r>
      <w:r>
        <w:t>s</w:t>
      </w:r>
      <w:r w:rsidR="00F26D50">
        <w:t xml:space="preserve"> and to</w:t>
      </w:r>
      <w:r w:rsidR="00E14895">
        <w:t xml:space="preserve"> meet water quality targets, wasteload allocations (WLAs) and load allocations (LAs) as expressed in the LE/CL TMDLs.</w:t>
      </w:r>
      <w:r w:rsidR="00F26D50">
        <w:t xml:space="preserve"> </w:t>
      </w:r>
      <w:r w:rsidR="008665B3">
        <w:t xml:space="preserve">These efforts, which are described in </w:t>
      </w:r>
      <w:r w:rsidR="008665B3">
        <w:lastRenderedPageBreak/>
        <w:t xml:space="preserve">greater detail below, </w:t>
      </w:r>
      <w:r w:rsidR="00A0103D">
        <w:t xml:space="preserve">include stabilizing Lake Elsinore water levels </w:t>
      </w:r>
      <w:r w:rsidR="00AD45EB">
        <w:t xml:space="preserve">with supplemental water from Elsinore Valley Municipal Water District, </w:t>
      </w:r>
      <w:r w:rsidR="00A82A92">
        <w:t>install</w:t>
      </w:r>
      <w:r w:rsidR="00A0103D">
        <w:t>ing and implementing</w:t>
      </w:r>
      <w:r w:rsidR="00A82A92">
        <w:t xml:space="preserve"> in-lake aeration and circulation through the Lake Elsinore Aeration and Mixing System</w:t>
      </w:r>
      <w:r w:rsidR="00A66DEC">
        <w:t xml:space="preserve"> (LEAMS)</w:t>
      </w:r>
      <w:r w:rsidR="00A82A92">
        <w:t xml:space="preserve">, </w:t>
      </w:r>
      <w:r w:rsidR="00A0103D">
        <w:t xml:space="preserve">undertaking </w:t>
      </w:r>
      <w:r w:rsidR="00A82A92">
        <w:t>fisheries management and habitat restoration</w:t>
      </w:r>
      <w:r w:rsidR="00BF0CA5">
        <w:t xml:space="preserve"> projects</w:t>
      </w:r>
      <w:r>
        <w:t>,</w:t>
      </w:r>
      <w:r w:rsidR="00A0103D">
        <w:t xml:space="preserve"> </w:t>
      </w:r>
      <w:r w:rsidR="00A82A92">
        <w:t>watershed nutrient controls</w:t>
      </w:r>
      <w:r w:rsidR="00A0103D">
        <w:t>,</w:t>
      </w:r>
      <w:r w:rsidR="00A82A92">
        <w:t xml:space="preserve"> and </w:t>
      </w:r>
      <w:r w:rsidR="00A0103D">
        <w:t>adding</w:t>
      </w:r>
      <w:r w:rsidR="00A82A92">
        <w:t xml:space="preserve"> alum to Canyon Lake. In addition, the </w:t>
      </w:r>
      <w:r w:rsidR="00A66DEC">
        <w:t xml:space="preserve">LECL </w:t>
      </w:r>
      <w:r w:rsidR="00A82A92">
        <w:t xml:space="preserve">Task Force </w:t>
      </w:r>
      <w:r w:rsidR="00FE3B34">
        <w:t>continues to implement the long-term surveillance and monitoring program for watershed-wide monitoring and in-lake monitoring at both lakes</w:t>
      </w:r>
      <w:r w:rsidR="00AE327F">
        <w:t xml:space="preserve">, a </w:t>
      </w:r>
      <w:r w:rsidR="00FE3B34">
        <w:t xml:space="preserve">monitoring program </w:t>
      </w:r>
      <w:r w:rsidR="00AE327F">
        <w:t xml:space="preserve">which </w:t>
      </w:r>
      <w:r w:rsidR="00FE3B34">
        <w:t>started in the spring of 2006</w:t>
      </w:r>
      <w:r w:rsidR="00A0103D">
        <w:t xml:space="preserve"> and</w:t>
      </w:r>
      <w:r w:rsidR="00FE3B34">
        <w:t xml:space="preserve"> was </w:t>
      </w:r>
      <w:r w:rsidR="00AE327F">
        <w:t>updated</w:t>
      </w:r>
      <w:r w:rsidR="00FE3B34">
        <w:t xml:space="preserve"> in 2011 and 2015. The current monitoring program assess</w:t>
      </w:r>
      <w:r w:rsidR="00CE588F">
        <w:t>es</w:t>
      </w:r>
      <w:r w:rsidR="00FE3B34">
        <w:t xml:space="preserve"> water quality trends in the watershed and the lakes</w:t>
      </w:r>
      <w:r w:rsidR="00AE327F">
        <w:t xml:space="preserve"> to assess the effectiveness of </w:t>
      </w:r>
      <w:r w:rsidR="00A0103D">
        <w:t xml:space="preserve">Task Force </w:t>
      </w:r>
      <w:r w:rsidR="00FE3B34">
        <w:t xml:space="preserve">efforts. </w:t>
      </w:r>
    </w:p>
    <w:p w14:paraId="3EF2D89D" w14:textId="056CE2D8" w:rsidR="00CF2954" w:rsidRDefault="00CF2954" w:rsidP="00B1549D"/>
    <w:p w14:paraId="5728347F" w14:textId="230E34AC" w:rsidR="009B1312" w:rsidRDefault="00CF2954" w:rsidP="00B1549D">
      <w:r>
        <w:t>In April 2021, the</w:t>
      </w:r>
      <w:r w:rsidR="00233167">
        <w:t xml:space="preserve"> LECL</w:t>
      </w:r>
      <w:r>
        <w:t xml:space="preserve"> Task Force submitted a 2020 Final Compliance Assessment Report to the Santa Ana Water Board</w:t>
      </w:r>
      <w:r w:rsidR="00D403BD">
        <w:rPr>
          <w:rStyle w:val="FootnoteReference"/>
        </w:rPr>
        <w:footnoteReference w:id="1"/>
      </w:r>
      <w:r w:rsidR="00AE327F">
        <w:t>, which demonstrated</w:t>
      </w:r>
      <w:r>
        <w:t xml:space="preserve"> that these collective and collaborative efforts have resulted in achievement of the final 2004 TMDLs for Total Nitrogen (TN) and Total Phosphorus (TP) for both Lake Elsinore and Canyon Lake </w:t>
      </w:r>
      <w:r w:rsidR="006A5BA2">
        <w:t>(</w:t>
      </w:r>
      <w:r w:rsidR="002C1584">
        <w:t xml:space="preserve">expressed </w:t>
      </w:r>
      <w:r>
        <w:t>as 10-year running average</w:t>
      </w:r>
      <w:r w:rsidR="00A66DEC">
        <w:t>s</w:t>
      </w:r>
      <w:r w:rsidR="006A5BA2">
        <w:t>)</w:t>
      </w:r>
      <w:r>
        <w:t>. (LESJWA 2021.)</w:t>
      </w:r>
      <w:r w:rsidR="00CE588F">
        <w:t xml:space="preserve"> </w:t>
      </w:r>
      <w:r w:rsidR="002C1584">
        <w:t xml:space="preserve">Even </w:t>
      </w:r>
      <w:r w:rsidR="007E321B">
        <w:t xml:space="preserve">with </w:t>
      </w:r>
      <w:r w:rsidR="002C1584">
        <w:t>this accomplishment</w:t>
      </w:r>
      <w:r w:rsidR="00CE588F">
        <w:t>, the</w:t>
      </w:r>
      <w:r w:rsidR="00233167">
        <w:t xml:space="preserve"> LECL</w:t>
      </w:r>
      <w:r w:rsidR="00CE588F">
        <w:t xml:space="preserve"> Task Force continues to work with Santa Ana Water Board staff </w:t>
      </w:r>
      <w:r w:rsidR="002C1584">
        <w:t xml:space="preserve">on </w:t>
      </w:r>
      <w:r w:rsidR="00AC4AD0">
        <w:t>adaptive approach</w:t>
      </w:r>
      <w:r w:rsidR="002C1584">
        <w:t>es</w:t>
      </w:r>
      <w:r w:rsidR="00AC4AD0">
        <w:t xml:space="preserve"> to addressing nutrient issues in both lakes. </w:t>
      </w:r>
      <w:r w:rsidR="00CE588F">
        <w:t xml:space="preserve">For the </w:t>
      </w:r>
      <w:r w:rsidR="00F26D50">
        <w:t>last five</w:t>
      </w:r>
      <w:r w:rsidR="00A66DEC">
        <w:t>-</w:t>
      </w:r>
      <w:r w:rsidR="00F26D50">
        <w:t xml:space="preserve">plus years, </w:t>
      </w:r>
      <w:r w:rsidR="00CE588F">
        <w:t xml:space="preserve">the </w:t>
      </w:r>
      <w:r w:rsidR="00A66DEC">
        <w:t xml:space="preserve">LECL </w:t>
      </w:r>
      <w:r w:rsidR="00CE588F">
        <w:t>Task Force</w:t>
      </w:r>
      <w:r w:rsidR="00E530E4">
        <w:t xml:space="preserve">, </w:t>
      </w:r>
      <w:r w:rsidR="00AC4AD0">
        <w:t>in collaboration with Santa Ana Water Board staff</w:t>
      </w:r>
      <w:r w:rsidR="00E530E4">
        <w:t>,</w:t>
      </w:r>
      <w:r w:rsidR="00CE588F">
        <w:t xml:space="preserve"> has </w:t>
      </w:r>
      <w:r w:rsidR="00AC4AD0">
        <w:t>prepare</w:t>
      </w:r>
      <w:r w:rsidR="002C1584">
        <w:t>d</w:t>
      </w:r>
      <w:r w:rsidR="00E530E4">
        <w:t xml:space="preserve"> </w:t>
      </w:r>
      <w:r w:rsidR="00AC4AD0">
        <w:t xml:space="preserve">an extensive technical analysis for revising the 2004 </w:t>
      </w:r>
      <w:r w:rsidR="00A66DEC">
        <w:t xml:space="preserve">LE/CL </w:t>
      </w:r>
      <w:r w:rsidR="00AC4AD0">
        <w:t>TMDL</w:t>
      </w:r>
      <w:r w:rsidR="00A66DEC">
        <w:t>s</w:t>
      </w:r>
      <w:r w:rsidR="00AC4AD0">
        <w:t xml:space="preserve"> to improve the linkage analysis between allocated loads and predicted in-lake response targets.</w:t>
      </w:r>
      <w:r w:rsidR="009B1312">
        <w:t xml:space="preserve"> These combined efforts are still ongoing</w:t>
      </w:r>
      <w:r w:rsidR="00E530E4">
        <w:t xml:space="preserve">, </w:t>
      </w:r>
      <w:r w:rsidR="009B1312">
        <w:t xml:space="preserve">with the mutual goal of </w:t>
      </w:r>
      <w:r w:rsidR="002C1584">
        <w:t xml:space="preserve">proposing </w:t>
      </w:r>
      <w:r w:rsidR="009B1312">
        <w:t xml:space="preserve">revised </w:t>
      </w:r>
      <w:r w:rsidR="00A66DEC">
        <w:t xml:space="preserve">LE/CL </w:t>
      </w:r>
      <w:r w:rsidR="009B1312">
        <w:t>TMDL</w:t>
      </w:r>
      <w:r w:rsidR="00A66DEC">
        <w:t>s</w:t>
      </w:r>
      <w:r w:rsidR="009B1312">
        <w:t xml:space="preserve"> to the Santa Ana Water Board </w:t>
      </w:r>
      <w:r w:rsidR="00041431">
        <w:t>for consideration as soon as reasonably possible</w:t>
      </w:r>
      <w:r w:rsidR="009B1312">
        <w:t>.</w:t>
      </w:r>
    </w:p>
    <w:p w14:paraId="1E800730" w14:textId="77777777" w:rsidR="009B1312" w:rsidRDefault="009B1312" w:rsidP="00B1549D"/>
    <w:p w14:paraId="718F9550" w14:textId="0F78BDBD" w:rsidR="00F04484" w:rsidRDefault="009B1312" w:rsidP="00B1549D">
      <w:r>
        <w:t>To ensure th</w:t>
      </w:r>
      <w:r w:rsidR="006264AD">
        <w:t xml:space="preserve">at the </w:t>
      </w:r>
      <w:r w:rsidR="00E530E4">
        <w:t xml:space="preserve">LECL </w:t>
      </w:r>
      <w:r w:rsidR="006264AD">
        <w:t xml:space="preserve">Task Force can continue to tackle nutrient issues in Lake Elsinore and Canyon Lake, the </w:t>
      </w:r>
      <w:r w:rsidR="007E321B">
        <w:t xml:space="preserve">LECL </w:t>
      </w:r>
      <w:r w:rsidR="00F26D50">
        <w:t xml:space="preserve">Task Force </w:t>
      </w:r>
      <w:r w:rsidR="006264AD">
        <w:t>seeks revisions to the</w:t>
      </w:r>
      <w:r w:rsidR="00F26D50">
        <w:t xml:space="preserve"> </w:t>
      </w:r>
      <w:r w:rsidR="00DC08B8">
        <w:t>Staff Working Proposal</w:t>
      </w:r>
      <w:r w:rsidR="00F26D50">
        <w:t xml:space="preserve"> </w:t>
      </w:r>
      <w:r w:rsidR="00041431">
        <w:t>that</w:t>
      </w:r>
      <w:r w:rsidR="006264AD">
        <w:t xml:space="preserve"> </w:t>
      </w:r>
      <w:r w:rsidR="00DA02DA">
        <w:t xml:space="preserve">recognize </w:t>
      </w:r>
      <w:r w:rsidR="00DC08B8">
        <w:t xml:space="preserve"> the</w:t>
      </w:r>
      <w:r w:rsidR="00DA02DA">
        <w:t xml:space="preserve"> </w:t>
      </w:r>
      <w:r w:rsidR="00A66DEC">
        <w:t>LECL</w:t>
      </w:r>
      <w:r w:rsidR="00041431">
        <w:t xml:space="preserve"> </w:t>
      </w:r>
      <w:r w:rsidR="00DA02DA">
        <w:t>Task Force</w:t>
      </w:r>
      <w:r w:rsidR="00DC08B8">
        <w:t xml:space="preserve"> and</w:t>
      </w:r>
      <w:r w:rsidR="006264AD">
        <w:t xml:space="preserve"> its </w:t>
      </w:r>
      <w:r w:rsidR="00DA02DA">
        <w:t xml:space="preserve">ongoing </w:t>
      </w:r>
      <w:r w:rsidR="006264AD">
        <w:t>collaborat</w:t>
      </w:r>
      <w:r w:rsidR="00DC08B8">
        <w:t>iv</w:t>
      </w:r>
      <w:r w:rsidR="006264AD">
        <w:t xml:space="preserve">e </w:t>
      </w:r>
      <w:r w:rsidR="00DA02DA">
        <w:t>efforts</w:t>
      </w:r>
      <w:r w:rsidR="006264AD">
        <w:t xml:space="preserve">, </w:t>
      </w:r>
      <w:r w:rsidR="00DC08B8">
        <w:t xml:space="preserve">acknowledges </w:t>
      </w:r>
      <w:r w:rsidR="006264AD">
        <w:t xml:space="preserve">potential revisions to the 2004 </w:t>
      </w:r>
      <w:r w:rsidR="00A66DEC">
        <w:t xml:space="preserve">LE/CL </w:t>
      </w:r>
      <w:r w:rsidR="006264AD">
        <w:t>TMDL</w:t>
      </w:r>
      <w:r w:rsidR="00A66DEC">
        <w:t>s</w:t>
      </w:r>
      <w:r w:rsidR="006264AD">
        <w:t>, and</w:t>
      </w:r>
      <w:r w:rsidR="00DC08B8">
        <w:t xml:space="preserve"> </w:t>
      </w:r>
      <w:r w:rsidR="00041431">
        <w:t xml:space="preserve">accepts </w:t>
      </w:r>
      <w:r w:rsidR="006264AD">
        <w:t>in-lake offsets</w:t>
      </w:r>
      <w:r w:rsidR="00DC08B8">
        <w:t xml:space="preserve"> as a compliance strategy</w:t>
      </w:r>
      <w:r w:rsidR="006264AD">
        <w:t>.</w:t>
      </w:r>
      <w:r w:rsidR="002E7647">
        <w:t xml:space="preserve"> Our specific comments and recommendations for revisions are set out in Section III below. In Section 1, we provide a summary </w:t>
      </w:r>
      <w:r w:rsidR="00041431">
        <w:t>on the</w:t>
      </w:r>
      <w:r w:rsidR="002E7647">
        <w:t xml:space="preserve"> background on the </w:t>
      </w:r>
      <w:r w:rsidR="00A66DEC">
        <w:t xml:space="preserve">LECL </w:t>
      </w:r>
      <w:r w:rsidR="002E7647">
        <w:t xml:space="preserve">Task Force, and in section II we provide greater detail on </w:t>
      </w:r>
      <w:r w:rsidR="004635D2">
        <w:t xml:space="preserve">TMDL </w:t>
      </w:r>
      <w:r w:rsidR="00DC08B8">
        <w:t>i</w:t>
      </w:r>
      <w:r w:rsidR="004635D2">
        <w:t xml:space="preserve">mplementation projects that have been implemented by the </w:t>
      </w:r>
      <w:r w:rsidR="00A66DEC">
        <w:t xml:space="preserve">LECL </w:t>
      </w:r>
      <w:r w:rsidR="004635D2">
        <w:t>Task Force and its members</w:t>
      </w:r>
      <w:r w:rsidR="002E7647">
        <w:t>.</w:t>
      </w:r>
    </w:p>
    <w:p w14:paraId="4D1DC0EC" w14:textId="097EF8A0" w:rsidR="0035120A" w:rsidRDefault="0035120A" w:rsidP="00247F87">
      <w:pPr>
        <w:rPr>
          <w:lang w:bidi="en-US"/>
        </w:rPr>
      </w:pPr>
    </w:p>
    <w:p w14:paraId="6714D243" w14:textId="4DB028F1" w:rsidR="0035120A" w:rsidRDefault="0035120A" w:rsidP="0035120A">
      <w:pPr>
        <w:pStyle w:val="ListParagraph"/>
        <w:numPr>
          <w:ilvl w:val="0"/>
          <w:numId w:val="1"/>
        </w:numPr>
        <w:rPr>
          <w:b/>
          <w:bCs/>
          <w:lang w:bidi="en-US"/>
        </w:rPr>
      </w:pPr>
      <w:r>
        <w:rPr>
          <w:b/>
          <w:bCs/>
          <w:lang w:bidi="en-US"/>
        </w:rPr>
        <w:t xml:space="preserve">Background </w:t>
      </w:r>
      <w:r w:rsidR="00854641">
        <w:rPr>
          <w:b/>
          <w:bCs/>
          <w:lang w:bidi="en-US"/>
        </w:rPr>
        <w:t xml:space="preserve">Summary </w:t>
      </w:r>
      <w:r>
        <w:rPr>
          <w:b/>
          <w:bCs/>
          <w:lang w:bidi="en-US"/>
        </w:rPr>
        <w:t>on LECL Task Force</w:t>
      </w:r>
    </w:p>
    <w:p w14:paraId="684EFC07" w14:textId="6814A7FD" w:rsidR="00854641" w:rsidRDefault="00854641" w:rsidP="00854641">
      <w:pPr>
        <w:rPr>
          <w:b/>
          <w:bCs/>
          <w:lang w:bidi="en-US"/>
        </w:rPr>
      </w:pPr>
    </w:p>
    <w:p w14:paraId="076B1928" w14:textId="3B0D918E" w:rsidR="00854641" w:rsidRPr="00854641" w:rsidRDefault="00934183" w:rsidP="00854641">
      <w:pPr>
        <w:rPr>
          <w:lang w:bidi="en-US"/>
        </w:rPr>
      </w:pPr>
      <w:r w:rsidRPr="00247F87">
        <w:rPr>
          <w:lang w:bidi="en-US"/>
        </w:rPr>
        <w:t xml:space="preserve">In 2005, the LESJWA formed the LECL Task Force </w:t>
      </w:r>
      <w:r w:rsidR="0004145B">
        <w:rPr>
          <w:lang w:bidi="en-US"/>
        </w:rPr>
        <w:t>for</w:t>
      </w:r>
      <w:r w:rsidRPr="00247F87">
        <w:rPr>
          <w:lang w:bidi="en-US"/>
        </w:rPr>
        <w:t xml:space="preserve"> stakeholders that would be subject to the LE/CL TMDL</w:t>
      </w:r>
      <w:r w:rsidR="00A66DEC">
        <w:rPr>
          <w:lang w:bidi="en-US"/>
        </w:rPr>
        <w:t>s</w:t>
      </w:r>
      <w:r w:rsidRPr="00247F87">
        <w:rPr>
          <w:lang w:bidi="en-US"/>
        </w:rPr>
        <w:t xml:space="preserve"> </w:t>
      </w:r>
      <w:r w:rsidR="0004145B">
        <w:rPr>
          <w:lang w:bidi="en-US"/>
        </w:rPr>
        <w:t xml:space="preserve">in order </w:t>
      </w:r>
      <w:r w:rsidRPr="00247F87">
        <w:rPr>
          <w:lang w:bidi="en-US"/>
        </w:rPr>
        <w:t xml:space="preserve">to coordinate and share the cost of </w:t>
      </w:r>
      <w:r w:rsidR="00925458">
        <w:rPr>
          <w:lang w:bidi="en-US"/>
        </w:rPr>
        <w:t xml:space="preserve">monitoring and </w:t>
      </w:r>
      <w:r w:rsidRPr="00247F87">
        <w:rPr>
          <w:lang w:bidi="en-US"/>
        </w:rPr>
        <w:t>implementation efforts. The LECL Task Force is comprised of nearly all dischargers identified in the TMDLs, including: MS4 permittees, wastewater treatment plants, agricultural operators, concentrated animal feeding operations (dairies), and state, federal, or tribal agencies that own land or operate facilities that discharge in the watershed</w:t>
      </w:r>
      <w:r w:rsidR="00854641" w:rsidRPr="00854641">
        <w:rPr>
          <w:lang w:bidi="en-US"/>
        </w:rPr>
        <w:t>.</w:t>
      </w:r>
      <w:r w:rsidR="00854641" w:rsidRPr="00854641">
        <w:rPr>
          <w:vertAlign w:val="superscript"/>
          <w:lang w:bidi="en-US"/>
        </w:rPr>
        <w:footnoteReference w:id="2"/>
      </w:r>
      <w:r w:rsidR="00854641" w:rsidRPr="00854641">
        <w:rPr>
          <w:lang w:bidi="en-US"/>
        </w:rPr>
        <w:t xml:space="preserve"> The LECL Task Force meets monthly and Santa Ana Water Board </w:t>
      </w:r>
      <w:r w:rsidR="00DC08B8">
        <w:rPr>
          <w:lang w:bidi="en-US"/>
        </w:rPr>
        <w:t xml:space="preserve">staff </w:t>
      </w:r>
      <w:r w:rsidR="00854641" w:rsidRPr="00854641">
        <w:rPr>
          <w:lang w:bidi="en-US"/>
        </w:rPr>
        <w:t>regularly attend and participate in</w:t>
      </w:r>
      <w:r w:rsidR="00041431">
        <w:rPr>
          <w:lang w:bidi="en-US"/>
        </w:rPr>
        <w:t xml:space="preserve"> </w:t>
      </w:r>
      <w:r w:rsidR="00233167">
        <w:rPr>
          <w:lang w:bidi="en-US"/>
        </w:rPr>
        <w:t>these</w:t>
      </w:r>
      <w:r w:rsidR="00854641" w:rsidRPr="00854641">
        <w:rPr>
          <w:lang w:bidi="en-US"/>
        </w:rPr>
        <w:t xml:space="preserve"> meetings.</w:t>
      </w:r>
    </w:p>
    <w:p w14:paraId="32B0B9F8" w14:textId="77777777" w:rsidR="00854641" w:rsidRPr="00854641" w:rsidRDefault="00854641" w:rsidP="00854641">
      <w:pPr>
        <w:rPr>
          <w:lang w:bidi="en-US"/>
        </w:rPr>
      </w:pPr>
    </w:p>
    <w:p w14:paraId="40DB3FE7" w14:textId="77777777" w:rsidR="00854641" w:rsidRPr="00854641" w:rsidRDefault="00854641" w:rsidP="00854641">
      <w:pPr>
        <w:rPr>
          <w:lang w:bidi="en-US"/>
        </w:rPr>
      </w:pPr>
      <w:r w:rsidRPr="00854641">
        <w:rPr>
          <w:lang w:bidi="en-US"/>
        </w:rPr>
        <w:t>Collectively, the LECL Task Force manages an annual budget of almost $1 million and is responsible for:</w:t>
      </w:r>
    </w:p>
    <w:p w14:paraId="7372C9FC" w14:textId="77777777" w:rsidR="009B0154" w:rsidRDefault="009B0154" w:rsidP="00854641">
      <w:pPr>
        <w:rPr>
          <w:lang w:bidi="en-US"/>
        </w:rPr>
      </w:pPr>
    </w:p>
    <w:p w14:paraId="362F4E78" w14:textId="4A24F1D2" w:rsidR="00854641" w:rsidRDefault="00854641" w:rsidP="009B0154">
      <w:pPr>
        <w:pStyle w:val="ListParagraph"/>
        <w:numPr>
          <w:ilvl w:val="0"/>
          <w:numId w:val="3"/>
        </w:numPr>
        <w:rPr>
          <w:lang w:bidi="en-US"/>
        </w:rPr>
      </w:pPr>
      <w:r w:rsidRPr="00854641">
        <w:rPr>
          <w:lang w:bidi="en-US"/>
        </w:rPr>
        <w:t>Implementing the watershed-wide water quality monitoring program.</w:t>
      </w:r>
    </w:p>
    <w:p w14:paraId="065DE62D" w14:textId="77777777" w:rsidR="009B0154" w:rsidRDefault="009B0154" w:rsidP="009B0154">
      <w:pPr>
        <w:pStyle w:val="ListParagraph"/>
        <w:ind w:left="1440"/>
        <w:rPr>
          <w:lang w:bidi="en-US"/>
        </w:rPr>
      </w:pPr>
    </w:p>
    <w:p w14:paraId="430F0E0F" w14:textId="77777777" w:rsidR="009B0154" w:rsidRDefault="00854641" w:rsidP="00854641">
      <w:pPr>
        <w:pStyle w:val="ListParagraph"/>
        <w:numPr>
          <w:ilvl w:val="0"/>
          <w:numId w:val="3"/>
        </w:numPr>
        <w:rPr>
          <w:lang w:bidi="en-US"/>
        </w:rPr>
      </w:pPr>
      <w:r w:rsidRPr="00854641">
        <w:rPr>
          <w:lang w:bidi="en-US"/>
        </w:rPr>
        <w:t>Implementing the water quality monitoring program for both lakes.</w:t>
      </w:r>
    </w:p>
    <w:p w14:paraId="339B3369" w14:textId="77777777" w:rsidR="009B0154" w:rsidRDefault="009B0154" w:rsidP="009B0154">
      <w:pPr>
        <w:pStyle w:val="ListParagraph"/>
        <w:rPr>
          <w:lang w:bidi="en-US"/>
        </w:rPr>
      </w:pPr>
    </w:p>
    <w:p w14:paraId="6AF96BB4" w14:textId="77777777" w:rsidR="009B0154" w:rsidRDefault="00854641" w:rsidP="00854641">
      <w:pPr>
        <w:pStyle w:val="ListParagraph"/>
        <w:numPr>
          <w:ilvl w:val="0"/>
          <w:numId w:val="3"/>
        </w:numPr>
        <w:rPr>
          <w:lang w:bidi="en-US"/>
        </w:rPr>
      </w:pPr>
      <w:r w:rsidRPr="00854641">
        <w:rPr>
          <w:lang w:bidi="en-US"/>
        </w:rPr>
        <w:t>Updating the watershed runoff model used to estimate nutrient loads.</w:t>
      </w:r>
    </w:p>
    <w:p w14:paraId="7DA5BA65" w14:textId="77777777" w:rsidR="009B0154" w:rsidRDefault="009B0154" w:rsidP="009B0154">
      <w:pPr>
        <w:pStyle w:val="ListParagraph"/>
        <w:rPr>
          <w:lang w:bidi="en-US"/>
        </w:rPr>
      </w:pPr>
    </w:p>
    <w:p w14:paraId="2D70F5C2" w14:textId="77777777" w:rsidR="009B0154" w:rsidRDefault="00854641" w:rsidP="00854641">
      <w:pPr>
        <w:pStyle w:val="ListParagraph"/>
        <w:numPr>
          <w:ilvl w:val="0"/>
          <w:numId w:val="3"/>
        </w:numPr>
        <w:rPr>
          <w:lang w:bidi="en-US"/>
        </w:rPr>
      </w:pPr>
      <w:r w:rsidRPr="00854641">
        <w:rPr>
          <w:lang w:bidi="en-US"/>
        </w:rPr>
        <w:t>Conducting special studies to aid in selection of mitigation projects.</w:t>
      </w:r>
      <w:r w:rsidRPr="00854641">
        <w:rPr>
          <w:vertAlign w:val="superscript"/>
          <w:lang w:bidi="en-US"/>
        </w:rPr>
        <w:footnoteReference w:id="3"/>
      </w:r>
    </w:p>
    <w:p w14:paraId="6190D87C" w14:textId="77777777" w:rsidR="009B0154" w:rsidRDefault="009B0154" w:rsidP="009B0154">
      <w:pPr>
        <w:pStyle w:val="ListParagraph"/>
        <w:rPr>
          <w:lang w:bidi="en-US"/>
        </w:rPr>
      </w:pPr>
    </w:p>
    <w:p w14:paraId="6E44D3FB" w14:textId="77777777" w:rsidR="009B0154" w:rsidRDefault="00854641" w:rsidP="00854641">
      <w:pPr>
        <w:pStyle w:val="ListParagraph"/>
        <w:numPr>
          <w:ilvl w:val="0"/>
          <w:numId w:val="3"/>
        </w:numPr>
        <w:rPr>
          <w:lang w:bidi="en-US"/>
        </w:rPr>
      </w:pPr>
      <w:r w:rsidRPr="00854641">
        <w:rPr>
          <w:lang w:bidi="en-US"/>
        </w:rPr>
        <w:t>Implementing the Lake Elsinore Sediment Nutrient Reduction Plan.</w:t>
      </w:r>
    </w:p>
    <w:p w14:paraId="61854416" w14:textId="77777777" w:rsidR="009B0154" w:rsidRDefault="009B0154" w:rsidP="009B0154">
      <w:pPr>
        <w:pStyle w:val="ListParagraph"/>
        <w:rPr>
          <w:lang w:bidi="en-US"/>
        </w:rPr>
      </w:pPr>
    </w:p>
    <w:p w14:paraId="098A026E" w14:textId="77777777" w:rsidR="009B0154" w:rsidRDefault="00854641" w:rsidP="00854641">
      <w:pPr>
        <w:pStyle w:val="ListParagraph"/>
        <w:numPr>
          <w:ilvl w:val="0"/>
          <w:numId w:val="3"/>
        </w:numPr>
        <w:rPr>
          <w:lang w:bidi="en-US"/>
        </w:rPr>
      </w:pPr>
      <w:r w:rsidRPr="00854641">
        <w:rPr>
          <w:lang w:bidi="en-US"/>
        </w:rPr>
        <w:t>Implementing the Canyon Lake Sediment Nutrient Reduction Plan.</w:t>
      </w:r>
    </w:p>
    <w:p w14:paraId="0E8BFDBF" w14:textId="77777777" w:rsidR="009B0154" w:rsidRDefault="009B0154" w:rsidP="009B0154">
      <w:pPr>
        <w:pStyle w:val="ListParagraph"/>
        <w:rPr>
          <w:lang w:bidi="en-US"/>
        </w:rPr>
      </w:pPr>
    </w:p>
    <w:p w14:paraId="0E3250E7" w14:textId="77777777" w:rsidR="009B0154" w:rsidRDefault="00854641" w:rsidP="00854641">
      <w:pPr>
        <w:pStyle w:val="ListParagraph"/>
        <w:numPr>
          <w:ilvl w:val="0"/>
          <w:numId w:val="3"/>
        </w:numPr>
        <w:rPr>
          <w:lang w:bidi="en-US"/>
        </w:rPr>
      </w:pPr>
      <w:r w:rsidRPr="00854641">
        <w:rPr>
          <w:lang w:bidi="en-US"/>
        </w:rPr>
        <w:t>Revising and updating the TMDL (including targets and allocations).</w:t>
      </w:r>
    </w:p>
    <w:p w14:paraId="3B566A50" w14:textId="77777777" w:rsidR="009B0154" w:rsidRDefault="009B0154" w:rsidP="009B0154">
      <w:pPr>
        <w:pStyle w:val="ListParagraph"/>
        <w:rPr>
          <w:lang w:bidi="en-US"/>
        </w:rPr>
      </w:pPr>
    </w:p>
    <w:p w14:paraId="45C9B5EE" w14:textId="5D2C7932" w:rsidR="00854641" w:rsidRPr="00854641" w:rsidRDefault="00854641" w:rsidP="00854641">
      <w:pPr>
        <w:pStyle w:val="ListParagraph"/>
        <w:numPr>
          <w:ilvl w:val="0"/>
          <w:numId w:val="3"/>
        </w:numPr>
        <w:rPr>
          <w:lang w:bidi="en-US"/>
        </w:rPr>
      </w:pPr>
      <w:r w:rsidRPr="00854641">
        <w:rPr>
          <w:lang w:bidi="en-US"/>
        </w:rPr>
        <w:t>Completing a fisheries management report for Lake Elsinore (LESJWA 2020).</w:t>
      </w:r>
    </w:p>
    <w:p w14:paraId="23DDB78B" w14:textId="77777777" w:rsidR="009B0154" w:rsidRDefault="009B0154" w:rsidP="00854641">
      <w:pPr>
        <w:rPr>
          <w:lang w:bidi="en-US"/>
        </w:rPr>
      </w:pPr>
    </w:p>
    <w:p w14:paraId="66555196" w14:textId="6B910495" w:rsidR="00854641" w:rsidRPr="00854641" w:rsidRDefault="00FD5956" w:rsidP="00854641">
      <w:pPr>
        <w:rPr>
          <w:lang w:bidi="en-US"/>
        </w:rPr>
      </w:pPr>
      <w:r>
        <w:rPr>
          <w:lang w:bidi="en-US"/>
        </w:rPr>
        <w:t>S</w:t>
      </w:r>
      <w:r w:rsidR="00854641" w:rsidRPr="00854641">
        <w:rPr>
          <w:lang w:bidi="en-US"/>
        </w:rPr>
        <w:t xml:space="preserve">ince it commenced operations, the LECL Task Force has implemented several large-scale water quality improvement projects to reduce nutrient loads released by lake bottom sediments. In addition, individual LECL Task Force </w:t>
      </w:r>
      <w:r w:rsidR="00556E31">
        <w:rPr>
          <w:lang w:bidi="en-US"/>
        </w:rPr>
        <w:t>members</w:t>
      </w:r>
      <w:r w:rsidR="00854641" w:rsidRPr="00854641">
        <w:rPr>
          <w:lang w:bidi="en-US"/>
        </w:rPr>
        <w:t xml:space="preserve"> and stakeholders have implemented a wide array of best management practices (BMPs) designed to reduce nitrogen and phosphorus pollution in stormwater runoff from urban and agricultural areas.</w:t>
      </w:r>
    </w:p>
    <w:p w14:paraId="451AB5C9" w14:textId="77777777" w:rsidR="009B0154" w:rsidRDefault="009B0154" w:rsidP="00854641">
      <w:pPr>
        <w:rPr>
          <w:lang w:bidi="en-US"/>
        </w:rPr>
      </w:pPr>
    </w:p>
    <w:p w14:paraId="7227D76F" w14:textId="177F8689" w:rsidR="00854641" w:rsidRDefault="009B0154" w:rsidP="00854641">
      <w:pPr>
        <w:rPr>
          <w:lang w:bidi="en-US"/>
        </w:rPr>
      </w:pPr>
      <w:r>
        <w:rPr>
          <w:lang w:bidi="en-US"/>
        </w:rPr>
        <w:t>For the first 10-year compliance period (</w:t>
      </w:r>
      <w:r w:rsidR="00854641" w:rsidRPr="00854641">
        <w:rPr>
          <w:lang w:bidi="en-US"/>
        </w:rPr>
        <w:t>January 1, 2011 through December 31, 2020</w:t>
      </w:r>
      <w:r>
        <w:rPr>
          <w:lang w:bidi="en-US"/>
        </w:rPr>
        <w:t>), i</w:t>
      </w:r>
      <w:r w:rsidR="00854641" w:rsidRPr="00854641">
        <w:rPr>
          <w:lang w:bidi="en-US"/>
        </w:rPr>
        <w:t>mplementation efforts include in-lake projects such as alum applications in Canyon Lake and operation of the L</w:t>
      </w:r>
      <w:r w:rsidR="003D07F8">
        <w:rPr>
          <w:lang w:bidi="en-US"/>
        </w:rPr>
        <w:t>EAMS</w:t>
      </w:r>
      <w:r w:rsidR="00854641" w:rsidRPr="00854641">
        <w:rPr>
          <w:lang w:bidi="en-US"/>
        </w:rPr>
        <w:t xml:space="preserve"> in Lake Elsinore</w:t>
      </w:r>
      <w:r w:rsidR="003D07F8">
        <w:rPr>
          <w:lang w:bidi="en-US"/>
        </w:rPr>
        <w:t xml:space="preserve">, as well as </w:t>
      </w:r>
      <w:r w:rsidR="00854641" w:rsidRPr="00854641">
        <w:rPr>
          <w:lang w:bidi="en-US"/>
        </w:rPr>
        <w:t>watershed controls implemented by MS4</w:t>
      </w:r>
      <w:r w:rsidR="003D07F8">
        <w:rPr>
          <w:lang w:bidi="en-US"/>
        </w:rPr>
        <w:t>s</w:t>
      </w:r>
      <w:r w:rsidR="00854641" w:rsidRPr="00854641">
        <w:rPr>
          <w:lang w:bidi="en-US"/>
        </w:rPr>
        <w:t xml:space="preserve"> and agricultural operators. </w:t>
      </w:r>
      <w:r w:rsidR="00FD5956">
        <w:rPr>
          <w:lang w:bidi="en-US"/>
        </w:rPr>
        <w:t>As noted above</w:t>
      </w:r>
      <w:r w:rsidR="007E7A37">
        <w:rPr>
          <w:lang w:bidi="en-US"/>
        </w:rPr>
        <w:t>, these cumulative compliance efforts resulted in achievement of</w:t>
      </w:r>
      <w:r w:rsidR="00D60751">
        <w:rPr>
          <w:lang w:bidi="en-US"/>
        </w:rPr>
        <w:t xml:space="preserve"> the final TP and TN TMDL allocations for both lakes at the end of December 2020</w:t>
      </w:r>
      <w:r w:rsidR="003D0AA4">
        <w:rPr>
          <w:lang w:bidi="en-US"/>
        </w:rPr>
        <w:t xml:space="preserve"> (LESJWA 2021)</w:t>
      </w:r>
      <w:r w:rsidR="00D60751">
        <w:rPr>
          <w:lang w:bidi="en-US"/>
        </w:rPr>
        <w:t xml:space="preserve">. </w:t>
      </w:r>
    </w:p>
    <w:p w14:paraId="36E4E08B" w14:textId="05870E7D" w:rsidR="00AF4F44" w:rsidRDefault="00AF4F44" w:rsidP="00854641">
      <w:pPr>
        <w:rPr>
          <w:lang w:bidi="en-US"/>
        </w:rPr>
      </w:pPr>
    </w:p>
    <w:p w14:paraId="7E78BA57" w14:textId="1BA18234" w:rsidR="002E7647" w:rsidRDefault="002E7647" w:rsidP="002E7647">
      <w:pPr>
        <w:rPr>
          <w:lang w:bidi="en-US"/>
        </w:rPr>
      </w:pPr>
      <w:r w:rsidRPr="00247F87">
        <w:rPr>
          <w:lang w:bidi="en-US"/>
        </w:rPr>
        <w:t xml:space="preserve">Starting in mid-2015, the LECL Task Force </w:t>
      </w:r>
      <w:r w:rsidR="001854AF">
        <w:rPr>
          <w:lang w:bidi="en-US"/>
        </w:rPr>
        <w:t>(</w:t>
      </w:r>
      <w:r w:rsidRPr="00247F87">
        <w:rPr>
          <w:lang w:bidi="en-US"/>
        </w:rPr>
        <w:t>with Santa Ana Water Board support</w:t>
      </w:r>
      <w:r w:rsidR="001854AF">
        <w:rPr>
          <w:lang w:bidi="en-US"/>
        </w:rPr>
        <w:t>)</w:t>
      </w:r>
      <w:r w:rsidRPr="00247F87">
        <w:rPr>
          <w:lang w:bidi="en-US"/>
        </w:rPr>
        <w:t xml:space="preserve"> </w:t>
      </w:r>
      <w:r w:rsidR="003D07F8">
        <w:rPr>
          <w:lang w:bidi="en-US"/>
        </w:rPr>
        <w:t xml:space="preserve">agreed </w:t>
      </w:r>
      <w:r w:rsidRPr="00247F87">
        <w:rPr>
          <w:lang w:bidi="en-US"/>
        </w:rPr>
        <w:t>to develop the documentation needed to update and amend the 2004 LE/CL TMDL</w:t>
      </w:r>
      <w:r w:rsidR="004F508C">
        <w:rPr>
          <w:lang w:bidi="en-US"/>
        </w:rPr>
        <w:t>s</w:t>
      </w:r>
      <w:r w:rsidRPr="00247F87">
        <w:rPr>
          <w:lang w:bidi="en-US"/>
        </w:rPr>
        <w:t xml:space="preserve">. In December 2018, a Draft TMDL Technical Report: </w:t>
      </w:r>
      <w:r w:rsidRPr="00247F87">
        <w:rPr>
          <w:i/>
          <w:iCs/>
          <w:lang w:bidi="en-US"/>
        </w:rPr>
        <w:t>Revision to the Lake Elsinore and Canyon Lake Nutrient TMDLs</w:t>
      </w:r>
      <w:r w:rsidRPr="00247F87">
        <w:rPr>
          <w:lang w:bidi="en-US"/>
        </w:rPr>
        <w:t xml:space="preserve"> (Draft TMDL Technical Report) was released for public and peer review (LESJWA 2018). The Santa Ana Water Board held a public workshop on the Draft TMDL Technical Report and proposed revisions on May 3, 2019. The Santa Ana Water Board received comments from six different peer reviewers on the Draft TMDL Technical Report on October 22, 2019. Since then, </w:t>
      </w:r>
      <w:r>
        <w:rPr>
          <w:lang w:bidi="en-US"/>
        </w:rPr>
        <w:t xml:space="preserve">the </w:t>
      </w:r>
      <w:r w:rsidR="00233167">
        <w:rPr>
          <w:lang w:bidi="en-US"/>
        </w:rPr>
        <w:t xml:space="preserve">LECL </w:t>
      </w:r>
      <w:r>
        <w:rPr>
          <w:lang w:bidi="en-US"/>
        </w:rPr>
        <w:t xml:space="preserve">Task Force and </w:t>
      </w:r>
      <w:r w:rsidRPr="00247F87">
        <w:rPr>
          <w:lang w:bidi="en-US"/>
        </w:rPr>
        <w:t>Santa Ana Water Board staff ha</w:t>
      </w:r>
      <w:r w:rsidR="001854AF">
        <w:rPr>
          <w:lang w:bidi="en-US"/>
        </w:rPr>
        <w:t>ve</w:t>
      </w:r>
      <w:r w:rsidRPr="00247F87">
        <w:rPr>
          <w:lang w:bidi="en-US"/>
        </w:rPr>
        <w:t xml:space="preserve"> </w:t>
      </w:r>
      <w:r w:rsidR="003D07F8">
        <w:rPr>
          <w:lang w:bidi="en-US"/>
        </w:rPr>
        <w:t>worked</w:t>
      </w:r>
      <w:r w:rsidRPr="00247F87">
        <w:rPr>
          <w:lang w:bidi="en-US"/>
        </w:rPr>
        <w:t xml:space="preserve"> </w:t>
      </w:r>
      <w:r>
        <w:rPr>
          <w:lang w:bidi="en-US"/>
        </w:rPr>
        <w:t>collaboratively to resp</w:t>
      </w:r>
      <w:r w:rsidRPr="00247F87">
        <w:rPr>
          <w:lang w:bidi="en-US"/>
        </w:rPr>
        <w:t xml:space="preserve">ond to questions and </w:t>
      </w:r>
      <w:r w:rsidR="00FD5956">
        <w:rPr>
          <w:lang w:bidi="en-US"/>
        </w:rPr>
        <w:t>concerns</w:t>
      </w:r>
      <w:r w:rsidRPr="00247F87">
        <w:rPr>
          <w:lang w:bidi="en-US"/>
        </w:rPr>
        <w:t xml:space="preserve"> raised by peer reviewers, USEPA and others </w:t>
      </w:r>
      <w:r w:rsidR="004F508C">
        <w:rPr>
          <w:lang w:bidi="en-US"/>
        </w:rPr>
        <w:t>relating</w:t>
      </w:r>
      <w:r w:rsidRPr="00247F87">
        <w:rPr>
          <w:lang w:bidi="en-US"/>
        </w:rPr>
        <w:t xml:space="preserve"> to the Draft TMDL Technical Report, models used in the report</w:t>
      </w:r>
      <w:r w:rsidR="004F508C">
        <w:rPr>
          <w:lang w:bidi="en-US"/>
        </w:rPr>
        <w:t>,</w:t>
      </w:r>
      <w:r w:rsidRPr="00247F87">
        <w:rPr>
          <w:lang w:bidi="en-US"/>
        </w:rPr>
        <w:t xml:space="preserve"> and proposed revisions to the LE/CL TMDL</w:t>
      </w:r>
      <w:r w:rsidR="00626337">
        <w:rPr>
          <w:lang w:bidi="en-US"/>
        </w:rPr>
        <w:t>s</w:t>
      </w:r>
      <w:r w:rsidRPr="00247F87">
        <w:rPr>
          <w:lang w:bidi="en-US"/>
        </w:rPr>
        <w:t>.</w:t>
      </w:r>
      <w:r>
        <w:rPr>
          <w:lang w:bidi="en-US"/>
        </w:rPr>
        <w:t xml:space="preserve"> These efforts are ongoing. </w:t>
      </w:r>
      <w:r w:rsidRPr="00247F87">
        <w:rPr>
          <w:lang w:bidi="en-US"/>
        </w:rPr>
        <w:t>In the meantime, the 2004 LE/CL TMDL</w:t>
      </w:r>
      <w:r w:rsidR="00626337">
        <w:rPr>
          <w:lang w:bidi="en-US"/>
        </w:rPr>
        <w:t>s</w:t>
      </w:r>
      <w:r w:rsidRPr="00247F87">
        <w:rPr>
          <w:lang w:bidi="en-US"/>
        </w:rPr>
        <w:t xml:space="preserve"> remain in effect, and implementation of the TMDL and its provisions continues.</w:t>
      </w:r>
    </w:p>
    <w:p w14:paraId="351505FD" w14:textId="029380BF" w:rsidR="00372183" w:rsidRDefault="00372183" w:rsidP="002E7647">
      <w:pPr>
        <w:rPr>
          <w:lang w:bidi="en-US"/>
        </w:rPr>
      </w:pPr>
    </w:p>
    <w:p w14:paraId="6FBEDDF3" w14:textId="0BB54910" w:rsidR="00372183" w:rsidRDefault="00372183" w:rsidP="00372183">
      <w:pPr>
        <w:pStyle w:val="ListParagraph"/>
        <w:numPr>
          <w:ilvl w:val="0"/>
          <w:numId w:val="1"/>
        </w:numPr>
        <w:rPr>
          <w:b/>
          <w:bCs/>
          <w:lang w:bidi="en-US"/>
        </w:rPr>
      </w:pPr>
      <w:r>
        <w:rPr>
          <w:b/>
          <w:bCs/>
          <w:lang w:bidi="en-US"/>
        </w:rPr>
        <w:t>Summary of TMDL Implementation Program</w:t>
      </w:r>
    </w:p>
    <w:p w14:paraId="44C0B42B" w14:textId="7B5BCA92" w:rsidR="00372183" w:rsidRDefault="00372183" w:rsidP="00372183">
      <w:pPr>
        <w:rPr>
          <w:b/>
          <w:bCs/>
          <w:lang w:bidi="en-US"/>
        </w:rPr>
      </w:pPr>
    </w:p>
    <w:p w14:paraId="0B773D1A" w14:textId="62F99396" w:rsidR="00372183" w:rsidRDefault="00372183" w:rsidP="00372183">
      <w:pPr>
        <w:rPr>
          <w:lang w:bidi="en-US"/>
        </w:rPr>
      </w:pPr>
      <w:r>
        <w:rPr>
          <w:lang w:bidi="en-US"/>
        </w:rPr>
        <w:t xml:space="preserve">The LECL Task Force, </w:t>
      </w:r>
      <w:r w:rsidR="00626337">
        <w:rPr>
          <w:lang w:bidi="en-US"/>
        </w:rPr>
        <w:t xml:space="preserve">both </w:t>
      </w:r>
      <w:r>
        <w:rPr>
          <w:lang w:bidi="en-US"/>
        </w:rPr>
        <w:t xml:space="preserve">collectively and </w:t>
      </w:r>
      <w:r w:rsidR="00626337">
        <w:rPr>
          <w:lang w:bidi="en-US"/>
        </w:rPr>
        <w:t>through the efforts of individual members</w:t>
      </w:r>
      <w:r>
        <w:rPr>
          <w:lang w:bidi="en-US"/>
        </w:rPr>
        <w:t>, ha</w:t>
      </w:r>
      <w:r w:rsidR="00626337">
        <w:rPr>
          <w:lang w:bidi="en-US"/>
        </w:rPr>
        <w:t>s</w:t>
      </w:r>
      <w:r>
        <w:rPr>
          <w:lang w:bidi="en-US"/>
        </w:rPr>
        <w:t xml:space="preserve"> implemented numerous projects in the San Jacinto River watershed, Canyon Lake and Lake Elsinore to support efforts to achieve interim and final TMDL targets and WLAs/LAs in the TMDL. The 2020 Compliance Assessment Report describes these projects in substantial detail</w:t>
      </w:r>
      <w:r w:rsidR="00925458">
        <w:rPr>
          <w:lang w:bidi="en-US"/>
        </w:rPr>
        <w:t xml:space="preserve"> and demonstrates achievement of the TMDLs</w:t>
      </w:r>
      <w:r w:rsidR="000B6E3B">
        <w:rPr>
          <w:lang w:bidi="en-US"/>
        </w:rPr>
        <w:t>, which is not repeated here. (See LESJWA 2021.)</w:t>
      </w:r>
      <w:r w:rsidR="007B0332">
        <w:rPr>
          <w:lang w:bidi="en-US"/>
        </w:rPr>
        <w:t xml:space="preserve"> Rather, we provide a brief summary so that </w:t>
      </w:r>
      <w:r w:rsidR="00FD28ED">
        <w:rPr>
          <w:lang w:bidi="en-US"/>
        </w:rPr>
        <w:t xml:space="preserve">staff at the </w:t>
      </w:r>
      <w:r w:rsidR="007B0332">
        <w:rPr>
          <w:lang w:bidi="en-US"/>
        </w:rPr>
        <w:t xml:space="preserve">Santa Ana Water Board </w:t>
      </w:r>
      <w:r w:rsidR="00FD28ED">
        <w:rPr>
          <w:lang w:bidi="en-US"/>
        </w:rPr>
        <w:t xml:space="preserve">that are not acquainted with the LECL Task Force </w:t>
      </w:r>
      <w:r w:rsidR="007B0332">
        <w:rPr>
          <w:lang w:bidi="en-US"/>
        </w:rPr>
        <w:t>can understand the breadth and extent of work performed by the LECL Task Force since it was formed in 2005.</w:t>
      </w:r>
    </w:p>
    <w:p w14:paraId="0D82B266" w14:textId="0DDCAADB" w:rsidR="007058EA" w:rsidRDefault="007058EA" w:rsidP="00372183">
      <w:pPr>
        <w:rPr>
          <w:lang w:bidi="en-US"/>
        </w:rPr>
      </w:pPr>
    </w:p>
    <w:p w14:paraId="65935F02" w14:textId="1D739A13" w:rsidR="00990628" w:rsidRDefault="00990628" w:rsidP="00372183">
      <w:pPr>
        <w:rPr>
          <w:lang w:bidi="en-US"/>
        </w:rPr>
      </w:pPr>
      <w:r>
        <w:rPr>
          <w:u w:val="single"/>
          <w:lang w:bidi="en-US"/>
        </w:rPr>
        <w:t>Lake and Watershed Monitoring Program</w:t>
      </w:r>
    </w:p>
    <w:p w14:paraId="76EA9E98" w14:textId="0C63FD36" w:rsidR="00990628" w:rsidRDefault="00990628" w:rsidP="00372183">
      <w:pPr>
        <w:rPr>
          <w:u w:val="single"/>
          <w:lang w:bidi="en-US"/>
        </w:rPr>
      </w:pPr>
    </w:p>
    <w:p w14:paraId="72F5ADB9" w14:textId="5FDCF0A4" w:rsidR="00340D79" w:rsidRDefault="00340D79" w:rsidP="00372183">
      <w:pPr>
        <w:rPr>
          <w:lang w:bidi="en-US"/>
        </w:rPr>
      </w:pPr>
      <w:r>
        <w:rPr>
          <w:lang w:bidi="en-US"/>
        </w:rPr>
        <w:t>The 2004 LE/CL TMDLs require</w:t>
      </w:r>
      <w:r w:rsidR="00A00E5A">
        <w:rPr>
          <w:lang w:bidi="en-US"/>
        </w:rPr>
        <w:t>d</w:t>
      </w:r>
      <w:r>
        <w:rPr>
          <w:lang w:bidi="en-US"/>
        </w:rPr>
        <w:t xml:space="preserve"> stakeholders to implement a long-term surveillance and monitoring program that includes 1) watershed-wide monitoring to determine compliance with interim and/or final TP and TN allocations; 2) in-lake nutrient monitoring for both lakes to determine compliance with interim and final nitrogen, phosphorus, chlorophyll-</w:t>
      </w:r>
      <w:r>
        <w:rPr>
          <w:i/>
          <w:iCs/>
          <w:lang w:bidi="en-US"/>
        </w:rPr>
        <w:t>a</w:t>
      </w:r>
      <w:r>
        <w:rPr>
          <w:lang w:bidi="en-US"/>
        </w:rPr>
        <w:t>, and dissolved oxygen (DO) targets; and, 3) an annual report summarizing data collected for the year that evaluates compliance with the TMDL, due August 15 of each year</w:t>
      </w:r>
      <w:r w:rsidR="00A00E5A">
        <w:rPr>
          <w:lang w:bidi="en-US"/>
        </w:rPr>
        <w:t>. The original monitoring program for the 2004 LE/CL TMDL was approved by the Santa Ana Water Board in 2006 (Resolution No. R8-2006-0031), and was implemented from April 2006 through June of 2012, with some approved revisions.</w:t>
      </w:r>
    </w:p>
    <w:p w14:paraId="0536C13B" w14:textId="209F9EB2" w:rsidR="00A00E5A" w:rsidRDefault="00A00E5A" w:rsidP="00372183">
      <w:pPr>
        <w:rPr>
          <w:lang w:bidi="en-US"/>
        </w:rPr>
      </w:pPr>
    </w:p>
    <w:p w14:paraId="14BA4E70" w14:textId="6D767722" w:rsidR="00030928" w:rsidRDefault="00406F89" w:rsidP="00372183">
      <w:pPr>
        <w:rPr>
          <w:lang w:bidi="en-US"/>
        </w:rPr>
      </w:pPr>
      <w:r>
        <w:rPr>
          <w:lang w:bidi="en-US"/>
        </w:rPr>
        <w:t xml:space="preserve">For the period of July 2012 through April 2015, in lake monitoring was temporarily suspended </w:t>
      </w:r>
      <w:r w:rsidR="00757930">
        <w:rPr>
          <w:lang w:bidi="en-US"/>
        </w:rPr>
        <w:t xml:space="preserve">(as agreed on with the Santa Ana Water Board) </w:t>
      </w:r>
      <w:r>
        <w:rPr>
          <w:lang w:bidi="en-US"/>
        </w:rPr>
        <w:t>so that the LECL Task Force could redirect program funding towards nutrient reduction actions</w:t>
      </w:r>
      <w:r w:rsidR="00757930">
        <w:rPr>
          <w:lang w:bidi="en-US"/>
        </w:rPr>
        <w:t xml:space="preserve">. Watershed monitoring continued as previously approved. Then, in 2015, in lake monitoring resumed in accordance with a revised a monitoring work plan. Key enhancements to the in-lake monitoring program included </w:t>
      </w:r>
      <w:r w:rsidR="00030928">
        <w:rPr>
          <w:lang w:bidi="en-US"/>
        </w:rPr>
        <w:t>additional monitoring events for Lake Elsinore, total and dissolved aluminum monitoring in Canyon Lake and satellite imagery for Canyon Lake. The LECL Task Force has also voluntarily conducted monitoring for cynobacteria blooms using in lake sampling and high resolution satellite imagery at Lake Elsinore.</w:t>
      </w:r>
    </w:p>
    <w:p w14:paraId="74C53E92" w14:textId="4DFE648B" w:rsidR="00030928" w:rsidRDefault="00030928" w:rsidP="00372183">
      <w:pPr>
        <w:rPr>
          <w:lang w:bidi="en-US"/>
        </w:rPr>
      </w:pPr>
    </w:p>
    <w:p w14:paraId="33640BED" w14:textId="3B3D152B" w:rsidR="00030928" w:rsidRDefault="00030928" w:rsidP="00372183">
      <w:pPr>
        <w:rPr>
          <w:lang w:bidi="en-US"/>
        </w:rPr>
      </w:pPr>
      <w:r>
        <w:rPr>
          <w:lang w:bidi="en-US"/>
        </w:rPr>
        <w:t>The LECL Task Force continues to implement the Lake and Watershed monitoring program every year and submits an Annual Report each August.</w:t>
      </w:r>
    </w:p>
    <w:p w14:paraId="4F6EBF58" w14:textId="77777777" w:rsidR="00030928" w:rsidRPr="00030928" w:rsidRDefault="00030928" w:rsidP="00372183">
      <w:pPr>
        <w:rPr>
          <w:lang w:bidi="en-US"/>
        </w:rPr>
      </w:pPr>
    </w:p>
    <w:p w14:paraId="3CE44105" w14:textId="18E8CD41" w:rsidR="00990628" w:rsidRDefault="00990628" w:rsidP="00372183">
      <w:pPr>
        <w:rPr>
          <w:u w:val="single"/>
          <w:lang w:bidi="en-US"/>
        </w:rPr>
      </w:pPr>
      <w:r>
        <w:rPr>
          <w:u w:val="single"/>
          <w:lang w:bidi="en-US"/>
        </w:rPr>
        <w:t>In-Lake Nutrient Controls</w:t>
      </w:r>
    </w:p>
    <w:p w14:paraId="3616EC56" w14:textId="7FC628F0" w:rsidR="00990628" w:rsidRDefault="00990628" w:rsidP="00372183">
      <w:pPr>
        <w:rPr>
          <w:u w:val="single"/>
          <w:lang w:bidi="en-US"/>
        </w:rPr>
      </w:pPr>
    </w:p>
    <w:p w14:paraId="701D7187" w14:textId="24D855AB" w:rsidR="00CC6207" w:rsidRDefault="00CC6207" w:rsidP="00372183">
      <w:pPr>
        <w:rPr>
          <w:lang w:bidi="en-US"/>
        </w:rPr>
      </w:pPr>
      <w:r>
        <w:rPr>
          <w:lang w:bidi="en-US"/>
        </w:rPr>
        <w:t>The LECL Task Force members, individually and collectively, have developed and implemented several significant programs to control nutrients in the lakes.</w:t>
      </w:r>
    </w:p>
    <w:p w14:paraId="1A5B5053" w14:textId="3C253367" w:rsidR="00CC6207" w:rsidRDefault="00CC6207" w:rsidP="00372183">
      <w:pPr>
        <w:rPr>
          <w:lang w:bidi="en-US"/>
        </w:rPr>
      </w:pPr>
    </w:p>
    <w:p w14:paraId="5572280D" w14:textId="269CEDE5" w:rsidR="003B0556" w:rsidRDefault="00CC6207" w:rsidP="00CC6207">
      <w:pPr>
        <w:pStyle w:val="ListParagraph"/>
        <w:numPr>
          <w:ilvl w:val="0"/>
          <w:numId w:val="7"/>
        </w:numPr>
        <w:rPr>
          <w:lang w:bidi="en-US"/>
        </w:rPr>
      </w:pPr>
      <w:r>
        <w:rPr>
          <w:lang w:bidi="en-US"/>
        </w:rPr>
        <w:t>Canyon Lake Alum -Starting in 2013, the LECL Task Force has added alum to Canyon Lake. In summary, when alum is added to water, it forms an aluminum hydroxide floc that binds with phosphorus in the water column</w:t>
      </w:r>
      <w:r w:rsidR="0037030A">
        <w:rPr>
          <w:lang w:bidi="en-US"/>
        </w:rPr>
        <w:t xml:space="preserve"> </w:t>
      </w:r>
      <w:r w:rsidR="00251345">
        <w:rPr>
          <w:lang w:bidi="en-US"/>
        </w:rPr>
        <w:t>and settles to the lake bottom. Once on the lake bottom, any remaining binding capacity is used to sequester a portion of phosphorus in pore water.</w:t>
      </w:r>
      <w:r w:rsidR="003D557A">
        <w:rPr>
          <w:lang w:bidi="en-US"/>
        </w:rPr>
        <w:t xml:space="preserve"> This portion of phosphorus is no longer available for cycling back to the water column, which helps to control algae growth. Since beginning the addition of alum, water quality has improved dramatically in Canyon Lake and TP levels have steadily decreased at all monitoring sites.</w:t>
      </w:r>
      <w:r w:rsidR="003A63EC">
        <w:rPr>
          <w:lang w:bidi="en-US"/>
        </w:rPr>
        <w:t xml:space="preserve"> The application of alum to Canyon Lake offsets nutrient reductions from LECL Task Force members and is essential for achieving TP TMDL allocations.</w:t>
      </w:r>
    </w:p>
    <w:p w14:paraId="56FF94FA" w14:textId="77777777" w:rsidR="003B0556" w:rsidRDefault="003B0556" w:rsidP="003B0556">
      <w:pPr>
        <w:pStyle w:val="ListParagraph"/>
        <w:ind w:left="1446"/>
        <w:rPr>
          <w:lang w:bidi="en-US"/>
        </w:rPr>
      </w:pPr>
    </w:p>
    <w:p w14:paraId="7A31D98B" w14:textId="4F886C69" w:rsidR="00CC6207" w:rsidRDefault="003B0556" w:rsidP="00CC6207">
      <w:pPr>
        <w:pStyle w:val="ListParagraph"/>
        <w:numPr>
          <w:ilvl w:val="0"/>
          <w:numId w:val="7"/>
        </w:numPr>
        <w:rPr>
          <w:lang w:bidi="en-US"/>
        </w:rPr>
      </w:pPr>
      <w:r>
        <w:rPr>
          <w:lang w:bidi="en-US"/>
        </w:rPr>
        <w:t>Lake Elsinore Lake-Level Stabilization – Lake Elsinore is historically known for its widely fluctuating lake levels, which impacts water quality. Over the decades, many efforts have been implemented to stabilize lake levels, including construction of a levee.</w:t>
      </w:r>
      <w:r w:rsidR="00B56201">
        <w:rPr>
          <w:lang w:bidi="en-US"/>
        </w:rPr>
        <w:t xml:space="preserve"> However, even after levee construction, lake levels fluctuated significantly. Starting in 2007, and with the assistance of Proposition 13 water bond funding granted to LESJWA, EVMWD has provided supplemental make up water to maintain lake levels in Lake Elsinore. The primary source of supplemental water is EVMWD’s tertiary treated reclaimed water. Proposition 13 funding helped to fund a permanent recycled water pipeline from EVMWD to the lake and phosphorus removal facilities at EVMWD.</w:t>
      </w:r>
      <w:r w:rsidR="002A6C8C">
        <w:rPr>
          <w:lang w:bidi="en-US"/>
        </w:rPr>
        <w:t xml:space="preserve"> The importance of supplemental water was recently demonstrated in the Draft TMDL Technical Report whereby the analysis in that report found that Lake Elsinore would have been completely dry in 2015 without implementation of hydrologic controls and supplemental water.</w:t>
      </w:r>
    </w:p>
    <w:p w14:paraId="7440178A" w14:textId="77777777" w:rsidR="002A6C8C" w:rsidRDefault="002A6C8C" w:rsidP="002A6C8C">
      <w:pPr>
        <w:pStyle w:val="ListParagraph"/>
        <w:rPr>
          <w:lang w:bidi="en-US"/>
        </w:rPr>
      </w:pPr>
    </w:p>
    <w:p w14:paraId="26D39E0D" w14:textId="23135FF2" w:rsidR="003A63EC" w:rsidRDefault="002A6C8C" w:rsidP="003A63EC">
      <w:pPr>
        <w:pStyle w:val="ListParagraph"/>
        <w:numPr>
          <w:ilvl w:val="0"/>
          <w:numId w:val="7"/>
        </w:numPr>
        <w:rPr>
          <w:lang w:bidi="en-US"/>
        </w:rPr>
      </w:pPr>
      <w:r>
        <w:rPr>
          <w:lang w:bidi="en-US"/>
        </w:rPr>
        <w:t xml:space="preserve">Lake Elsinore Aeration and Mixing System (LEAMS) </w:t>
      </w:r>
      <w:r w:rsidR="001E5838">
        <w:rPr>
          <w:lang w:bidi="en-US"/>
        </w:rPr>
        <w:t>–</w:t>
      </w:r>
      <w:r>
        <w:rPr>
          <w:lang w:bidi="en-US"/>
        </w:rPr>
        <w:t xml:space="preserve"> </w:t>
      </w:r>
      <w:r w:rsidR="003A63EC" w:rsidRPr="003A63EC">
        <w:rPr>
          <w:lang w:bidi="en-US"/>
        </w:rPr>
        <w:t>LEAMS was designed and constructed by LESJWA using funding available through the Safe Drinking Water, Clean Water, Watershed Protection and Flood Protection Bond Act of 2000. Completed in 2006, ownership of LEAMS was turned over to EVMWD, the City of Lake Elsinore and Riverside County (collectively referred to as the “Operators”) to be operated and maintained as a joint project. LEAMS consists of an aeration system operated by EVMWD and mixing system operated by the City of Lake Elsinore, which operate in tandem to improve water quality in Lake Elsinore by improving the average concentration of dissolved oxygen (DO) in the water column.</w:t>
      </w:r>
      <w:r w:rsidR="003A63EC">
        <w:rPr>
          <w:lang w:bidi="en-US"/>
        </w:rPr>
        <w:t xml:space="preserve"> Participation in the cost of LEAMS operations is one way that LECL Task Force members offset loads of TP </w:t>
      </w:r>
      <w:r w:rsidR="00CE6A50">
        <w:rPr>
          <w:lang w:bidi="en-US"/>
        </w:rPr>
        <w:t xml:space="preserve">and TN </w:t>
      </w:r>
      <w:r w:rsidR="003A63EC">
        <w:rPr>
          <w:lang w:bidi="en-US"/>
        </w:rPr>
        <w:t>in excess</w:t>
      </w:r>
      <w:r w:rsidR="00CE6A50">
        <w:rPr>
          <w:lang w:bidi="en-US"/>
        </w:rPr>
        <w:t xml:space="preserve"> of applicable WLAs.</w:t>
      </w:r>
    </w:p>
    <w:p w14:paraId="7DC7A7DE" w14:textId="77777777" w:rsidR="000B30D2" w:rsidRDefault="000B30D2" w:rsidP="000B30D2">
      <w:pPr>
        <w:pStyle w:val="ListParagraph"/>
        <w:rPr>
          <w:lang w:bidi="en-US"/>
        </w:rPr>
      </w:pPr>
    </w:p>
    <w:p w14:paraId="39549AE9" w14:textId="09B7FC7B" w:rsidR="000B30D2" w:rsidRPr="003A63EC" w:rsidRDefault="000B30D2" w:rsidP="003A63EC">
      <w:pPr>
        <w:pStyle w:val="ListParagraph"/>
        <w:numPr>
          <w:ilvl w:val="0"/>
          <w:numId w:val="7"/>
        </w:numPr>
        <w:rPr>
          <w:lang w:bidi="en-US"/>
        </w:rPr>
      </w:pPr>
      <w:r>
        <w:rPr>
          <w:lang w:bidi="en-US"/>
        </w:rPr>
        <w:t>Fishery Management Project – In addition to addressing TP and TN water quality issues, the LECL Task Force has also implemented a fishery management project for Lake Elsinore. These efforts have included a carp control program, sport fish stocking program and periodic aquatic biological community surveys.</w:t>
      </w:r>
      <w:r w:rsidR="00015956">
        <w:rPr>
          <w:lang w:bidi="en-US"/>
        </w:rPr>
        <w:t xml:space="preserve"> LESJWA and the City of Lake Elsinore implemented a multi-year demonstration project to reduce carp populations in the lake. These efforts were implemented between 2003 and 2008 and were so successful that the program was suspended in 2008 because the carp population was so low that carp could no longer be captured efficiently. Most recently, the LECL Task Force commissioned a study in 2019 to assess the current status of the Lake Elsinore fishery (an in particular the carp population) and identify potential management measures to further improve the fishery resources within Lake Elsinore. The 2019 fish survey was the most comprehensive survey of Lake Elsinore completed to date. Results from the survey were compared to findings from other surveys dating back to 2002. This comparison showed that the dominant fish species has changed over time</w:t>
      </w:r>
      <w:r w:rsidR="00BF196F">
        <w:rPr>
          <w:lang w:bidi="en-US"/>
        </w:rPr>
        <w:t>, and that the lake’s fish community is now dominated by Silverside Minnows and Mosquitofish while the carp population continues to remain at low levels.</w:t>
      </w:r>
    </w:p>
    <w:p w14:paraId="6F075687" w14:textId="078F635F" w:rsidR="00990628" w:rsidRDefault="00990628" w:rsidP="00372183">
      <w:pPr>
        <w:rPr>
          <w:u w:val="single"/>
          <w:lang w:bidi="en-US"/>
        </w:rPr>
      </w:pPr>
    </w:p>
    <w:p w14:paraId="22E3DD66" w14:textId="53269266" w:rsidR="00990628" w:rsidRDefault="00990628" w:rsidP="00372183">
      <w:pPr>
        <w:rPr>
          <w:u w:val="single"/>
          <w:lang w:bidi="en-US"/>
        </w:rPr>
      </w:pPr>
      <w:r>
        <w:rPr>
          <w:u w:val="single"/>
          <w:lang w:bidi="en-US"/>
        </w:rPr>
        <w:t>Watershed Nutrient Controls</w:t>
      </w:r>
      <w:r w:rsidR="00BF196F">
        <w:rPr>
          <w:u w:val="single"/>
          <w:lang w:bidi="en-US"/>
        </w:rPr>
        <w:t xml:space="preserve"> – Agricultural Program</w:t>
      </w:r>
    </w:p>
    <w:p w14:paraId="415F39EC" w14:textId="77777777" w:rsidR="00BF196F" w:rsidRDefault="00BF196F" w:rsidP="00372183">
      <w:pPr>
        <w:rPr>
          <w:u w:val="single"/>
          <w:lang w:bidi="en-US"/>
        </w:rPr>
      </w:pPr>
    </w:p>
    <w:p w14:paraId="5771BEE1" w14:textId="76422ED9" w:rsidR="00990628" w:rsidRPr="00BF196F" w:rsidRDefault="00751A9E" w:rsidP="00751A9E">
      <w:pPr>
        <w:rPr>
          <w:lang w:bidi="en-US"/>
        </w:rPr>
      </w:pPr>
      <w:r>
        <w:rPr>
          <w:lang w:bidi="en-US"/>
        </w:rPr>
        <w:t xml:space="preserve">Agricultural operations within the San Jacinto River watershed and its tributaries may comply with the LE/CL TMDLs by participating in a discharger/coalition group. The Western Riverside County Agriculture Coalition (WRCAC) acts as a coalition group for this purpose and represents the interests of its member agricultural operators and dairy operators by participating in the LECL Task Force on their behalf. Further, </w:t>
      </w:r>
      <w:r w:rsidR="007A5E9C">
        <w:rPr>
          <w:lang w:bidi="en-US"/>
        </w:rPr>
        <w:t>WRCAC prepared and submitted an Agricultural Nutrient Management Program (AgNMP) to the Santa Ana Water Board on behalf of its agricultural and dairy members. Implementation of the AgNMP involves a combination of manure management, conservation tillage, winter cover crops and buffers. Further, WRCAC has also developed a new management system, the Agricultural Surface Runoff Water Quality Index (WQ</w:t>
      </w:r>
      <w:r w:rsidR="007A5E9C" w:rsidRPr="007A5E9C">
        <w:rPr>
          <w:vertAlign w:val="subscript"/>
          <w:lang w:bidi="en-US"/>
        </w:rPr>
        <w:t>IAG</w:t>
      </w:r>
      <w:r w:rsidR="007A5E9C">
        <w:rPr>
          <w:lang w:bidi="en-US"/>
        </w:rPr>
        <w:t>), to properly track and credit use of field operations and conservation practices designed to reduce nutrients in surface runoff.</w:t>
      </w:r>
    </w:p>
    <w:p w14:paraId="547A0AE0" w14:textId="77777777" w:rsidR="00536642" w:rsidRDefault="00536642" w:rsidP="00536642">
      <w:pPr>
        <w:pStyle w:val="ListParagraph"/>
        <w:ind w:left="1440"/>
        <w:rPr>
          <w:lang w:bidi="en-US"/>
        </w:rPr>
      </w:pPr>
    </w:p>
    <w:p w14:paraId="0CCB17D2" w14:textId="0253A54D" w:rsidR="007058EA" w:rsidRPr="00751A9E" w:rsidRDefault="00BF196F" w:rsidP="00BF196F">
      <w:pPr>
        <w:rPr>
          <w:u w:val="single"/>
          <w:lang w:bidi="en-US"/>
        </w:rPr>
      </w:pPr>
      <w:r w:rsidRPr="00751A9E">
        <w:rPr>
          <w:u w:val="single"/>
          <w:lang w:bidi="en-US"/>
        </w:rPr>
        <w:t xml:space="preserve">Watershed Nutrient Controls - </w:t>
      </w:r>
      <w:r w:rsidR="00036A24" w:rsidRPr="00751A9E">
        <w:rPr>
          <w:u w:val="single"/>
          <w:lang w:bidi="en-US"/>
        </w:rPr>
        <w:t>MS4s</w:t>
      </w:r>
      <w:r w:rsidR="00751A9E" w:rsidRPr="00751A9E">
        <w:rPr>
          <w:u w:val="single"/>
          <w:lang w:bidi="en-US"/>
        </w:rPr>
        <w:t>/</w:t>
      </w:r>
      <w:r w:rsidR="007058EA" w:rsidRPr="00751A9E">
        <w:rPr>
          <w:u w:val="single"/>
          <w:lang w:bidi="en-US"/>
        </w:rPr>
        <w:t>Comprehensive Nutrient Reduction Plan</w:t>
      </w:r>
    </w:p>
    <w:p w14:paraId="7205F79F" w14:textId="77777777" w:rsidR="00821D04" w:rsidRDefault="00821D04" w:rsidP="00821D04">
      <w:pPr>
        <w:pStyle w:val="ListParagraph"/>
        <w:ind w:left="1440"/>
        <w:rPr>
          <w:lang w:bidi="en-US"/>
        </w:rPr>
      </w:pPr>
    </w:p>
    <w:p w14:paraId="5B6E0842" w14:textId="17E52A1D" w:rsidR="00821D04" w:rsidRDefault="00821D04" w:rsidP="00821D04">
      <w:pPr>
        <w:rPr>
          <w:lang w:bidi="en-US"/>
        </w:rPr>
      </w:pPr>
      <w:r>
        <w:rPr>
          <w:lang w:bidi="en-US"/>
        </w:rPr>
        <w:t xml:space="preserve">In addition to </w:t>
      </w:r>
      <w:r w:rsidR="003623D2">
        <w:rPr>
          <w:lang w:bidi="en-US"/>
        </w:rPr>
        <w:t xml:space="preserve">participating in </w:t>
      </w:r>
      <w:r>
        <w:rPr>
          <w:lang w:bidi="en-US"/>
        </w:rPr>
        <w:t xml:space="preserve">collaborative efforts through the </w:t>
      </w:r>
      <w:r w:rsidR="00233167">
        <w:rPr>
          <w:lang w:bidi="en-US"/>
        </w:rPr>
        <w:t xml:space="preserve">LECL </w:t>
      </w:r>
      <w:r>
        <w:rPr>
          <w:lang w:bidi="en-US"/>
        </w:rPr>
        <w:t xml:space="preserve">Task Force, the MS4s have also implemented significant </w:t>
      </w:r>
      <w:r w:rsidR="007F52DC">
        <w:rPr>
          <w:lang w:bidi="en-US"/>
        </w:rPr>
        <w:t xml:space="preserve">watershed </w:t>
      </w:r>
      <w:r>
        <w:rPr>
          <w:lang w:bidi="en-US"/>
        </w:rPr>
        <w:t>BMPs</w:t>
      </w:r>
      <w:r w:rsidR="007F52DC">
        <w:rPr>
          <w:lang w:bidi="en-US"/>
        </w:rPr>
        <w:t xml:space="preserve"> to address stormwater sources of nutrients to the lakes. </w:t>
      </w:r>
      <w:r w:rsidR="0041147C">
        <w:rPr>
          <w:lang w:bidi="en-US"/>
        </w:rPr>
        <w:t xml:space="preserve">The efforts have been conducted pursuant to </w:t>
      </w:r>
      <w:r w:rsidR="007F52DC">
        <w:rPr>
          <w:lang w:bidi="en-US"/>
        </w:rPr>
        <w:t>the Comprehensive Nutrient Reduction Plan (CNRP)</w:t>
      </w:r>
      <w:r w:rsidR="0041147C">
        <w:rPr>
          <w:lang w:bidi="en-US"/>
        </w:rPr>
        <w:t>, a BMP-based</w:t>
      </w:r>
      <w:r w:rsidR="003623D2">
        <w:rPr>
          <w:lang w:bidi="en-US"/>
        </w:rPr>
        <w:t xml:space="preserve"> TMDL compliance option </w:t>
      </w:r>
      <w:r w:rsidR="0041147C">
        <w:rPr>
          <w:lang w:bidi="en-US"/>
        </w:rPr>
        <w:t xml:space="preserve">approved by the Santa Ana Water Board as part of the 2010 </w:t>
      </w:r>
      <w:r w:rsidR="003623D2">
        <w:rPr>
          <w:lang w:bidi="en-US"/>
        </w:rPr>
        <w:t>Riverside County MS4 permit</w:t>
      </w:r>
      <w:r w:rsidR="007F52DC">
        <w:rPr>
          <w:lang w:bidi="en-US"/>
        </w:rPr>
        <w:t>.</w:t>
      </w:r>
      <w:r w:rsidR="00FA4038">
        <w:rPr>
          <w:lang w:bidi="en-US"/>
        </w:rPr>
        <w:t xml:space="preserve"> (See Resolution No. R8-2013-0044.)</w:t>
      </w:r>
      <w:r w:rsidR="00536642">
        <w:rPr>
          <w:lang w:bidi="en-US"/>
        </w:rPr>
        <w:t xml:space="preserve"> Through the use of models, </w:t>
      </w:r>
      <w:r w:rsidR="003623D2">
        <w:rPr>
          <w:lang w:bidi="en-US"/>
        </w:rPr>
        <w:t xml:space="preserve">Riverside County MS4 permittees </w:t>
      </w:r>
      <w:r w:rsidR="00536642">
        <w:rPr>
          <w:lang w:bidi="en-US"/>
        </w:rPr>
        <w:t>ha</w:t>
      </w:r>
      <w:r w:rsidR="003623D2">
        <w:rPr>
          <w:lang w:bidi="en-US"/>
        </w:rPr>
        <w:t>ve</w:t>
      </w:r>
      <w:r w:rsidR="00536642">
        <w:rPr>
          <w:lang w:bidi="en-US"/>
        </w:rPr>
        <w:t xml:space="preserve"> been able to quantify estimates of nutrient load reduction </w:t>
      </w:r>
      <w:r w:rsidR="0086407D">
        <w:rPr>
          <w:lang w:bidi="en-US"/>
        </w:rPr>
        <w:t xml:space="preserve">resulting </w:t>
      </w:r>
      <w:r w:rsidR="00536642">
        <w:rPr>
          <w:lang w:bidi="en-US"/>
        </w:rPr>
        <w:t xml:space="preserve">from </w:t>
      </w:r>
      <w:r w:rsidR="002A3381">
        <w:rPr>
          <w:lang w:bidi="en-US"/>
        </w:rPr>
        <w:t xml:space="preserve">certain </w:t>
      </w:r>
      <w:r w:rsidR="00536642">
        <w:rPr>
          <w:lang w:bidi="en-US"/>
        </w:rPr>
        <w:t xml:space="preserve">key BMP </w:t>
      </w:r>
      <w:r w:rsidR="002A3381">
        <w:rPr>
          <w:lang w:bidi="en-US"/>
        </w:rPr>
        <w:t xml:space="preserve">implementation </w:t>
      </w:r>
      <w:r w:rsidR="00536642">
        <w:rPr>
          <w:lang w:bidi="en-US"/>
        </w:rPr>
        <w:t>activitie</w:t>
      </w:r>
      <w:r w:rsidR="002A3381">
        <w:rPr>
          <w:lang w:bidi="en-US"/>
        </w:rPr>
        <w:t>s. Descriptions of these reductions, as contained in the 2020 Compliance Assessment Report, are summarized here.</w:t>
      </w:r>
    </w:p>
    <w:p w14:paraId="304AB1E0" w14:textId="3C96A808" w:rsidR="007B0332" w:rsidRDefault="007B0332" w:rsidP="00821D04">
      <w:pPr>
        <w:rPr>
          <w:lang w:bidi="en-US"/>
        </w:rPr>
      </w:pPr>
    </w:p>
    <w:p w14:paraId="1A350050" w14:textId="77777777" w:rsidR="007B0332" w:rsidRPr="007B0332" w:rsidRDefault="007B0332" w:rsidP="007B0332">
      <w:pPr>
        <w:rPr>
          <w:bCs/>
          <w:i/>
          <w:iCs/>
          <w:lang w:bidi="en-US"/>
        </w:rPr>
      </w:pPr>
      <w:r w:rsidRPr="007B0332">
        <w:rPr>
          <w:bCs/>
          <w:i/>
          <w:iCs/>
          <w:lang w:bidi="en-US"/>
        </w:rPr>
        <w:t xml:space="preserve">Street Sweeping and Debris Removal </w:t>
      </w:r>
    </w:p>
    <w:p w14:paraId="7E59CDC2" w14:textId="12A1C89A" w:rsidR="007B0332" w:rsidRPr="007B0332" w:rsidRDefault="007B0332" w:rsidP="007B0332">
      <w:pPr>
        <w:rPr>
          <w:lang w:bidi="en-US"/>
        </w:rPr>
      </w:pPr>
      <w:r w:rsidRPr="007B0332">
        <w:rPr>
          <w:lang w:bidi="en-US"/>
        </w:rPr>
        <w:t xml:space="preserve">Street sweeping and MS4 facility debris removal are key CNRP implementation activities that </w:t>
      </w:r>
      <w:r w:rsidR="0086407D">
        <w:rPr>
          <w:lang w:bidi="en-US"/>
        </w:rPr>
        <w:t xml:space="preserve">have been shown to </w:t>
      </w:r>
      <w:r w:rsidRPr="007B0332">
        <w:rPr>
          <w:lang w:bidi="en-US"/>
        </w:rPr>
        <w:t xml:space="preserve">reduce a significant source of nutrients in urban environments. The CNRP compliance analysis </w:t>
      </w:r>
      <w:r w:rsidR="00EB6C80">
        <w:rPr>
          <w:lang w:bidi="en-US"/>
        </w:rPr>
        <w:t>employed</w:t>
      </w:r>
      <w:r w:rsidRPr="007B0332">
        <w:rPr>
          <w:lang w:bidi="en-US"/>
        </w:rPr>
        <w:t xml:space="preserve"> a continuous simulation model of exponential pollutant buildup and washoff to estimate the nutrient load reduced as a result of street sweeping and debris removal.</w:t>
      </w:r>
      <w:r w:rsidRPr="007B0332">
        <w:rPr>
          <w:vertAlign w:val="superscript"/>
          <w:lang w:bidi="en-US"/>
        </w:rPr>
        <w:footnoteReference w:id="4"/>
      </w:r>
      <w:r w:rsidRPr="007B0332">
        <w:rPr>
          <w:lang w:bidi="en-US"/>
        </w:rPr>
        <w:t xml:space="preserve">  The model </w:t>
      </w:r>
      <w:r w:rsidR="0086407D">
        <w:rPr>
          <w:lang w:bidi="en-US"/>
        </w:rPr>
        <w:t xml:space="preserve">estimated that these efforts </w:t>
      </w:r>
      <w:r w:rsidR="00066979">
        <w:rPr>
          <w:lang w:bidi="en-US"/>
        </w:rPr>
        <w:t>collected</w:t>
      </w:r>
      <w:r w:rsidR="0086407D">
        <w:rPr>
          <w:lang w:bidi="en-US"/>
        </w:rPr>
        <w:t xml:space="preserve"> </w:t>
      </w:r>
      <w:r w:rsidRPr="007B0332">
        <w:rPr>
          <w:lang w:bidi="en-US"/>
        </w:rPr>
        <w:t xml:space="preserve"> 0.15 kg/yr TP and 0.5 kg/yr TN of nutrient </w:t>
      </w:r>
      <w:r w:rsidR="00FA4038">
        <w:rPr>
          <w:lang w:bidi="en-US"/>
        </w:rPr>
        <w:t xml:space="preserve">washoff </w:t>
      </w:r>
      <w:r w:rsidRPr="007B0332">
        <w:rPr>
          <w:lang w:bidi="en-US"/>
        </w:rPr>
        <w:t>for every metric ton of sediment removed from streets or catch basins</w:t>
      </w:r>
      <w:r w:rsidR="00EB6C80">
        <w:rPr>
          <w:lang w:bidi="en-US"/>
        </w:rPr>
        <w:t>, a load which otherwise would have been available for washout into the lakes</w:t>
      </w:r>
      <w:r w:rsidRPr="007B0332">
        <w:rPr>
          <w:lang w:bidi="en-US"/>
        </w:rPr>
        <w:t xml:space="preserve">. This </w:t>
      </w:r>
      <w:r w:rsidR="00EB6C80">
        <w:rPr>
          <w:lang w:bidi="en-US"/>
        </w:rPr>
        <w:t>figure</w:t>
      </w:r>
      <w:r w:rsidRPr="007B0332">
        <w:rPr>
          <w:lang w:bidi="en-US"/>
        </w:rPr>
        <w:t xml:space="preserve"> was applied to reported 2020 street sweeping and debris removal by cities in the San Jacinto River watershed after discounting</w:t>
      </w:r>
      <w:r w:rsidR="00066979">
        <w:rPr>
          <w:lang w:bidi="en-US"/>
        </w:rPr>
        <w:t xml:space="preserve"> the</w:t>
      </w:r>
      <w:r w:rsidRPr="007B0332">
        <w:rPr>
          <w:lang w:bidi="en-US"/>
        </w:rPr>
        <w:t xml:space="preserve"> jurisdictional area within the watershed (</w:t>
      </w:r>
      <w:r w:rsidRPr="007B0332">
        <w:rPr>
          <w:b/>
          <w:bCs/>
          <w:lang w:bidi="en-US"/>
        </w:rPr>
        <w:t>Table 2-3</w:t>
      </w:r>
      <w:r w:rsidRPr="007B0332">
        <w:rPr>
          <w:lang w:bidi="en-US"/>
        </w:rPr>
        <w:t xml:space="preserve">). The total </w:t>
      </w:r>
      <w:r w:rsidR="00EB6C80">
        <w:rPr>
          <w:lang w:bidi="en-US"/>
        </w:rPr>
        <w:t xml:space="preserve">estimated </w:t>
      </w:r>
      <w:r w:rsidR="00FA4038">
        <w:rPr>
          <w:lang w:bidi="en-US"/>
        </w:rPr>
        <w:t xml:space="preserve">washoff </w:t>
      </w:r>
      <w:r w:rsidRPr="007B0332">
        <w:rPr>
          <w:lang w:bidi="en-US"/>
        </w:rPr>
        <w:t xml:space="preserve">reductions </w:t>
      </w:r>
      <w:r w:rsidR="00EB6C80">
        <w:rPr>
          <w:lang w:bidi="en-US"/>
        </w:rPr>
        <w:t xml:space="preserve">set forth </w:t>
      </w:r>
      <w:r w:rsidRPr="007B0332">
        <w:rPr>
          <w:lang w:bidi="en-US"/>
        </w:rPr>
        <w:t xml:space="preserve">in Table </w:t>
      </w:r>
      <w:r w:rsidR="00FA4038">
        <w:rPr>
          <w:lang w:bidi="en-US"/>
        </w:rPr>
        <w:t>1</w:t>
      </w:r>
      <w:r w:rsidRPr="007B0332">
        <w:rPr>
          <w:lang w:bidi="en-US"/>
        </w:rPr>
        <w:t xml:space="preserve"> are about twice the baseline amount </w:t>
      </w:r>
      <w:r w:rsidR="00EB6C80">
        <w:rPr>
          <w:lang w:bidi="en-US"/>
        </w:rPr>
        <w:t>estimated</w:t>
      </w:r>
      <w:r w:rsidRPr="007B0332">
        <w:rPr>
          <w:lang w:bidi="en-US"/>
        </w:rPr>
        <w:t xml:space="preserve"> in the CNRP</w:t>
      </w:r>
      <w:r w:rsidR="00EB6C80">
        <w:rPr>
          <w:lang w:bidi="en-US"/>
        </w:rPr>
        <w:t xml:space="preserve">, which was </w:t>
      </w:r>
      <w:r w:rsidRPr="007B0332">
        <w:rPr>
          <w:lang w:bidi="en-US"/>
        </w:rPr>
        <w:t>based on MS4 program reporting in 2005-2010</w:t>
      </w:r>
      <w:r w:rsidR="00EB6C80">
        <w:rPr>
          <w:lang w:bidi="en-US"/>
        </w:rPr>
        <w:t>.</w:t>
      </w:r>
      <w:r w:rsidR="00617FD5">
        <w:rPr>
          <w:lang w:bidi="en-US"/>
        </w:rPr>
        <w:t xml:space="preserve"> This reflects how the sediment removal efforts have been enhanced over the years.</w:t>
      </w:r>
      <w:r w:rsidRPr="007B0332">
        <w:rPr>
          <w:lang w:bidi="en-US"/>
        </w:rPr>
        <w:t xml:space="preserve"> </w:t>
      </w:r>
    </w:p>
    <w:tbl>
      <w:tblPr>
        <w:tblStyle w:val="TableGrid"/>
        <w:tblpPr w:leftFromText="2880" w:rightFromText="2880" w:bottomFromText="288" w:vertAnchor="text" w:horzAnchor="margin" w:tblpXSpec="center" w:tblpY="180"/>
        <w:tblOverlap w:val="never"/>
        <w:tblW w:w="0" w:type="auto"/>
        <w:tblLook w:val="04A0" w:firstRow="1" w:lastRow="0" w:firstColumn="1" w:lastColumn="0" w:noHBand="0" w:noVBand="1"/>
      </w:tblPr>
      <w:tblGrid>
        <w:gridCol w:w="3780"/>
        <w:gridCol w:w="1237"/>
        <w:gridCol w:w="1238"/>
        <w:gridCol w:w="1237"/>
        <w:gridCol w:w="1238"/>
      </w:tblGrid>
      <w:tr w:rsidR="007B0332" w:rsidRPr="007B0332" w14:paraId="29D15C96" w14:textId="77777777" w:rsidTr="003A2521">
        <w:trPr>
          <w:trHeight w:val="180"/>
        </w:trPr>
        <w:tc>
          <w:tcPr>
            <w:tcW w:w="8730" w:type="dxa"/>
            <w:gridSpan w:val="5"/>
            <w:tcBorders>
              <w:top w:val="nil"/>
              <w:left w:val="nil"/>
              <w:bottom w:val="single" w:sz="8" w:space="0" w:color="000000" w:themeColor="text1"/>
              <w:right w:val="nil"/>
            </w:tcBorders>
            <w:vAlign w:val="center"/>
          </w:tcPr>
          <w:p w14:paraId="56377D5E" w14:textId="6399678D" w:rsidR="007B0332" w:rsidRPr="007B0332" w:rsidRDefault="007B0332" w:rsidP="007B0332">
            <w:pPr>
              <w:rPr>
                <w:b/>
                <w:lang w:bidi="en-US"/>
              </w:rPr>
            </w:pPr>
            <w:r w:rsidRPr="007B0332">
              <w:rPr>
                <w:b/>
                <w:lang w:bidi="en-US"/>
              </w:rPr>
              <w:t xml:space="preserve">Table </w:t>
            </w:r>
            <w:r w:rsidR="00FA4038">
              <w:rPr>
                <w:b/>
                <w:lang w:bidi="en-US"/>
              </w:rPr>
              <w:t>1</w:t>
            </w:r>
            <w:r w:rsidRPr="007B0332">
              <w:rPr>
                <w:b/>
                <w:lang w:bidi="en-US"/>
              </w:rPr>
              <w:t>. Estimated Watershed Nutrient Washoff Reduction from Street Sweeping and MS4 Facility Debris Removal by MS4 Permittees</w:t>
            </w:r>
          </w:p>
        </w:tc>
      </w:tr>
      <w:tr w:rsidR="007B0332" w:rsidRPr="007B0332" w14:paraId="135421F7" w14:textId="77777777" w:rsidTr="003A2521">
        <w:trPr>
          <w:trHeight w:val="508"/>
        </w:trPr>
        <w:tc>
          <w:tcPr>
            <w:tcW w:w="3780" w:type="dxa"/>
            <w:vMerge w:val="restart"/>
            <w:tcBorders>
              <w:top w:val="single" w:sz="8" w:space="0" w:color="000000" w:themeColor="text1"/>
              <w:left w:val="single" w:sz="8" w:space="0" w:color="000000" w:themeColor="text1"/>
              <w:bottom w:val="single" w:sz="4" w:space="0" w:color="FFFFFF" w:themeColor="background1"/>
              <w:right w:val="single" w:sz="4" w:space="0" w:color="FFFFFF" w:themeColor="background1"/>
            </w:tcBorders>
            <w:shd w:val="clear" w:color="auto" w:fill="002060"/>
            <w:vAlign w:val="center"/>
          </w:tcPr>
          <w:p w14:paraId="5FD9AD5F" w14:textId="77777777" w:rsidR="007B0332" w:rsidRPr="007B0332" w:rsidRDefault="007B0332" w:rsidP="007B0332">
            <w:pPr>
              <w:rPr>
                <w:b/>
                <w:lang w:bidi="en-US"/>
              </w:rPr>
            </w:pPr>
            <w:r w:rsidRPr="007B0332">
              <w:rPr>
                <w:b/>
                <w:lang w:bidi="en-US"/>
              </w:rPr>
              <w:t>Jurisdiction</w:t>
            </w:r>
          </w:p>
        </w:tc>
        <w:tc>
          <w:tcPr>
            <w:tcW w:w="2475" w:type="dxa"/>
            <w:gridSpan w:val="2"/>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CDD0F45" w14:textId="77777777" w:rsidR="007B0332" w:rsidRPr="007B0332" w:rsidRDefault="007B0332" w:rsidP="007B0332">
            <w:pPr>
              <w:rPr>
                <w:b/>
                <w:lang w:bidi="en-US"/>
              </w:rPr>
            </w:pPr>
            <w:r w:rsidRPr="007B0332">
              <w:rPr>
                <w:b/>
                <w:lang w:bidi="en-US"/>
              </w:rPr>
              <w:t>Sediment Removal</w:t>
            </w:r>
            <w:r w:rsidRPr="007B0332">
              <w:rPr>
                <w:b/>
                <w:lang w:bidi="en-US"/>
              </w:rPr>
              <w:br/>
              <w:t>(Metric Tons/yr)</w:t>
            </w:r>
          </w:p>
        </w:tc>
        <w:tc>
          <w:tcPr>
            <w:tcW w:w="2475" w:type="dxa"/>
            <w:gridSpan w:val="2"/>
            <w:tcBorders>
              <w:top w:val="single" w:sz="8" w:space="0" w:color="000000" w:themeColor="text1"/>
              <w:left w:val="single" w:sz="4" w:space="0" w:color="FFFFFF" w:themeColor="background1"/>
              <w:bottom w:val="single" w:sz="4" w:space="0" w:color="FFFFFF" w:themeColor="background1"/>
              <w:right w:val="single" w:sz="8" w:space="0" w:color="000000" w:themeColor="text1"/>
            </w:tcBorders>
            <w:shd w:val="clear" w:color="auto" w:fill="002060"/>
            <w:vAlign w:val="center"/>
          </w:tcPr>
          <w:p w14:paraId="079FAA47" w14:textId="77777777" w:rsidR="007B0332" w:rsidRPr="007B0332" w:rsidRDefault="007B0332" w:rsidP="007B0332">
            <w:pPr>
              <w:rPr>
                <w:b/>
                <w:lang w:bidi="en-US"/>
              </w:rPr>
            </w:pPr>
            <w:r w:rsidRPr="007B0332">
              <w:rPr>
                <w:b/>
                <w:lang w:bidi="en-US"/>
              </w:rPr>
              <w:t>Nutrient Load Reduction</w:t>
            </w:r>
          </w:p>
        </w:tc>
      </w:tr>
      <w:tr w:rsidR="007B0332" w:rsidRPr="007B0332" w14:paraId="45D481C6" w14:textId="77777777" w:rsidTr="003A2521">
        <w:trPr>
          <w:trHeight w:val="527"/>
        </w:trPr>
        <w:tc>
          <w:tcPr>
            <w:tcW w:w="3780" w:type="dxa"/>
            <w:vMerge/>
            <w:tcBorders>
              <w:top w:val="single" w:sz="4" w:space="0" w:color="FFFFFF" w:themeColor="background1"/>
              <w:left w:val="single" w:sz="8" w:space="0" w:color="000000" w:themeColor="text1"/>
              <w:right w:val="single" w:sz="4" w:space="0" w:color="FFFFFF" w:themeColor="background1"/>
            </w:tcBorders>
            <w:shd w:val="clear" w:color="auto" w:fill="002060"/>
            <w:vAlign w:val="center"/>
          </w:tcPr>
          <w:p w14:paraId="1DA7AEBD" w14:textId="77777777" w:rsidR="007B0332" w:rsidRPr="007B0332" w:rsidRDefault="007B0332" w:rsidP="007B0332">
            <w:pPr>
              <w:rPr>
                <w:b/>
                <w:lang w:bidi="en-US"/>
              </w:rPr>
            </w:pPr>
          </w:p>
        </w:tc>
        <w:tc>
          <w:tcPr>
            <w:tcW w:w="1237"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44E7505E" w14:textId="77777777" w:rsidR="007B0332" w:rsidRPr="007B0332" w:rsidRDefault="007B0332" w:rsidP="007B0332">
            <w:pPr>
              <w:rPr>
                <w:b/>
                <w:lang w:bidi="en-US"/>
              </w:rPr>
            </w:pPr>
            <w:r w:rsidRPr="007B0332">
              <w:rPr>
                <w:b/>
                <w:lang w:bidi="en-US"/>
              </w:rPr>
              <w:t>Street Sweeping</w:t>
            </w:r>
          </w:p>
        </w:tc>
        <w:tc>
          <w:tcPr>
            <w:tcW w:w="1238"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7902F977" w14:textId="77777777" w:rsidR="007B0332" w:rsidRPr="007B0332" w:rsidRDefault="007B0332" w:rsidP="007B0332">
            <w:pPr>
              <w:rPr>
                <w:b/>
                <w:lang w:bidi="en-US"/>
              </w:rPr>
            </w:pPr>
            <w:r w:rsidRPr="007B0332">
              <w:rPr>
                <w:b/>
                <w:lang w:bidi="en-US"/>
              </w:rPr>
              <w:t>Catch Basin Cleaning</w:t>
            </w:r>
          </w:p>
        </w:tc>
        <w:tc>
          <w:tcPr>
            <w:tcW w:w="1237"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022949D6" w14:textId="77777777" w:rsidR="007B0332" w:rsidRPr="007B0332" w:rsidRDefault="007B0332" w:rsidP="007B0332">
            <w:pPr>
              <w:rPr>
                <w:b/>
                <w:lang w:bidi="en-US"/>
              </w:rPr>
            </w:pPr>
            <w:r w:rsidRPr="007B0332">
              <w:rPr>
                <w:b/>
                <w:lang w:bidi="en-US"/>
              </w:rPr>
              <w:t>TP (kg/yr)</w:t>
            </w:r>
          </w:p>
        </w:tc>
        <w:tc>
          <w:tcPr>
            <w:tcW w:w="1238" w:type="dxa"/>
            <w:tcBorders>
              <w:top w:val="single" w:sz="4" w:space="0" w:color="FFFFFF" w:themeColor="background1"/>
              <w:left w:val="single" w:sz="4" w:space="0" w:color="FFFFFF" w:themeColor="background1"/>
              <w:right w:val="single" w:sz="8" w:space="0" w:color="000000" w:themeColor="text1"/>
            </w:tcBorders>
            <w:shd w:val="clear" w:color="auto" w:fill="002060"/>
            <w:vAlign w:val="center"/>
          </w:tcPr>
          <w:p w14:paraId="0502571C" w14:textId="77777777" w:rsidR="007B0332" w:rsidRPr="007B0332" w:rsidRDefault="007B0332" w:rsidP="007B0332">
            <w:pPr>
              <w:rPr>
                <w:b/>
                <w:lang w:bidi="en-US"/>
              </w:rPr>
            </w:pPr>
            <w:r w:rsidRPr="007B0332">
              <w:rPr>
                <w:b/>
                <w:lang w:bidi="en-US"/>
              </w:rPr>
              <w:t>TN (kg/yr)</w:t>
            </w:r>
          </w:p>
        </w:tc>
      </w:tr>
      <w:tr w:rsidR="007B0332" w:rsidRPr="007B0332" w14:paraId="01ABBDE0" w14:textId="77777777" w:rsidTr="003A2521">
        <w:trPr>
          <w:trHeight w:val="284"/>
        </w:trPr>
        <w:tc>
          <w:tcPr>
            <w:tcW w:w="3780" w:type="dxa"/>
            <w:tcBorders>
              <w:top w:val="single" w:sz="4" w:space="0" w:color="000000" w:themeColor="text1"/>
              <w:left w:val="single" w:sz="8" w:space="0" w:color="000000" w:themeColor="text1"/>
              <w:bottom w:val="single" w:sz="4" w:space="0" w:color="auto"/>
              <w:right w:val="single" w:sz="4" w:space="0" w:color="auto"/>
            </w:tcBorders>
            <w:vAlign w:val="center"/>
          </w:tcPr>
          <w:p w14:paraId="04836709" w14:textId="77777777" w:rsidR="007B0332" w:rsidRPr="007B0332" w:rsidRDefault="007B0332" w:rsidP="007B0332">
            <w:pPr>
              <w:rPr>
                <w:bCs/>
                <w:lang w:bidi="en-US"/>
              </w:rPr>
            </w:pPr>
            <w:r w:rsidRPr="007B0332">
              <w:rPr>
                <w:bCs/>
                <w:lang w:bidi="en-US"/>
              </w:rPr>
              <w:t>Beaumont</w:t>
            </w:r>
          </w:p>
        </w:tc>
        <w:tc>
          <w:tcPr>
            <w:tcW w:w="1237" w:type="dxa"/>
            <w:tcBorders>
              <w:top w:val="single" w:sz="4" w:space="0" w:color="000000" w:themeColor="text1"/>
              <w:left w:val="single" w:sz="4" w:space="0" w:color="auto"/>
              <w:bottom w:val="single" w:sz="4" w:space="0" w:color="auto"/>
              <w:right w:val="single" w:sz="4" w:space="0" w:color="auto"/>
            </w:tcBorders>
            <w:vAlign w:val="center"/>
          </w:tcPr>
          <w:p w14:paraId="40146DDB" w14:textId="77777777" w:rsidR="007B0332" w:rsidRPr="007B0332" w:rsidRDefault="007B0332" w:rsidP="007B0332">
            <w:pPr>
              <w:rPr>
                <w:bCs/>
                <w:lang w:bidi="en-US"/>
              </w:rPr>
            </w:pPr>
            <w:r w:rsidRPr="007B0332">
              <w:rPr>
                <w:bCs/>
                <w:lang w:bidi="en-US"/>
              </w:rPr>
              <w:t>275</w:t>
            </w:r>
          </w:p>
        </w:tc>
        <w:tc>
          <w:tcPr>
            <w:tcW w:w="1238" w:type="dxa"/>
            <w:tcBorders>
              <w:top w:val="single" w:sz="4" w:space="0" w:color="000000" w:themeColor="text1"/>
              <w:left w:val="single" w:sz="4" w:space="0" w:color="auto"/>
              <w:bottom w:val="single" w:sz="4" w:space="0" w:color="auto"/>
              <w:right w:val="single" w:sz="4" w:space="0" w:color="auto"/>
            </w:tcBorders>
            <w:vAlign w:val="center"/>
          </w:tcPr>
          <w:p w14:paraId="6AC73D21" w14:textId="77777777" w:rsidR="007B0332" w:rsidRPr="007B0332" w:rsidRDefault="007B0332" w:rsidP="007B0332">
            <w:pPr>
              <w:rPr>
                <w:bCs/>
                <w:lang w:bidi="en-US"/>
              </w:rPr>
            </w:pPr>
            <w:r w:rsidRPr="007B0332">
              <w:rPr>
                <w:bCs/>
                <w:lang w:bidi="en-US"/>
              </w:rPr>
              <w:t>14</w:t>
            </w:r>
          </w:p>
        </w:tc>
        <w:tc>
          <w:tcPr>
            <w:tcW w:w="1237" w:type="dxa"/>
            <w:tcBorders>
              <w:top w:val="single" w:sz="4" w:space="0" w:color="000000" w:themeColor="text1"/>
              <w:left w:val="single" w:sz="4" w:space="0" w:color="auto"/>
              <w:bottom w:val="single" w:sz="4" w:space="0" w:color="auto"/>
              <w:right w:val="single" w:sz="4" w:space="0" w:color="auto"/>
            </w:tcBorders>
            <w:vAlign w:val="center"/>
          </w:tcPr>
          <w:p w14:paraId="7880FB45" w14:textId="77777777" w:rsidR="007B0332" w:rsidRPr="007B0332" w:rsidRDefault="007B0332" w:rsidP="007B0332">
            <w:pPr>
              <w:rPr>
                <w:bCs/>
                <w:lang w:bidi="en-US"/>
              </w:rPr>
            </w:pPr>
            <w:r w:rsidRPr="007B0332">
              <w:rPr>
                <w:bCs/>
                <w:lang w:bidi="en-US"/>
              </w:rPr>
              <w:t>43</w:t>
            </w:r>
          </w:p>
        </w:tc>
        <w:tc>
          <w:tcPr>
            <w:tcW w:w="1238" w:type="dxa"/>
            <w:tcBorders>
              <w:top w:val="single" w:sz="4" w:space="0" w:color="000000" w:themeColor="text1"/>
              <w:left w:val="single" w:sz="4" w:space="0" w:color="auto"/>
              <w:bottom w:val="single" w:sz="4" w:space="0" w:color="auto"/>
              <w:right w:val="single" w:sz="8" w:space="0" w:color="000000" w:themeColor="text1"/>
            </w:tcBorders>
            <w:vAlign w:val="center"/>
          </w:tcPr>
          <w:p w14:paraId="07346FA5" w14:textId="77777777" w:rsidR="007B0332" w:rsidRPr="007B0332" w:rsidRDefault="007B0332" w:rsidP="007B0332">
            <w:pPr>
              <w:rPr>
                <w:bCs/>
                <w:lang w:bidi="en-US"/>
              </w:rPr>
            </w:pPr>
            <w:r w:rsidRPr="007B0332">
              <w:rPr>
                <w:bCs/>
                <w:lang w:bidi="en-US"/>
              </w:rPr>
              <w:t>145</w:t>
            </w:r>
          </w:p>
        </w:tc>
      </w:tr>
      <w:tr w:rsidR="007B0332" w:rsidRPr="007B0332" w14:paraId="278FD596" w14:textId="77777777" w:rsidTr="003A2521">
        <w:trPr>
          <w:trHeight w:val="284"/>
        </w:trPr>
        <w:tc>
          <w:tcPr>
            <w:tcW w:w="3780" w:type="dxa"/>
            <w:tcBorders>
              <w:top w:val="single" w:sz="4" w:space="0" w:color="auto"/>
              <w:left w:val="single" w:sz="8" w:space="0" w:color="000000" w:themeColor="text1"/>
              <w:bottom w:val="single" w:sz="4" w:space="0" w:color="auto"/>
              <w:right w:val="single" w:sz="4" w:space="0" w:color="auto"/>
            </w:tcBorders>
            <w:vAlign w:val="center"/>
          </w:tcPr>
          <w:p w14:paraId="349FDEF1" w14:textId="77777777" w:rsidR="007B0332" w:rsidRPr="007B0332" w:rsidRDefault="007B0332" w:rsidP="007B0332">
            <w:pPr>
              <w:rPr>
                <w:bCs/>
                <w:lang w:bidi="en-US"/>
              </w:rPr>
            </w:pPr>
            <w:r w:rsidRPr="007B0332">
              <w:rPr>
                <w:bCs/>
                <w:lang w:bidi="en-US"/>
              </w:rPr>
              <w:t>Canyon Lake</w:t>
            </w:r>
          </w:p>
        </w:tc>
        <w:tc>
          <w:tcPr>
            <w:tcW w:w="1237" w:type="dxa"/>
            <w:tcBorders>
              <w:top w:val="single" w:sz="4" w:space="0" w:color="auto"/>
              <w:left w:val="single" w:sz="4" w:space="0" w:color="auto"/>
              <w:bottom w:val="single" w:sz="4" w:space="0" w:color="auto"/>
              <w:right w:val="single" w:sz="4" w:space="0" w:color="auto"/>
            </w:tcBorders>
            <w:vAlign w:val="center"/>
          </w:tcPr>
          <w:p w14:paraId="74388F9A" w14:textId="77777777" w:rsidR="007B0332" w:rsidRPr="007B0332" w:rsidRDefault="007B0332" w:rsidP="007B0332">
            <w:pPr>
              <w:rPr>
                <w:bCs/>
                <w:lang w:bidi="en-US"/>
              </w:rPr>
            </w:pPr>
            <w:r w:rsidRPr="007B0332">
              <w:rPr>
                <w:bCs/>
                <w:lang w:bidi="en-US"/>
              </w:rPr>
              <w:t>18</w:t>
            </w:r>
          </w:p>
        </w:tc>
        <w:tc>
          <w:tcPr>
            <w:tcW w:w="1238" w:type="dxa"/>
            <w:tcBorders>
              <w:top w:val="single" w:sz="4" w:space="0" w:color="auto"/>
              <w:left w:val="single" w:sz="4" w:space="0" w:color="auto"/>
              <w:bottom w:val="single" w:sz="4" w:space="0" w:color="auto"/>
              <w:right w:val="single" w:sz="4" w:space="0" w:color="auto"/>
            </w:tcBorders>
            <w:vAlign w:val="center"/>
          </w:tcPr>
          <w:p w14:paraId="38EA05CD" w14:textId="77777777" w:rsidR="007B0332" w:rsidRPr="007B0332" w:rsidRDefault="007B0332" w:rsidP="007B0332">
            <w:pPr>
              <w:rPr>
                <w:bCs/>
                <w:lang w:bidi="en-US"/>
              </w:rPr>
            </w:pPr>
            <w:r w:rsidRPr="007B0332">
              <w:rPr>
                <w:bCs/>
                <w:lang w:bidi="en-US"/>
              </w:rPr>
              <w:t>2</w:t>
            </w:r>
          </w:p>
        </w:tc>
        <w:tc>
          <w:tcPr>
            <w:tcW w:w="1237" w:type="dxa"/>
            <w:tcBorders>
              <w:top w:val="single" w:sz="4" w:space="0" w:color="auto"/>
              <w:left w:val="single" w:sz="4" w:space="0" w:color="auto"/>
              <w:bottom w:val="single" w:sz="4" w:space="0" w:color="auto"/>
              <w:right w:val="single" w:sz="4" w:space="0" w:color="auto"/>
            </w:tcBorders>
            <w:vAlign w:val="center"/>
          </w:tcPr>
          <w:p w14:paraId="04ED50E2" w14:textId="77777777" w:rsidR="007B0332" w:rsidRPr="007B0332" w:rsidRDefault="007B0332" w:rsidP="007B0332">
            <w:pPr>
              <w:rPr>
                <w:bCs/>
                <w:lang w:bidi="en-US"/>
              </w:rPr>
            </w:pPr>
            <w:r w:rsidRPr="007B0332">
              <w:rPr>
                <w:bCs/>
                <w:lang w:bidi="en-US"/>
              </w:rPr>
              <w:t>3</w:t>
            </w:r>
          </w:p>
        </w:tc>
        <w:tc>
          <w:tcPr>
            <w:tcW w:w="1238" w:type="dxa"/>
            <w:tcBorders>
              <w:top w:val="single" w:sz="4" w:space="0" w:color="auto"/>
              <w:left w:val="single" w:sz="4" w:space="0" w:color="auto"/>
              <w:bottom w:val="single" w:sz="4" w:space="0" w:color="auto"/>
              <w:right w:val="single" w:sz="8" w:space="0" w:color="000000" w:themeColor="text1"/>
            </w:tcBorders>
            <w:vAlign w:val="center"/>
          </w:tcPr>
          <w:p w14:paraId="1F44A58D" w14:textId="77777777" w:rsidR="007B0332" w:rsidRPr="007B0332" w:rsidRDefault="007B0332" w:rsidP="007B0332">
            <w:pPr>
              <w:rPr>
                <w:bCs/>
                <w:lang w:bidi="en-US"/>
              </w:rPr>
            </w:pPr>
            <w:r w:rsidRPr="007B0332">
              <w:rPr>
                <w:bCs/>
                <w:lang w:bidi="en-US"/>
              </w:rPr>
              <w:t>10</w:t>
            </w:r>
          </w:p>
        </w:tc>
      </w:tr>
      <w:tr w:rsidR="007B0332" w:rsidRPr="007B0332" w14:paraId="20ACF5D7" w14:textId="77777777" w:rsidTr="003A2521">
        <w:trPr>
          <w:trHeight w:val="284"/>
        </w:trPr>
        <w:tc>
          <w:tcPr>
            <w:tcW w:w="3780" w:type="dxa"/>
            <w:tcBorders>
              <w:top w:val="single" w:sz="4" w:space="0" w:color="auto"/>
              <w:left w:val="single" w:sz="8" w:space="0" w:color="000000" w:themeColor="text1"/>
              <w:bottom w:val="single" w:sz="4" w:space="0" w:color="auto"/>
              <w:right w:val="single" w:sz="4" w:space="0" w:color="auto"/>
            </w:tcBorders>
            <w:vAlign w:val="center"/>
          </w:tcPr>
          <w:p w14:paraId="54019A48" w14:textId="77777777" w:rsidR="007B0332" w:rsidRPr="007B0332" w:rsidRDefault="007B0332" w:rsidP="007B0332">
            <w:pPr>
              <w:rPr>
                <w:bCs/>
                <w:lang w:bidi="en-US"/>
              </w:rPr>
            </w:pPr>
            <w:r w:rsidRPr="007B0332">
              <w:rPr>
                <w:bCs/>
                <w:lang w:bidi="en-US"/>
              </w:rPr>
              <w:t>Hemet</w:t>
            </w:r>
          </w:p>
        </w:tc>
        <w:tc>
          <w:tcPr>
            <w:tcW w:w="1237" w:type="dxa"/>
            <w:tcBorders>
              <w:top w:val="single" w:sz="4" w:space="0" w:color="auto"/>
              <w:left w:val="single" w:sz="4" w:space="0" w:color="auto"/>
              <w:bottom w:val="single" w:sz="4" w:space="0" w:color="auto"/>
              <w:right w:val="single" w:sz="4" w:space="0" w:color="auto"/>
            </w:tcBorders>
            <w:vAlign w:val="center"/>
          </w:tcPr>
          <w:p w14:paraId="5C889E3C" w14:textId="77777777" w:rsidR="007B0332" w:rsidRPr="007B0332" w:rsidRDefault="007B0332" w:rsidP="007B0332">
            <w:pPr>
              <w:rPr>
                <w:bCs/>
                <w:lang w:bidi="en-US"/>
              </w:rPr>
            </w:pPr>
            <w:r w:rsidRPr="007B0332">
              <w:rPr>
                <w:bCs/>
                <w:lang w:bidi="en-US"/>
              </w:rPr>
              <w:t>821</w:t>
            </w:r>
          </w:p>
        </w:tc>
        <w:tc>
          <w:tcPr>
            <w:tcW w:w="1238" w:type="dxa"/>
            <w:tcBorders>
              <w:top w:val="single" w:sz="4" w:space="0" w:color="auto"/>
              <w:left w:val="single" w:sz="4" w:space="0" w:color="auto"/>
              <w:bottom w:val="single" w:sz="4" w:space="0" w:color="auto"/>
              <w:right w:val="single" w:sz="4" w:space="0" w:color="auto"/>
            </w:tcBorders>
            <w:vAlign w:val="center"/>
          </w:tcPr>
          <w:p w14:paraId="002B5B16" w14:textId="77777777" w:rsidR="007B0332" w:rsidRPr="007B0332" w:rsidRDefault="007B0332" w:rsidP="007B0332">
            <w:pPr>
              <w:rPr>
                <w:bCs/>
                <w:lang w:bidi="en-US"/>
              </w:rPr>
            </w:pPr>
            <w:r w:rsidRPr="007B0332">
              <w:rPr>
                <w:bCs/>
                <w:lang w:bidi="en-US"/>
              </w:rPr>
              <w:t>770</w:t>
            </w:r>
          </w:p>
        </w:tc>
        <w:tc>
          <w:tcPr>
            <w:tcW w:w="1237" w:type="dxa"/>
            <w:tcBorders>
              <w:top w:val="single" w:sz="4" w:space="0" w:color="auto"/>
              <w:left w:val="single" w:sz="4" w:space="0" w:color="auto"/>
              <w:bottom w:val="single" w:sz="4" w:space="0" w:color="auto"/>
              <w:right w:val="single" w:sz="4" w:space="0" w:color="auto"/>
            </w:tcBorders>
            <w:vAlign w:val="center"/>
          </w:tcPr>
          <w:p w14:paraId="1A521510" w14:textId="77777777" w:rsidR="007B0332" w:rsidRPr="007B0332" w:rsidRDefault="007B0332" w:rsidP="007B0332">
            <w:pPr>
              <w:rPr>
                <w:bCs/>
                <w:lang w:bidi="en-US"/>
              </w:rPr>
            </w:pPr>
            <w:r w:rsidRPr="007B0332">
              <w:rPr>
                <w:bCs/>
                <w:lang w:bidi="en-US"/>
              </w:rPr>
              <w:t>239</w:t>
            </w:r>
          </w:p>
        </w:tc>
        <w:tc>
          <w:tcPr>
            <w:tcW w:w="1238" w:type="dxa"/>
            <w:tcBorders>
              <w:top w:val="single" w:sz="4" w:space="0" w:color="auto"/>
              <w:left w:val="single" w:sz="4" w:space="0" w:color="auto"/>
              <w:bottom w:val="single" w:sz="4" w:space="0" w:color="auto"/>
              <w:right w:val="single" w:sz="8" w:space="0" w:color="000000" w:themeColor="text1"/>
            </w:tcBorders>
            <w:vAlign w:val="center"/>
          </w:tcPr>
          <w:p w14:paraId="59FED7E3" w14:textId="77777777" w:rsidR="007B0332" w:rsidRPr="007B0332" w:rsidRDefault="007B0332" w:rsidP="007B0332">
            <w:pPr>
              <w:rPr>
                <w:bCs/>
                <w:lang w:bidi="en-US"/>
              </w:rPr>
            </w:pPr>
            <w:r w:rsidRPr="007B0332">
              <w:rPr>
                <w:bCs/>
                <w:lang w:bidi="en-US"/>
              </w:rPr>
              <w:t>796</w:t>
            </w:r>
          </w:p>
        </w:tc>
      </w:tr>
      <w:tr w:rsidR="007B0332" w:rsidRPr="007B0332" w14:paraId="2A669A73" w14:textId="77777777" w:rsidTr="003A2521">
        <w:trPr>
          <w:trHeight w:val="284"/>
        </w:trPr>
        <w:tc>
          <w:tcPr>
            <w:tcW w:w="3780" w:type="dxa"/>
            <w:tcBorders>
              <w:top w:val="single" w:sz="4" w:space="0" w:color="auto"/>
              <w:left w:val="single" w:sz="8" w:space="0" w:color="000000" w:themeColor="text1"/>
              <w:bottom w:val="single" w:sz="4" w:space="0" w:color="auto"/>
              <w:right w:val="single" w:sz="4" w:space="0" w:color="auto"/>
            </w:tcBorders>
            <w:vAlign w:val="center"/>
          </w:tcPr>
          <w:p w14:paraId="26600502" w14:textId="77777777" w:rsidR="007B0332" w:rsidRPr="007B0332" w:rsidRDefault="007B0332" w:rsidP="007B0332">
            <w:pPr>
              <w:rPr>
                <w:bCs/>
                <w:lang w:bidi="en-US"/>
              </w:rPr>
            </w:pPr>
            <w:r w:rsidRPr="007B0332">
              <w:rPr>
                <w:bCs/>
                <w:lang w:bidi="en-US"/>
              </w:rPr>
              <w:t>Lake Elsinore</w:t>
            </w:r>
          </w:p>
        </w:tc>
        <w:tc>
          <w:tcPr>
            <w:tcW w:w="1237" w:type="dxa"/>
            <w:tcBorders>
              <w:top w:val="single" w:sz="4" w:space="0" w:color="auto"/>
              <w:left w:val="single" w:sz="4" w:space="0" w:color="auto"/>
              <w:bottom w:val="single" w:sz="4" w:space="0" w:color="auto"/>
              <w:right w:val="single" w:sz="4" w:space="0" w:color="auto"/>
            </w:tcBorders>
            <w:vAlign w:val="center"/>
          </w:tcPr>
          <w:p w14:paraId="4CACF7A4" w14:textId="77777777" w:rsidR="007B0332" w:rsidRPr="007B0332" w:rsidRDefault="007B0332" w:rsidP="007B0332">
            <w:pPr>
              <w:rPr>
                <w:bCs/>
                <w:lang w:bidi="en-US"/>
              </w:rPr>
            </w:pPr>
            <w:r w:rsidRPr="007B0332">
              <w:rPr>
                <w:bCs/>
                <w:lang w:bidi="en-US"/>
              </w:rPr>
              <w:t>426</w:t>
            </w:r>
          </w:p>
        </w:tc>
        <w:tc>
          <w:tcPr>
            <w:tcW w:w="1238" w:type="dxa"/>
            <w:tcBorders>
              <w:top w:val="single" w:sz="4" w:space="0" w:color="auto"/>
              <w:left w:val="single" w:sz="4" w:space="0" w:color="auto"/>
              <w:bottom w:val="single" w:sz="4" w:space="0" w:color="auto"/>
              <w:right w:val="single" w:sz="4" w:space="0" w:color="auto"/>
            </w:tcBorders>
            <w:vAlign w:val="center"/>
          </w:tcPr>
          <w:p w14:paraId="22A52738" w14:textId="77777777" w:rsidR="007B0332" w:rsidRPr="007B0332" w:rsidRDefault="007B0332" w:rsidP="007B0332">
            <w:pPr>
              <w:rPr>
                <w:bCs/>
                <w:lang w:bidi="en-US"/>
              </w:rPr>
            </w:pPr>
            <w:r w:rsidRPr="007B0332">
              <w:rPr>
                <w:bCs/>
                <w:lang w:bidi="en-US"/>
              </w:rPr>
              <w:t>346</w:t>
            </w:r>
          </w:p>
        </w:tc>
        <w:tc>
          <w:tcPr>
            <w:tcW w:w="1237" w:type="dxa"/>
            <w:tcBorders>
              <w:top w:val="single" w:sz="4" w:space="0" w:color="auto"/>
              <w:left w:val="single" w:sz="4" w:space="0" w:color="auto"/>
              <w:bottom w:val="single" w:sz="4" w:space="0" w:color="auto"/>
              <w:right w:val="single" w:sz="4" w:space="0" w:color="auto"/>
            </w:tcBorders>
            <w:vAlign w:val="center"/>
          </w:tcPr>
          <w:p w14:paraId="34DE649D" w14:textId="77777777" w:rsidR="007B0332" w:rsidRPr="007B0332" w:rsidRDefault="007B0332" w:rsidP="007B0332">
            <w:pPr>
              <w:rPr>
                <w:bCs/>
                <w:lang w:bidi="en-US"/>
              </w:rPr>
            </w:pPr>
            <w:r w:rsidRPr="007B0332">
              <w:rPr>
                <w:bCs/>
                <w:lang w:bidi="en-US"/>
              </w:rPr>
              <w:t>116</w:t>
            </w:r>
          </w:p>
        </w:tc>
        <w:tc>
          <w:tcPr>
            <w:tcW w:w="1238" w:type="dxa"/>
            <w:tcBorders>
              <w:top w:val="single" w:sz="4" w:space="0" w:color="auto"/>
              <w:left w:val="single" w:sz="4" w:space="0" w:color="auto"/>
              <w:bottom w:val="single" w:sz="4" w:space="0" w:color="auto"/>
              <w:right w:val="single" w:sz="8" w:space="0" w:color="000000" w:themeColor="text1"/>
            </w:tcBorders>
            <w:vAlign w:val="center"/>
          </w:tcPr>
          <w:p w14:paraId="52C6A9A2" w14:textId="77777777" w:rsidR="007B0332" w:rsidRPr="007B0332" w:rsidRDefault="007B0332" w:rsidP="007B0332">
            <w:pPr>
              <w:rPr>
                <w:bCs/>
                <w:lang w:bidi="en-US"/>
              </w:rPr>
            </w:pPr>
            <w:r w:rsidRPr="007B0332">
              <w:rPr>
                <w:bCs/>
                <w:lang w:bidi="en-US"/>
              </w:rPr>
              <w:t>386</w:t>
            </w:r>
          </w:p>
        </w:tc>
      </w:tr>
      <w:tr w:rsidR="007B0332" w:rsidRPr="007B0332" w14:paraId="4ADED151" w14:textId="77777777" w:rsidTr="003A2521">
        <w:trPr>
          <w:trHeight w:val="284"/>
        </w:trPr>
        <w:tc>
          <w:tcPr>
            <w:tcW w:w="3780" w:type="dxa"/>
            <w:tcBorders>
              <w:top w:val="single" w:sz="4" w:space="0" w:color="auto"/>
              <w:left w:val="single" w:sz="8" w:space="0" w:color="000000" w:themeColor="text1"/>
              <w:bottom w:val="single" w:sz="4" w:space="0" w:color="auto"/>
              <w:right w:val="single" w:sz="4" w:space="0" w:color="auto"/>
            </w:tcBorders>
            <w:vAlign w:val="center"/>
          </w:tcPr>
          <w:p w14:paraId="3D3FE526" w14:textId="77777777" w:rsidR="007B0332" w:rsidRPr="007B0332" w:rsidRDefault="007B0332" w:rsidP="007B0332">
            <w:pPr>
              <w:rPr>
                <w:bCs/>
                <w:lang w:bidi="en-US"/>
              </w:rPr>
            </w:pPr>
            <w:r w:rsidRPr="007B0332">
              <w:rPr>
                <w:bCs/>
                <w:lang w:bidi="en-US"/>
              </w:rPr>
              <w:t>Menifee</w:t>
            </w:r>
          </w:p>
        </w:tc>
        <w:tc>
          <w:tcPr>
            <w:tcW w:w="1237" w:type="dxa"/>
            <w:tcBorders>
              <w:top w:val="single" w:sz="4" w:space="0" w:color="auto"/>
              <w:left w:val="single" w:sz="4" w:space="0" w:color="auto"/>
              <w:bottom w:val="single" w:sz="4" w:space="0" w:color="auto"/>
              <w:right w:val="single" w:sz="4" w:space="0" w:color="auto"/>
            </w:tcBorders>
            <w:vAlign w:val="center"/>
          </w:tcPr>
          <w:p w14:paraId="5746C58F" w14:textId="77777777" w:rsidR="007B0332" w:rsidRPr="007B0332" w:rsidRDefault="007B0332" w:rsidP="007B0332">
            <w:pPr>
              <w:rPr>
                <w:bCs/>
                <w:lang w:bidi="en-US"/>
              </w:rPr>
            </w:pPr>
            <w:r w:rsidRPr="007B0332">
              <w:rPr>
                <w:bCs/>
                <w:lang w:bidi="en-US"/>
              </w:rPr>
              <w:t>478</w:t>
            </w:r>
          </w:p>
        </w:tc>
        <w:tc>
          <w:tcPr>
            <w:tcW w:w="1238" w:type="dxa"/>
            <w:tcBorders>
              <w:top w:val="single" w:sz="4" w:space="0" w:color="auto"/>
              <w:left w:val="single" w:sz="4" w:space="0" w:color="auto"/>
              <w:bottom w:val="single" w:sz="4" w:space="0" w:color="auto"/>
              <w:right w:val="single" w:sz="4" w:space="0" w:color="auto"/>
            </w:tcBorders>
            <w:vAlign w:val="center"/>
          </w:tcPr>
          <w:p w14:paraId="5115E839" w14:textId="77777777" w:rsidR="007B0332" w:rsidRPr="007B0332" w:rsidRDefault="007B0332" w:rsidP="007B0332">
            <w:pPr>
              <w:rPr>
                <w:bCs/>
                <w:lang w:bidi="en-US"/>
              </w:rPr>
            </w:pPr>
            <w:r w:rsidRPr="007B0332">
              <w:rPr>
                <w:bCs/>
                <w:lang w:bidi="en-US"/>
              </w:rPr>
              <w:t>121</w:t>
            </w:r>
          </w:p>
        </w:tc>
        <w:tc>
          <w:tcPr>
            <w:tcW w:w="1237" w:type="dxa"/>
            <w:tcBorders>
              <w:top w:val="single" w:sz="4" w:space="0" w:color="auto"/>
              <w:left w:val="single" w:sz="4" w:space="0" w:color="auto"/>
              <w:bottom w:val="single" w:sz="4" w:space="0" w:color="auto"/>
              <w:right w:val="single" w:sz="4" w:space="0" w:color="auto"/>
            </w:tcBorders>
            <w:vAlign w:val="center"/>
          </w:tcPr>
          <w:p w14:paraId="507AB46A" w14:textId="77777777" w:rsidR="007B0332" w:rsidRPr="007B0332" w:rsidRDefault="007B0332" w:rsidP="007B0332">
            <w:pPr>
              <w:rPr>
                <w:bCs/>
                <w:lang w:bidi="en-US"/>
              </w:rPr>
            </w:pPr>
            <w:r w:rsidRPr="007B0332">
              <w:rPr>
                <w:bCs/>
                <w:lang w:bidi="en-US"/>
              </w:rPr>
              <w:t>90</w:t>
            </w:r>
          </w:p>
        </w:tc>
        <w:tc>
          <w:tcPr>
            <w:tcW w:w="1238" w:type="dxa"/>
            <w:tcBorders>
              <w:top w:val="single" w:sz="4" w:space="0" w:color="auto"/>
              <w:left w:val="single" w:sz="4" w:space="0" w:color="auto"/>
              <w:bottom w:val="single" w:sz="4" w:space="0" w:color="auto"/>
              <w:right w:val="single" w:sz="8" w:space="0" w:color="000000" w:themeColor="text1"/>
            </w:tcBorders>
            <w:vAlign w:val="center"/>
          </w:tcPr>
          <w:p w14:paraId="0E681AF5" w14:textId="77777777" w:rsidR="007B0332" w:rsidRPr="007B0332" w:rsidRDefault="007B0332" w:rsidP="007B0332">
            <w:pPr>
              <w:rPr>
                <w:bCs/>
                <w:lang w:bidi="en-US"/>
              </w:rPr>
            </w:pPr>
            <w:r w:rsidRPr="007B0332">
              <w:rPr>
                <w:bCs/>
                <w:lang w:bidi="en-US"/>
              </w:rPr>
              <w:t>300</w:t>
            </w:r>
          </w:p>
        </w:tc>
      </w:tr>
      <w:tr w:rsidR="007B0332" w:rsidRPr="007B0332" w14:paraId="7B9368FB" w14:textId="77777777" w:rsidTr="003A2521">
        <w:trPr>
          <w:trHeight w:val="284"/>
        </w:trPr>
        <w:tc>
          <w:tcPr>
            <w:tcW w:w="3780" w:type="dxa"/>
            <w:tcBorders>
              <w:top w:val="single" w:sz="4" w:space="0" w:color="auto"/>
              <w:left w:val="single" w:sz="8" w:space="0" w:color="000000" w:themeColor="text1"/>
              <w:bottom w:val="single" w:sz="4" w:space="0" w:color="auto"/>
              <w:right w:val="single" w:sz="4" w:space="0" w:color="auto"/>
            </w:tcBorders>
            <w:vAlign w:val="center"/>
          </w:tcPr>
          <w:p w14:paraId="6110DFA0" w14:textId="77777777" w:rsidR="007B0332" w:rsidRPr="007B0332" w:rsidRDefault="007B0332" w:rsidP="007B0332">
            <w:pPr>
              <w:rPr>
                <w:bCs/>
                <w:lang w:bidi="en-US"/>
              </w:rPr>
            </w:pPr>
            <w:r w:rsidRPr="007B0332">
              <w:rPr>
                <w:bCs/>
                <w:lang w:bidi="en-US"/>
              </w:rPr>
              <w:t>Moreno Valley</w:t>
            </w:r>
          </w:p>
        </w:tc>
        <w:tc>
          <w:tcPr>
            <w:tcW w:w="1237" w:type="dxa"/>
            <w:tcBorders>
              <w:top w:val="single" w:sz="4" w:space="0" w:color="auto"/>
              <w:left w:val="single" w:sz="4" w:space="0" w:color="auto"/>
              <w:bottom w:val="single" w:sz="4" w:space="0" w:color="auto"/>
              <w:right w:val="single" w:sz="4" w:space="0" w:color="auto"/>
            </w:tcBorders>
            <w:vAlign w:val="center"/>
          </w:tcPr>
          <w:p w14:paraId="5F5FD6BD" w14:textId="77777777" w:rsidR="007B0332" w:rsidRPr="007B0332" w:rsidRDefault="007B0332" w:rsidP="007B0332">
            <w:pPr>
              <w:rPr>
                <w:bCs/>
                <w:lang w:bidi="en-US"/>
              </w:rPr>
            </w:pPr>
            <w:r w:rsidRPr="007B0332">
              <w:rPr>
                <w:bCs/>
                <w:lang w:bidi="en-US"/>
              </w:rPr>
              <w:t>3482</w:t>
            </w:r>
          </w:p>
        </w:tc>
        <w:tc>
          <w:tcPr>
            <w:tcW w:w="1238" w:type="dxa"/>
            <w:tcBorders>
              <w:top w:val="single" w:sz="4" w:space="0" w:color="auto"/>
              <w:left w:val="single" w:sz="4" w:space="0" w:color="auto"/>
              <w:bottom w:val="single" w:sz="4" w:space="0" w:color="auto"/>
              <w:right w:val="single" w:sz="4" w:space="0" w:color="auto"/>
            </w:tcBorders>
            <w:vAlign w:val="center"/>
          </w:tcPr>
          <w:p w14:paraId="7ABDF3C9" w14:textId="77777777" w:rsidR="007B0332" w:rsidRPr="007B0332" w:rsidRDefault="007B0332" w:rsidP="007B0332">
            <w:pPr>
              <w:rPr>
                <w:bCs/>
                <w:lang w:bidi="en-US"/>
              </w:rPr>
            </w:pPr>
            <w:r w:rsidRPr="007B0332">
              <w:rPr>
                <w:bCs/>
                <w:lang w:bidi="en-US"/>
              </w:rPr>
              <w:t>79</w:t>
            </w:r>
          </w:p>
        </w:tc>
        <w:tc>
          <w:tcPr>
            <w:tcW w:w="1237" w:type="dxa"/>
            <w:tcBorders>
              <w:top w:val="single" w:sz="4" w:space="0" w:color="auto"/>
              <w:left w:val="single" w:sz="4" w:space="0" w:color="auto"/>
              <w:bottom w:val="single" w:sz="4" w:space="0" w:color="auto"/>
              <w:right w:val="single" w:sz="4" w:space="0" w:color="auto"/>
            </w:tcBorders>
            <w:vAlign w:val="center"/>
          </w:tcPr>
          <w:p w14:paraId="643E7222" w14:textId="77777777" w:rsidR="007B0332" w:rsidRPr="007B0332" w:rsidRDefault="007B0332" w:rsidP="007B0332">
            <w:pPr>
              <w:rPr>
                <w:bCs/>
                <w:lang w:bidi="en-US"/>
              </w:rPr>
            </w:pPr>
            <w:r w:rsidRPr="007B0332">
              <w:rPr>
                <w:bCs/>
                <w:lang w:bidi="en-US"/>
              </w:rPr>
              <w:t>534</w:t>
            </w:r>
          </w:p>
        </w:tc>
        <w:tc>
          <w:tcPr>
            <w:tcW w:w="1238" w:type="dxa"/>
            <w:tcBorders>
              <w:top w:val="single" w:sz="4" w:space="0" w:color="auto"/>
              <w:left w:val="single" w:sz="4" w:space="0" w:color="auto"/>
              <w:bottom w:val="single" w:sz="4" w:space="0" w:color="auto"/>
              <w:right w:val="single" w:sz="8" w:space="0" w:color="000000" w:themeColor="text1"/>
            </w:tcBorders>
            <w:vAlign w:val="center"/>
          </w:tcPr>
          <w:p w14:paraId="4AAD75F7" w14:textId="77777777" w:rsidR="007B0332" w:rsidRPr="007B0332" w:rsidRDefault="007B0332" w:rsidP="007B0332">
            <w:pPr>
              <w:rPr>
                <w:bCs/>
                <w:lang w:bidi="en-US"/>
              </w:rPr>
            </w:pPr>
            <w:r w:rsidRPr="007B0332">
              <w:rPr>
                <w:bCs/>
                <w:lang w:bidi="en-US"/>
              </w:rPr>
              <w:t>1780</w:t>
            </w:r>
          </w:p>
        </w:tc>
      </w:tr>
      <w:tr w:rsidR="007B0332" w:rsidRPr="007B0332" w14:paraId="4ECFF136" w14:textId="77777777" w:rsidTr="003A2521">
        <w:trPr>
          <w:trHeight w:val="284"/>
        </w:trPr>
        <w:tc>
          <w:tcPr>
            <w:tcW w:w="3780" w:type="dxa"/>
            <w:tcBorders>
              <w:top w:val="single" w:sz="4" w:space="0" w:color="auto"/>
              <w:left w:val="single" w:sz="8" w:space="0" w:color="000000" w:themeColor="text1"/>
              <w:bottom w:val="single" w:sz="4" w:space="0" w:color="auto"/>
              <w:right w:val="single" w:sz="4" w:space="0" w:color="auto"/>
            </w:tcBorders>
            <w:vAlign w:val="center"/>
          </w:tcPr>
          <w:p w14:paraId="612F66BC" w14:textId="77777777" w:rsidR="007B0332" w:rsidRPr="007B0332" w:rsidRDefault="007B0332" w:rsidP="007B0332">
            <w:pPr>
              <w:rPr>
                <w:bCs/>
                <w:lang w:bidi="en-US"/>
              </w:rPr>
            </w:pPr>
            <w:r w:rsidRPr="007B0332">
              <w:rPr>
                <w:bCs/>
                <w:lang w:bidi="en-US"/>
              </w:rPr>
              <w:t>Murrieta</w:t>
            </w:r>
          </w:p>
        </w:tc>
        <w:tc>
          <w:tcPr>
            <w:tcW w:w="1237" w:type="dxa"/>
            <w:tcBorders>
              <w:top w:val="single" w:sz="4" w:space="0" w:color="auto"/>
              <w:left w:val="single" w:sz="4" w:space="0" w:color="auto"/>
              <w:bottom w:val="single" w:sz="4" w:space="0" w:color="auto"/>
              <w:right w:val="single" w:sz="4" w:space="0" w:color="auto"/>
            </w:tcBorders>
            <w:vAlign w:val="center"/>
          </w:tcPr>
          <w:p w14:paraId="72851662" w14:textId="77777777" w:rsidR="007B0332" w:rsidRPr="007B0332" w:rsidRDefault="007B0332" w:rsidP="007B0332">
            <w:pPr>
              <w:rPr>
                <w:bCs/>
                <w:lang w:bidi="en-US"/>
              </w:rPr>
            </w:pPr>
            <w:r w:rsidRPr="007B0332">
              <w:rPr>
                <w:bCs/>
                <w:lang w:bidi="en-US"/>
              </w:rPr>
              <w:t>0.03</w:t>
            </w:r>
          </w:p>
        </w:tc>
        <w:tc>
          <w:tcPr>
            <w:tcW w:w="1238" w:type="dxa"/>
            <w:tcBorders>
              <w:top w:val="single" w:sz="4" w:space="0" w:color="auto"/>
              <w:left w:val="single" w:sz="4" w:space="0" w:color="auto"/>
              <w:bottom w:val="single" w:sz="4" w:space="0" w:color="auto"/>
              <w:right w:val="single" w:sz="4" w:space="0" w:color="auto"/>
            </w:tcBorders>
            <w:vAlign w:val="center"/>
          </w:tcPr>
          <w:p w14:paraId="76B89081" w14:textId="77777777" w:rsidR="007B0332" w:rsidRPr="007B0332" w:rsidRDefault="007B0332" w:rsidP="007B0332">
            <w:pPr>
              <w:rPr>
                <w:bCs/>
                <w:lang w:bidi="en-US"/>
              </w:rPr>
            </w:pPr>
            <w:r w:rsidRPr="007B0332">
              <w:rPr>
                <w:bCs/>
                <w:lang w:bidi="en-US"/>
              </w:rPr>
              <w:t>0</w:t>
            </w:r>
          </w:p>
        </w:tc>
        <w:tc>
          <w:tcPr>
            <w:tcW w:w="1237" w:type="dxa"/>
            <w:tcBorders>
              <w:top w:val="single" w:sz="4" w:space="0" w:color="auto"/>
              <w:left w:val="single" w:sz="4" w:space="0" w:color="auto"/>
              <w:bottom w:val="single" w:sz="4" w:space="0" w:color="auto"/>
              <w:right w:val="single" w:sz="4" w:space="0" w:color="auto"/>
            </w:tcBorders>
            <w:vAlign w:val="center"/>
          </w:tcPr>
          <w:p w14:paraId="218C9C14" w14:textId="77777777" w:rsidR="007B0332" w:rsidRPr="007B0332" w:rsidRDefault="007B0332" w:rsidP="007B0332">
            <w:pPr>
              <w:rPr>
                <w:bCs/>
                <w:lang w:bidi="en-US"/>
              </w:rPr>
            </w:pPr>
            <w:r w:rsidRPr="007B0332">
              <w:rPr>
                <w:bCs/>
                <w:lang w:bidi="en-US"/>
              </w:rPr>
              <w:t>0.005</w:t>
            </w:r>
          </w:p>
        </w:tc>
        <w:tc>
          <w:tcPr>
            <w:tcW w:w="1238" w:type="dxa"/>
            <w:tcBorders>
              <w:top w:val="single" w:sz="4" w:space="0" w:color="auto"/>
              <w:left w:val="single" w:sz="4" w:space="0" w:color="auto"/>
              <w:bottom w:val="single" w:sz="4" w:space="0" w:color="auto"/>
              <w:right w:val="single" w:sz="8" w:space="0" w:color="000000" w:themeColor="text1"/>
            </w:tcBorders>
            <w:vAlign w:val="center"/>
          </w:tcPr>
          <w:p w14:paraId="2A4C5E71" w14:textId="77777777" w:rsidR="007B0332" w:rsidRPr="007B0332" w:rsidRDefault="007B0332" w:rsidP="007B0332">
            <w:pPr>
              <w:rPr>
                <w:bCs/>
                <w:lang w:bidi="en-US"/>
              </w:rPr>
            </w:pPr>
            <w:r w:rsidRPr="007B0332">
              <w:rPr>
                <w:bCs/>
                <w:lang w:bidi="en-US"/>
              </w:rPr>
              <w:t>0.015</w:t>
            </w:r>
          </w:p>
        </w:tc>
      </w:tr>
      <w:tr w:rsidR="007B0332" w:rsidRPr="007B0332" w14:paraId="0431E14E" w14:textId="77777777" w:rsidTr="003A2521">
        <w:trPr>
          <w:trHeight w:val="284"/>
        </w:trPr>
        <w:tc>
          <w:tcPr>
            <w:tcW w:w="3780" w:type="dxa"/>
            <w:tcBorders>
              <w:top w:val="single" w:sz="4" w:space="0" w:color="auto"/>
              <w:left w:val="single" w:sz="8" w:space="0" w:color="000000" w:themeColor="text1"/>
              <w:bottom w:val="single" w:sz="4" w:space="0" w:color="auto"/>
              <w:right w:val="single" w:sz="4" w:space="0" w:color="auto"/>
            </w:tcBorders>
            <w:vAlign w:val="center"/>
          </w:tcPr>
          <w:p w14:paraId="1A658E7E" w14:textId="77777777" w:rsidR="007B0332" w:rsidRPr="007B0332" w:rsidRDefault="007B0332" w:rsidP="007B0332">
            <w:pPr>
              <w:rPr>
                <w:bCs/>
                <w:lang w:bidi="en-US"/>
              </w:rPr>
            </w:pPr>
            <w:r w:rsidRPr="007B0332">
              <w:rPr>
                <w:bCs/>
                <w:lang w:bidi="en-US"/>
              </w:rPr>
              <w:t>Perris</w:t>
            </w:r>
          </w:p>
        </w:tc>
        <w:tc>
          <w:tcPr>
            <w:tcW w:w="1237" w:type="dxa"/>
            <w:tcBorders>
              <w:top w:val="single" w:sz="4" w:space="0" w:color="auto"/>
              <w:left w:val="single" w:sz="4" w:space="0" w:color="auto"/>
              <w:bottom w:val="single" w:sz="4" w:space="0" w:color="auto"/>
              <w:right w:val="single" w:sz="4" w:space="0" w:color="auto"/>
            </w:tcBorders>
            <w:vAlign w:val="center"/>
          </w:tcPr>
          <w:p w14:paraId="45184480" w14:textId="77777777" w:rsidR="007B0332" w:rsidRPr="007B0332" w:rsidRDefault="007B0332" w:rsidP="007B0332">
            <w:pPr>
              <w:rPr>
                <w:bCs/>
                <w:lang w:bidi="en-US"/>
              </w:rPr>
            </w:pPr>
            <w:r w:rsidRPr="007B0332">
              <w:rPr>
                <w:bCs/>
                <w:lang w:bidi="en-US"/>
              </w:rPr>
              <w:t>974</w:t>
            </w:r>
          </w:p>
        </w:tc>
        <w:tc>
          <w:tcPr>
            <w:tcW w:w="1238" w:type="dxa"/>
            <w:tcBorders>
              <w:top w:val="single" w:sz="4" w:space="0" w:color="auto"/>
              <w:left w:val="single" w:sz="4" w:space="0" w:color="auto"/>
              <w:bottom w:val="single" w:sz="4" w:space="0" w:color="auto"/>
              <w:right w:val="single" w:sz="4" w:space="0" w:color="auto"/>
            </w:tcBorders>
            <w:vAlign w:val="center"/>
          </w:tcPr>
          <w:p w14:paraId="4F08BC57" w14:textId="77777777" w:rsidR="007B0332" w:rsidRPr="007B0332" w:rsidRDefault="007B0332" w:rsidP="007B0332">
            <w:pPr>
              <w:rPr>
                <w:bCs/>
                <w:lang w:bidi="en-US"/>
              </w:rPr>
            </w:pPr>
            <w:r w:rsidRPr="007B0332">
              <w:rPr>
                <w:bCs/>
                <w:lang w:bidi="en-US"/>
              </w:rPr>
              <w:t>31</w:t>
            </w:r>
          </w:p>
        </w:tc>
        <w:tc>
          <w:tcPr>
            <w:tcW w:w="1237" w:type="dxa"/>
            <w:tcBorders>
              <w:top w:val="single" w:sz="4" w:space="0" w:color="auto"/>
              <w:left w:val="single" w:sz="4" w:space="0" w:color="auto"/>
              <w:bottom w:val="single" w:sz="4" w:space="0" w:color="auto"/>
              <w:right w:val="single" w:sz="4" w:space="0" w:color="auto"/>
            </w:tcBorders>
            <w:vAlign w:val="center"/>
          </w:tcPr>
          <w:p w14:paraId="1D2E2748" w14:textId="77777777" w:rsidR="007B0332" w:rsidRPr="007B0332" w:rsidRDefault="007B0332" w:rsidP="007B0332">
            <w:pPr>
              <w:rPr>
                <w:bCs/>
                <w:lang w:bidi="en-US"/>
              </w:rPr>
            </w:pPr>
            <w:r w:rsidRPr="007B0332">
              <w:rPr>
                <w:bCs/>
                <w:lang w:bidi="en-US"/>
              </w:rPr>
              <w:t>151</w:t>
            </w:r>
          </w:p>
        </w:tc>
        <w:tc>
          <w:tcPr>
            <w:tcW w:w="1238" w:type="dxa"/>
            <w:tcBorders>
              <w:top w:val="single" w:sz="4" w:space="0" w:color="auto"/>
              <w:left w:val="single" w:sz="4" w:space="0" w:color="auto"/>
              <w:bottom w:val="single" w:sz="4" w:space="0" w:color="auto"/>
              <w:right w:val="single" w:sz="8" w:space="0" w:color="000000" w:themeColor="text1"/>
            </w:tcBorders>
            <w:vAlign w:val="center"/>
          </w:tcPr>
          <w:p w14:paraId="0EA5A830" w14:textId="77777777" w:rsidR="007B0332" w:rsidRPr="007B0332" w:rsidRDefault="007B0332" w:rsidP="007B0332">
            <w:pPr>
              <w:rPr>
                <w:bCs/>
                <w:lang w:bidi="en-US"/>
              </w:rPr>
            </w:pPr>
            <w:r w:rsidRPr="007B0332">
              <w:rPr>
                <w:bCs/>
                <w:lang w:bidi="en-US"/>
              </w:rPr>
              <w:t>502</w:t>
            </w:r>
          </w:p>
        </w:tc>
      </w:tr>
      <w:tr w:rsidR="007B0332" w:rsidRPr="007B0332" w14:paraId="2D32F328" w14:textId="77777777" w:rsidTr="003A2521">
        <w:trPr>
          <w:trHeight w:val="284"/>
        </w:trPr>
        <w:tc>
          <w:tcPr>
            <w:tcW w:w="3780" w:type="dxa"/>
            <w:tcBorders>
              <w:top w:val="single" w:sz="4" w:space="0" w:color="auto"/>
              <w:left w:val="single" w:sz="8" w:space="0" w:color="000000" w:themeColor="text1"/>
              <w:bottom w:val="single" w:sz="4" w:space="0" w:color="auto"/>
              <w:right w:val="single" w:sz="4" w:space="0" w:color="auto"/>
            </w:tcBorders>
            <w:vAlign w:val="center"/>
          </w:tcPr>
          <w:p w14:paraId="089D12BB" w14:textId="77777777" w:rsidR="007B0332" w:rsidRPr="007B0332" w:rsidRDefault="007B0332" w:rsidP="007B0332">
            <w:pPr>
              <w:rPr>
                <w:bCs/>
                <w:lang w:bidi="en-US"/>
              </w:rPr>
            </w:pPr>
            <w:r w:rsidRPr="007B0332">
              <w:rPr>
                <w:bCs/>
                <w:lang w:bidi="en-US"/>
              </w:rPr>
              <w:t>Riverside</w:t>
            </w:r>
          </w:p>
        </w:tc>
        <w:tc>
          <w:tcPr>
            <w:tcW w:w="1237" w:type="dxa"/>
            <w:tcBorders>
              <w:top w:val="single" w:sz="4" w:space="0" w:color="auto"/>
              <w:left w:val="single" w:sz="4" w:space="0" w:color="auto"/>
              <w:bottom w:val="single" w:sz="4" w:space="0" w:color="auto"/>
              <w:right w:val="single" w:sz="4" w:space="0" w:color="auto"/>
            </w:tcBorders>
            <w:vAlign w:val="center"/>
          </w:tcPr>
          <w:p w14:paraId="0CE4358D" w14:textId="77777777" w:rsidR="007B0332" w:rsidRPr="007B0332" w:rsidRDefault="007B0332" w:rsidP="007B0332">
            <w:pPr>
              <w:rPr>
                <w:bCs/>
                <w:lang w:bidi="en-US"/>
              </w:rPr>
            </w:pPr>
            <w:r w:rsidRPr="007B0332">
              <w:rPr>
                <w:bCs/>
                <w:lang w:bidi="en-US"/>
              </w:rPr>
              <w:t>29</w:t>
            </w:r>
          </w:p>
        </w:tc>
        <w:tc>
          <w:tcPr>
            <w:tcW w:w="1238" w:type="dxa"/>
            <w:tcBorders>
              <w:top w:val="single" w:sz="4" w:space="0" w:color="auto"/>
              <w:left w:val="single" w:sz="4" w:space="0" w:color="auto"/>
              <w:bottom w:val="single" w:sz="4" w:space="0" w:color="auto"/>
              <w:right w:val="single" w:sz="4" w:space="0" w:color="auto"/>
            </w:tcBorders>
            <w:vAlign w:val="center"/>
          </w:tcPr>
          <w:p w14:paraId="29E71CBE" w14:textId="77777777" w:rsidR="007B0332" w:rsidRPr="007B0332" w:rsidRDefault="007B0332" w:rsidP="007B0332">
            <w:pPr>
              <w:rPr>
                <w:bCs/>
                <w:lang w:bidi="en-US"/>
              </w:rPr>
            </w:pPr>
            <w:r w:rsidRPr="007B0332">
              <w:rPr>
                <w:bCs/>
                <w:lang w:bidi="en-US"/>
              </w:rPr>
              <w:t>3</w:t>
            </w:r>
          </w:p>
        </w:tc>
        <w:tc>
          <w:tcPr>
            <w:tcW w:w="1237" w:type="dxa"/>
            <w:tcBorders>
              <w:top w:val="single" w:sz="4" w:space="0" w:color="auto"/>
              <w:left w:val="single" w:sz="4" w:space="0" w:color="auto"/>
              <w:bottom w:val="single" w:sz="4" w:space="0" w:color="auto"/>
              <w:right w:val="single" w:sz="4" w:space="0" w:color="auto"/>
            </w:tcBorders>
            <w:vAlign w:val="center"/>
          </w:tcPr>
          <w:p w14:paraId="2246798B" w14:textId="77777777" w:rsidR="007B0332" w:rsidRPr="007B0332" w:rsidRDefault="007B0332" w:rsidP="007B0332">
            <w:pPr>
              <w:rPr>
                <w:bCs/>
                <w:lang w:bidi="en-US"/>
              </w:rPr>
            </w:pPr>
            <w:r w:rsidRPr="007B0332">
              <w:rPr>
                <w:bCs/>
                <w:lang w:bidi="en-US"/>
              </w:rPr>
              <w:t>5</w:t>
            </w:r>
          </w:p>
        </w:tc>
        <w:tc>
          <w:tcPr>
            <w:tcW w:w="1238" w:type="dxa"/>
            <w:tcBorders>
              <w:top w:val="single" w:sz="4" w:space="0" w:color="auto"/>
              <w:left w:val="single" w:sz="4" w:space="0" w:color="auto"/>
              <w:bottom w:val="single" w:sz="4" w:space="0" w:color="auto"/>
              <w:right w:val="single" w:sz="8" w:space="0" w:color="000000" w:themeColor="text1"/>
            </w:tcBorders>
            <w:vAlign w:val="center"/>
          </w:tcPr>
          <w:p w14:paraId="04B19F25" w14:textId="77777777" w:rsidR="007B0332" w:rsidRPr="007B0332" w:rsidRDefault="007B0332" w:rsidP="007B0332">
            <w:pPr>
              <w:rPr>
                <w:bCs/>
                <w:lang w:bidi="en-US"/>
              </w:rPr>
            </w:pPr>
            <w:r w:rsidRPr="007B0332">
              <w:rPr>
                <w:bCs/>
                <w:lang w:bidi="en-US"/>
              </w:rPr>
              <w:t>16</w:t>
            </w:r>
          </w:p>
        </w:tc>
      </w:tr>
      <w:tr w:rsidR="007B0332" w:rsidRPr="007B0332" w14:paraId="137C49C5" w14:textId="77777777" w:rsidTr="003A2521">
        <w:trPr>
          <w:trHeight w:val="284"/>
        </w:trPr>
        <w:tc>
          <w:tcPr>
            <w:tcW w:w="3780" w:type="dxa"/>
            <w:tcBorders>
              <w:top w:val="single" w:sz="4" w:space="0" w:color="auto"/>
              <w:left w:val="single" w:sz="8" w:space="0" w:color="000000" w:themeColor="text1"/>
              <w:bottom w:val="single" w:sz="4" w:space="0" w:color="auto"/>
              <w:right w:val="single" w:sz="4" w:space="0" w:color="auto"/>
            </w:tcBorders>
            <w:vAlign w:val="center"/>
          </w:tcPr>
          <w:p w14:paraId="16A71F86" w14:textId="77777777" w:rsidR="007B0332" w:rsidRPr="007B0332" w:rsidRDefault="007B0332" w:rsidP="007B0332">
            <w:pPr>
              <w:rPr>
                <w:bCs/>
                <w:lang w:bidi="en-US"/>
              </w:rPr>
            </w:pPr>
            <w:r w:rsidRPr="007B0332">
              <w:rPr>
                <w:bCs/>
                <w:lang w:bidi="en-US"/>
              </w:rPr>
              <w:t>Riverside County</w:t>
            </w:r>
          </w:p>
        </w:tc>
        <w:tc>
          <w:tcPr>
            <w:tcW w:w="1237" w:type="dxa"/>
            <w:tcBorders>
              <w:top w:val="single" w:sz="4" w:space="0" w:color="auto"/>
              <w:left w:val="single" w:sz="4" w:space="0" w:color="auto"/>
              <w:bottom w:val="single" w:sz="4" w:space="0" w:color="auto"/>
              <w:right w:val="single" w:sz="4" w:space="0" w:color="auto"/>
            </w:tcBorders>
            <w:vAlign w:val="center"/>
          </w:tcPr>
          <w:p w14:paraId="247110ED" w14:textId="77777777" w:rsidR="007B0332" w:rsidRPr="007B0332" w:rsidRDefault="007B0332" w:rsidP="007B0332">
            <w:pPr>
              <w:rPr>
                <w:bCs/>
                <w:lang w:bidi="en-US"/>
              </w:rPr>
            </w:pPr>
            <w:r w:rsidRPr="007B0332">
              <w:rPr>
                <w:bCs/>
                <w:lang w:bidi="en-US"/>
              </w:rPr>
              <w:t>781</w:t>
            </w:r>
          </w:p>
        </w:tc>
        <w:tc>
          <w:tcPr>
            <w:tcW w:w="1238" w:type="dxa"/>
            <w:tcBorders>
              <w:top w:val="single" w:sz="4" w:space="0" w:color="auto"/>
              <w:left w:val="single" w:sz="4" w:space="0" w:color="auto"/>
              <w:bottom w:val="single" w:sz="4" w:space="0" w:color="auto"/>
              <w:right w:val="single" w:sz="4" w:space="0" w:color="auto"/>
            </w:tcBorders>
            <w:vAlign w:val="center"/>
          </w:tcPr>
          <w:p w14:paraId="20A3253F" w14:textId="77777777" w:rsidR="007B0332" w:rsidRPr="007B0332" w:rsidRDefault="007B0332" w:rsidP="007B0332">
            <w:pPr>
              <w:rPr>
                <w:bCs/>
                <w:lang w:bidi="en-US"/>
              </w:rPr>
            </w:pPr>
            <w:r w:rsidRPr="007B0332">
              <w:rPr>
                <w:bCs/>
                <w:lang w:bidi="en-US"/>
              </w:rPr>
              <w:t>740</w:t>
            </w:r>
          </w:p>
        </w:tc>
        <w:tc>
          <w:tcPr>
            <w:tcW w:w="1237" w:type="dxa"/>
            <w:tcBorders>
              <w:top w:val="single" w:sz="4" w:space="0" w:color="auto"/>
              <w:left w:val="single" w:sz="4" w:space="0" w:color="auto"/>
              <w:bottom w:val="single" w:sz="4" w:space="0" w:color="auto"/>
              <w:right w:val="single" w:sz="4" w:space="0" w:color="auto"/>
            </w:tcBorders>
            <w:vAlign w:val="center"/>
          </w:tcPr>
          <w:p w14:paraId="2DD8B0DD" w14:textId="77777777" w:rsidR="007B0332" w:rsidRPr="007B0332" w:rsidRDefault="007B0332" w:rsidP="007B0332">
            <w:pPr>
              <w:rPr>
                <w:bCs/>
                <w:lang w:bidi="en-US"/>
              </w:rPr>
            </w:pPr>
            <w:r w:rsidRPr="007B0332">
              <w:rPr>
                <w:bCs/>
                <w:lang w:bidi="en-US"/>
              </w:rPr>
              <w:t>228</w:t>
            </w:r>
          </w:p>
        </w:tc>
        <w:tc>
          <w:tcPr>
            <w:tcW w:w="1238" w:type="dxa"/>
            <w:tcBorders>
              <w:top w:val="single" w:sz="4" w:space="0" w:color="auto"/>
              <w:left w:val="single" w:sz="4" w:space="0" w:color="auto"/>
              <w:bottom w:val="single" w:sz="4" w:space="0" w:color="auto"/>
              <w:right w:val="single" w:sz="8" w:space="0" w:color="000000" w:themeColor="text1"/>
            </w:tcBorders>
            <w:vAlign w:val="center"/>
          </w:tcPr>
          <w:p w14:paraId="6D05D2FE" w14:textId="77777777" w:rsidR="007B0332" w:rsidRPr="007B0332" w:rsidRDefault="007B0332" w:rsidP="007B0332">
            <w:pPr>
              <w:rPr>
                <w:bCs/>
                <w:lang w:bidi="en-US"/>
              </w:rPr>
            </w:pPr>
            <w:r w:rsidRPr="007B0332">
              <w:rPr>
                <w:bCs/>
                <w:lang w:bidi="en-US"/>
              </w:rPr>
              <w:t>760</w:t>
            </w:r>
          </w:p>
        </w:tc>
      </w:tr>
      <w:tr w:rsidR="007B0332" w:rsidRPr="007B0332" w14:paraId="1EC99BB8" w14:textId="77777777" w:rsidTr="003A2521">
        <w:trPr>
          <w:trHeight w:val="284"/>
        </w:trPr>
        <w:tc>
          <w:tcPr>
            <w:tcW w:w="3780" w:type="dxa"/>
            <w:tcBorders>
              <w:top w:val="single" w:sz="4" w:space="0" w:color="auto"/>
              <w:left w:val="single" w:sz="8" w:space="0" w:color="000000" w:themeColor="text1"/>
              <w:bottom w:val="single" w:sz="4" w:space="0" w:color="auto"/>
              <w:right w:val="single" w:sz="4" w:space="0" w:color="auto"/>
            </w:tcBorders>
            <w:vAlign w:val="center"/>
          </w:tcPr>
          <w:p w14:paraId="2226C8D5" w14:textId="77777777" w:rsidR="007B0332" w:rsidRPr="007B0332" w:rsidRDefault="007B0332" w:rsidP="007B0332">
            <w:pPr>
              <w:rPr>
                <w:bCs/>
                <w:lang w:bidi="en-US"/>
              </w:rPr>
            </w:pPr>
            <w:r w:rsidRPr="007B0332">
              <w:rPr>
                <w:bCs/>
                <w:lang w:bidi="en-US"/>
              </w:rPr>
              <w:t>San Jacinto</w:t>
            </w:r>
          </w:p>
        </w:tc>
        <w:tc>
          <w:tcPr>
            <w:tcW w:w="1237" w:type="dxa"/>
            <w:tcBorders>
              <w:top w:val="single" w:sz="4" w:space="0" w:color="auto"/>
              <w:left w:val="single" w:sz="4" w:space="0" w:color="auto"/>
              <w:bottom w:val="single" w:sz="4" w:space="0" w:color="auto"/>
              <w:right w:val="single" w:sz="4" w:space="0" w:color="auto"/>
            </w:tcBorders>
            <w:vAlign w:val="center"/>
          </w:tcPr>
          <w:p w14:paraId="44F36B0C" w14:textId="77777777" w:rsidR="007B0332" w:rsidRPr="007B0332" w:rsidRDefault="007B0332" w:rsidP="007B0332">
            <w:pPr>
              <w:rPr>
                <w:bCs/>
                <w:lang w:bidi="en-US"/>
              </w:rPr>
            </w:pPr>
            <w:r w:rsidRPr="007B0332">
              <w:rPr>
                <w:bCs/>
                <w:lang w:bidi="en-US"/>
              </w:rPr>
              <w:t>388</w:t>
            </w:r>
          </w:p>
        </w:tc>
        <w:tc>
          <w:tcPr>
            <w:tcW w:w="1238" w:type="dxa"/>
            <w:tcBorders>
              <w:top w:val="single" w:sz="4" w:space="0" w:color="auto"/>
              <w:left w:val="single" w:sz="4" w:space="0" w:color="auto"/>
              <w:bottom w:val="single" w:sz="4" w:space="0" w:color="auto"/>
              <w:right w:val="single" w:sz="4" w:space="0" w:color="auto"/>
            </w:tcBorders>
            <w:vAlign w:val="center"/>
          </w:tcPr>
          <w:p w14:paraId="495E72C4" w14:textId="77777777" w:rsidR="007B0332" w:rsidRPr="007B0332" w:rsidRDefault="007B0332" w:rsidP="007B0332">
            <w:pPr>
              <w:rPr>
                <w:bCs/>
                <w:lang w:bidi="en-US"/>
              </w:rPr>
            </w:pPr>
            <w:r w:rsidRPr="007B0332">
              <w:rPr>
                <w:bCs/>
                <w:lang w:bidi="en-US"/>
              </w:rPr>
              <w:t>131</w:t>
            </w:r>
          </w:p>
        </w:tc>
        <w:tc>
          <w:tcPr>
            <w:tcW w:w="1237" w:type="dxa"/>
            <w:tcBorders>
              <w:top w:val="single" w:sz="4" w:space="0" w:color="auto"/>
              <w:left w:val="single" w:sz="4" w:space="0" w:color="auto"/>
              <w:bottom w:val="single" w:sz="4" w:space="0" w:color="auto"/>
              <w:right w:val="single" w:sz="4" w:space="0" w:color="auto"/>
            </w:tcBorders>
            <w:vAlign w:val="center"/>
          </w:tcPr>
          <w:p w14:paraId="4765A703" w14:textId="77777777" w:rsidR="007B0332" w:rsidRPr="007B0332" w:rsidRDefault="007B0332" w:rsidP="007B0332">
            <w:pPr>
              <w:rPr>
                <w:bCs/>
                <w:lang w:bidi="en-US"/>
              </w:rPr>
            </w:pPr>
            <w:r w:rsidRPr="007B0332">
              <w:rPr>
                <w:bCs/>
                <w:lang w:bidi="en-US"/>
              </w:rPr>
              <w:t>78</w:t>
            </w:r>
          </w:p>
        </w:tc>
        <w:tc>
          <w:tcPr>
            <w:tcW w:w="1238" w:type="dxa"/>
            <w:tcBorders>
              <w:top w:val="single" w:sz="4" w:space="0" w:color="auto"/>
              <w:left w:val="single" w:sz="4" w:space="0" w:color="auto"/>
              <w:bottom w:val="single" w:sz="4" w:space="0" w:color="auto"/>
              <w:right w:val="single" w:sz="8" w:space="0" w:color="000000" w:themeColor="text1"/>
            </w:tcBorders>
            <w:vAlign w:val="center"/>
          </w:tcPr>
          <w:p w14:paraId="21C507D1" w14:textId="77777777" w:rsidR="007B0332" w:rsidRPr="007B0332" w:rsidRDefault="007B0332" w:rsidP="007B0332">
            <w:pPr>
              <w:rPr>
                <w:bCs/>
                <w:lang w:bidi="en-US"/>
              </w:rPr>
            </w:pPr>
            <w:r w:rsidRPr="007B0332">
              <w:rPr>
                <w:bCs/>
                <w:lang w:bidi="en-US"/>
              </w:rPr>
              <w:t>259</w:t>
            </w:r>
          </w:p>
        </w:tc>
      </w:tr>
      <w:tr w:rsidR="007B0332" w:rsidRPr="007B0332" w14:paraId="259629A1" w14:textId="77777777" w:rsidTr="003A2521">
        <w:trPr>
          <w:trHeight w:val="284"/>
        </w:trPr>
        <w:tc>
          <w:tcPr>
            <w:tcW w:w="3780" w:type="dxa"/>
            <w:tcBorders>
              <w:top w:val="single" w:sz="4" w:space="0" w:color="auto"/>
              <w:left w:val="single" w:sz="8" w:space="0" w:color="000000" w:themeColor="text1"/>
              <w:bottom w:val="single" w:sz="8" w:space="0" w:color="auto"/>
              <w:right w:val="single" w:sz="4" w:space="0" w:color="auto"/>
            </w:tcBorders>
            <w:vAlign w:val="center"/>
          </w:tcPr>
          <w:p w14:paraId="37679D90" w14:textId="77777777" w:rsidR="007B0332" w:rsidRPr="007B0332" w:rsidRDefault="007B0332" w:rsidP="007B0332">
            <w:pPr>
              <w:rPr>
                <w:bCs/>
                <w:lang w:bidi="en-US"/>
              </w:rPr>
            </w:pPr>
            <w:r w:rsidRPr="007B0332">
              <w:rPr>
                <w:bCs/>
                <w:lang w:bidi="en-US"/>
              </w:rPr>
              <w:t>Wildomar</w:t>
            </w:r>
          </w:p>
        </w:tc>
        <w:tc>
          <w:tcPr>
            <w:tcW w:w="1237" w:type="dxa"/>
            <w:tcBorders>
              <w:top w:val="single" w:sz="4" w:space="0" w:color="auto"/>
              <w:left w:val="single" w:sz="4" w:space="0" w:color="auto"/>
              <w:bottom w:val="single" w:sz="8" w:space="0" w:color="auto"/>
              <w:right w:val="single" w:sz="4" w:space="0" w:color="auto"/>
            </w:tcBorders>
            <w:vAlign w:val="center"/>
          </w:tcPr>
          <w:p w14:paraId="1D146E3D" w14:textId="77777777" w:rsidR="007B0332" w:rsidRPr="007B0332" w:rsidRDefault="007B0332" w:rsidP="007B0332">
            <w:pPr>
              <w:rPr>
                <w:bCs/>
                <w:lang w:bidi="en-US"/>
              </w:rPr>
            </w:pPr>
            <w:r w:rsidRPr="007B0332">
              <w:rPr>
                <w:bCs/>
                <w:lang w:bidi="en-US"/>
              </w:rPr>
              <w:t>1</w:t>
            </w:r>
          </w:p>
        </w:tc>
        <w:tc>
          <w:tcPr>
            <w:tcW w:w="1238" w:type="dxa"/>
            <w:tcBorders>
              <w:top w:val="single" w:sz="4" w:space="0" w:color="auto"/>
              <w:left w:val="single" w:sz="4" w:space="0" w:color="auto"/>
              <w:bottom w:val="single" w:sz="8" w:space="0" w:color="auto"/>
              <w:right w:val="single" w:sz="4" w:space="0" w:color="auto"/>
            </w:tcBorders>
            <w:vAlign w:val="center"/>
          </w:tcPr>
          <w:p w14:paraId="33D5D43B" w14:textId="77777777" w:rsidR="007B0332" w:rsidRPr="007B0332" w:rsidRDefault="007B0332" w:rsidP="007B0332">
            <w:pPr>
              <w:rPr>
                <w:bCs/>
                <w:lang w:bidi="en-US"/>
              </w:rPr>
            </w:pPr>
            <w:r w:rsidRPr="007B0332">
              <w:rPr>
                <w:bCs/>
                <w:lang w:bidi="en-US"/>
              </w:rPr>
              <w:t>0</w:t>
            </w:r>
          </w:p>
        </w:tc>
        <w:tc>
          <w:tcPr>
            <w:tcW w:w="1237" w:type="dxa"/>
            <w:tcBorders>
              <w:top w:val="single" w:sz="4" w:space="0" w:color="auto"/>
              <w:left w:val="single" w:sz="4" w:space="0" w:color="auto"/>
              <w:bottom w:val="single" w:sz="8" w:space="0" w:color="auto"/>
              <w:right w:val="single" w:sz="4" w:space="0" w:color="auto"/>
            </w:tcBorders>
            <w:vAlign w:val="center"/>
          </w:tcPr>
          <w:p w14:paraId="2D3BAC82" w14:textId="77777777" w:rsidR="007B0332" w:rsidRPr="007B0332" w:rsidRDefault="007B0332" w:rsidP="007B0332">
            <w:pPr>
              <w:rPr>
                <w:bCs/>
                <w:lang w:bidi="en-US"/>
              </w:rPr>
            </w:pPr>
            <w:r w:rsidRPr="007B0332">
              <w:rPr>
                <w:bCs/>
                <w:lang w:bidi="en-US"/>
              </w:rPr>
              <w:t>0.1</w:t>
            </w:r>
          </w:p>
        </w:tc>
        <w:tc>
          <w:tcPr>
            <w:tcW w:w="1238" w:type="dxa"/>
            <w:tcBorders>
              <w:top w:val="single" w:sz="4" w:space="0" w:color="auto"/>
              <w:left w:val="single" w:sz="4" w:space="0" w:color="auto"/>
              <w:bottom w:val="single" w:sz="8" w:space="0" w:color="auto"/>
              <w:right w:val="single" w:sz="8" w:space="0" w:color="000000" w:themeColor="text1"/>
            </w:tcBorders>
            <w:vAlign w:val="center"/>
          </w:tcPr>
          <w:p w14:paraId="6555BF3B" w14:textId="77777777" w:rsidR="007B0332" w:rsidRPr="007B0332" w:rsidRDefault="007B0332" w:rsidP="007B0332">
            <w:pPr>
              <w:rPr>
                <w:bCs/>
                <w:lang w:bidi="en-US"/>
              </w:rPr>
            </w:pPr>
            <w:r w:rsidRPr="007B0332">
              <w:rPr>
                <w:bCs/>
                <w:lang w:bidi="en-US"/>
              </w:rPr>
              <w:t>0.3</w:t>
            </w:r>
          </w:p>
        </w:tc>
      </w:tr>
      <w:tr w:rsidR="007B0332" w:rsidRPr="007B0332" w14:paraId="1E6BCF1B" w14:textId="77777777" w:rsidTr="003A2521">
        <w:trPr>
          <w:trHeight w:val="284"/>
        </w:trPr>
        <w:tc>
          <w:tcPr>
            <w:tcW w:w="3780" w:type="dxa"/>
            <w:tcBorders>
              <w:top w:val="single" w:sz="8" w:space="0" w:color="auto"/>
              <w:left w:val="single" w:sz="8" w:space="0" w:color="000000" w:themeColor="text1"/>
              <w:bottom w:val="single" w:sz="8" w:space="0" w:color="000000" w:themeColor="text1"/>
              <w:right w:val="single" w:sz="4" w:space="0" w:color="auto"/>
            </w:tcBorders>
            <w:vAlign w:val="center"/>
          </w:tcPr>
          <w:p w14:paraId="0CC7CE3F" w14:textId="77777777" w:rsidR="007B0332" w:rsidRPr="007B0332" w:rsidRDefault="007B0332" w:rsidP="007B0332">
            <w:pPr>
              <w:rPr>
                <w:bCs/>
                <w:lang w:bidi="en-US"/>
              </w:rPr>
            </w:pPr>
            <w:r w:rsidRPr="007B0332">
              <w:rPr>
                <w:b/>
                <w:lang w:bidi="en-US"/>
              </w:rPr>
              <w:t>TOTAL</w:t>
            </w:r>
          </w:p>
        </w:tc>
        <w:tc>
          <w:tcPr>
            <w:tcW w:w="1237" w:type="dxa"/>
            <w:tcBorders>
              <w:top w:val="single" w:sz="8" w:space="0" w:color="auto"/>
              <w:left w:val="single" w:sz="4" w:space="0" w:color="auto"/>
              <w:bottom w:val="single" w:sz="8" w:space="0" w:color="000000" w:themeColor="text1"/>
              <w:right w:val="single" w:sz="4" w:space="0" w:color="auto"/>
            </w:tcBorders>
            <w:vAlign w:val="center"/>
          </w:tcPr>
          <w:p w14:paraId="684008AC" w14:textId="77777777" w:rsidR="007B0332" w:rsidRPr="007B0332" w:rsidRDefault="007B0332" w:rsidP="007B0332">
            <w:pPr>
              <w:rPr>
                <w:bCs/>
                <w:lang w:bidi="en-US"/>
              </w:rPr>
            </w:pPr>
            <w:r w:rsidRPr="007B0332">
              <w:rPr>
                <w:b/>
                <w:lang w:bidi="en-US"/>
              </w:rPr>
              <w:t>7674</w:t>
            </w:r>
          </w:p>
        </w:tc>
        <w:tc>
          <w:tcPr>
            <w:tcW w:w="1238" w:type="dxa"/>
            <w:tcBorders>
              <w:top w:val="single" w:sz="8" w:space="0" w:color="auto"/>
              <w:left w:val="single" w:sz="4" w:space="0" w:color="auto"/>
              <w:bottom w:val="single" w:sz="8" w:space="0" w:color="000000" w:themeColor="text1"/>
              <w:right w:val="single" w:sz="4" w:space="0" w:color="auto"/>
            </w:tcBorders>
            <w:vAlign w:val="center"/>
          </w:tcPr>
          <w:p w14:paraId="7B999AC1" w14:textId="77777777" w:rsidR="007B0332" w:rsidRPr="007B0332" w:rsidRDefault="007B0332" w:rsidP="007B0332">
            <w:pPr>
              <w:rPr>
                <w:bCs/>
                <w:lang w:bidi="en-US"/>
              </w:rPr>
            </w:pPr>
            <w:r w:rsidRPr="007B0332">
              <w:rPr>
                <w:b/>
                <w:lang w:bidi="en-US"/>
              </w:rPr>
              <w:t>2235</w:t>
            </w:r>
          </w:p>
        </w:tc>
        <w:tc>
          <w:tcPr>
            <w:tcW w:w="1237" w:type="dxa"/>
            <w:tcBorders>
              <w:top w:val="single" w:sz="8" w:space="0" w:color="auto"/>
              <w:left w:val="single" w:sz="4" w:space="0" w:color="auto"/>
              <w:bottom w:val="single" w:sz="8" w:space="0" w:color="000000" w:themeColor="text1"/>
              <w:right w:val="single" w:sz="4" w:space="0" w:color="auto"/>
            </w:tcBorders>
            <w:vAlign w:val="center"/>
          </w:tcPr>
          <w:p w14:paraId="4ED2CA02" w14:textId="77777777" w:rsidR="007B0332" w:rsidRPr="007B0332" w:rsidRDefault="007B0332" w:rsidP="007B0332">
            <w:pPr>
              <w:rPr>
                <w:bCs/>
                <w:lang w:bidi="en-US"/>
              </w:rPr>
            </w:pPr>
            <w:r w:rsidRPr="007B0332">
              <w:rPr>
                <w:b/>
                <w:lang w:bidi="en-US"/>
              </w:rPr>
              <w:t>1486</w:t>
            </w:r>
          </w:p>
        </w:tc>
        <w:tc>
          <w:tcPr>
            <w:tcW w:w="1238" w:type="dxa"/>
            <w:tcBorders>
              <w:top w:val="single" w:sz="8" w:space="0" w:color="auto"/>
              <w:left w:val="single" w:sz="4" w:space="0" w:color="auto"/>
              <w:bottom w:val="single" w:sz="8" w:space="0" w:color="000000" w:themeColor="text1"/>
              <w:right w:val="single" w:sz="8" w:space="0" w:color="000000" w:themeColor="text1"/>
            </w:tcBorders>
            <w:vAlign w:val="center"/>
          </w:tcPr>
          <w:p w14:paraId="079C9E26" w14:textId="77777777" w:rsidR="007B0332" w:rsidRPr="007B0332" w:rsidRDefault="007B0332" w:rsidP="007B0332">
            <w:pPr>
              <w:rPr>
                <w:bCs/>
                <w:lang w:bidi="en-US"/>
              </w:rPr>
            </w:pPr>
            <w:r w:rsidRPr="007B0332">
              <w:rPr>
                <w:b/>
                <w:lang w:bidi="en-US"/>
              </w:rPr>
              <w:t>4954</w:t>
            </w:r>
          </w:p>
        </w:tc>
      </w:tr>
    </w:tbl>
    <w:p w14:paraId="28F4F43C" w14:textId="77777777" w:rsidR="007B0332" w:rsidRPr="007B0332" w:rsidRDefault="007B0332" w:rsidP="007B0332">
      <w:pPr>
        <w:rPr>
          <w:lang w:bidi="en-US"/>
        </w:rPr>
      </w:pPr>
    </w:p>
    <w:p w14:paraId="584A68D4" w14:textId="77777777" w:rsidR="007B0332" w:rsidRPr="007B0332" w:rsidRDefault="007B0332" w:rsidP="007B0332">
      <w:pPr>
        <w:rPr>
          <w:bCs/>
          <w:i/>
          <w:iCs/>
          <w:lang w:bidi="en-US"/>
        </w:rPr>
      </w:pPr>
      <w:r w:rsidRPr="007B0332">
        <w:rPr>
          <w:bCs/>
          <w:i/>
          <w:iCs/>
          <w:lang w:bidi="en-US"/>
        </w:rPr>
        <w:t xml:space="preserve">Structural BMPs in New Development Water Quality Management Plans (WQMP) </w:t>
      </w:r>
    </w:p>
    <w:p w14:paraId="39A46E59" w14:textId="1937C424" w:rsidR="007B0332" w:rsidRPr="007B0332" w:rsidRDefault="002A3381" w:rsidP="007B0332">
      <w:pPr>
        <w:rPr>
          <w:lang w:bidi="en-US"/>
        </w:rPr>
      </w:pPr>
      <w:r>
        <w:rPr>
          <w:lang w:bidi="en-US"/>
        </w:rPr>
        <w:t xml:space="preserve">Another example </w:t>
      </w:r>
      <w:r w:rsidR="00542C6D">
        <w:rPr>
          <w:lang w:bidi="en-US"/>
        </w:rPr>
        <w:t xml:space="preserve">of the efforts made by Riverside County MS4s </w:t>
      </w:r>
      <w:r>
        <w:rPr>
          <w:lang w:bidi="en-US"/>
        </w:rPr>
        <w:t xml:space="preserve">pertains to structural BMPs for </w:t>
      </w:r>
      <w:r w:rsidR="00542C6D">
        <w:rPr>
          <w:lang w:bidi="en-US"/>
        </w:rPr>
        <w:t>n</w:t>
      </w:r>
      <w:r>
        <w:rPr>
          <w:lang w:bidi="en-US"/>
        </w:rPr>
        <w:t xml:space="preserve">ew </w:t>
      </w:r>
      <w:r w:rsidR="00542C6D">
        <w:rPr>
          <w:lang w:bidi="en-US"/>
        </w:rPr>
        <w:t>d</w:t>
      </w:r>
      <w:r>
        <w:rPr>
          <w:lang w:bidi="en-US"/>
        </w:rPr>
        <w:t xml:space="preserve">evelopment </w:t>
      </w:r>
      <w:r w:rsidR="00A46F55">
        <w:rPr>
          <w:lang w:bidi="en-US"/>
        </w:rPr>
        <w:t xml:space="preserve">and redevelopment </w:t>
      </w:r>
      <w:r w:rsidR="00542C6D">
        <w:rPr>
          <w:lang w:bidi="en-US"/>
        </w:rPr>
        <w:t>p</w:t>
      </w:r>
      <w:r>
        <w:rPr>
          <w:lang w:bidi="en-US"/>
        </w:rPr>
        <w:t xml:space="preserve">rojects in the watershed. </w:t>
      </w:r>
      <w:r w:rsidR="00542C6D">
        <w:rPr>
          <w:lang w:bidi="en-US"/>
        </w:rPr>
        <w:t xml:space="preserve">Under the Riverside County </w:t>
      </w:r>
      <w:r w:rsidR="007F602A">
        <w:rPr>
          <w:lang w:bidi="en-US"/>
        </w:rPr>
        <w:t xml:space="preserve">MS4 permit, </w:t>
      </w:r>
      <w:r w:rsidR="00617FD5">
        <w:rPr>
          <w:lang w:bidi="en-US"/>
        </w:rPr>
        <w:t>certain</w:t>
      </w:r>
      <w:r w:rsidR="00542C6D">
        <w:rPr>
          <w:lang w:bidi="en-US"/>
        </w:rPr>
        <w:t xml:space="preserve"> new </w:t>
      </w:r>
      <w:r w:rsidR="007B0332" w:rsidRPr="007B0332">
        <w:rPr>
          <w:lang w:bidi="en-US"/>
        </w:rPr>
        <w:t xml:space="preserve">development </w:t>
      </w:r>
      <w:r w:rsidR="00A46F55">
        <w:rPr>
          <w:lang w:bidi="en-US"/>
        </w:rPr>
        <w:t xml:space="preserve">(including redevelopment) </w:t>
      </w:r>
      <w:r w:rsidR="007B0332" w:rsidRPr="007B0332">
        <w:rPr>
          <w:lang w:bidi="en-US"/>
        </w:rPr>
        <w:t>projects</w:t>
      </w:r>
      <w:r w:rsidR="00542C6D">
        <w:rPr>
          <w:lang w:bidi="en-US"/>
        </w:rPr>
        <w:t xml:space="preserve"> are required</w:t>
      </w:r>
      <w:r w:rsidR="007B0332" w:rsidRPr="007B0332">
        <w:rPr>
          <w:lang w:bidi="en-US"/>
        </w:rPr>
        <w:t xml:space="preserve"> to manage stormwater with post-construction BMPs</w:t>
      </w:r>
      <w:r w:rsidR="00877BD9">
        <w:rPr>
          <w:lang w:bidi="en-US"/>
        </w:rPr>
        <w:t xml:space="preserve"> that </w:t>
      </w:r>
      <w:r w:rsidR="00617FD5">
        <w:rPr>
          <w:lang w:bidi="en-US"/>
        </w:rPr>
        <w:t>mimic</w:t>
      </w:r>
      <w:r w:rsidR="00877BD9">
        <w:rPr>
          <w:lang w:bidi="en-US"/>
        </w:rPr>
        <w:t xml:space="preserve"> the pre-developed condition of the site</w:t>
      </w:r>
      <w:r w:rsidR="007B0332" w:rsidRPr="007B0332">
        <w:rPr>
          <w:lang w:bidi="en-US"/>
        </w:rPr>
        <w:t xml:space="preserve">. </w:t>
      </w:r>
      <w:r w:rsidR="00542C6D">
        <w:rPr>
          <w:lang w:bidi="en-US"/>
        </w:rPr>
        <w:t>As</w:t>
      </w:r>
      <w:r w:rsidR="007B0332" w:rsidRPr="007B0332">
        <w:rPr>
          <w:lang w:bidi="en-US"/>
        </w:rPr>
        <w:t xml:space="preserve"> urban</w:t>
      </w:r>
      <w:r w:rsidR="00617FD5">
        <w:rPr>
          <w:lang w:bidi="en-US"/>
        </w:rPr>
        <w:t>ization</w:t>
      </w:r>
      <w:r w:rsidR="007B0332" w:rsidRPr="007B0332">
        <w:rPr>
          <w:lang w:bidi="en-US"/>
        </w:rPr>
        <w:t xml:space="preserve"> in the San Jacinto River watershed </w:t>
      </w:r>
      <w:r w:rsidR="00542C6D">
        <w:rPr>
          <w:lang w:bidi="en-US"/>
        </w:rPr>
        <w:t>has continued</w:t>
      </w:r>
      <w:r w:rsidR="007B0332" w:rsidRPr="007B0332">
        <w:rPr>
          <w:lang w:bidi="en-US"/>
        </w:rPr>
        <w:t xml:space="preserve">, </w:t>
      </w:r>
      <w:r w:rsidR="00542C6D">
        <w:rPr>
          <w:lang w:bidi="en-US"/>
        </w:rPr>
        <w:t xml:space="preserve">the addition of </w:t>
      </w:r>
      <w:r w:rsidR="001D1977">
        <w:rPr>
          <w:lang w:bidi="en-US"/>
        </w:rPr>
        <w:t xml:space="preserve">these </w:t>
      </w:r>
      <w:r w:rsidR="00542C6D">
        <w:rPr>
          <w:lang w:bidi="en-US"/>
        </w:rPr>
        <w:t xml:space="preserve">new </w:t>
      </w:r>
      <w:r w:rsidR="007B0332" w:rsidRPr="007B0332">
        <w:rPr>
          <w:lang w:bidi="en-US"/>
        </w:rPr>
        <w:t xml:space="preserve">stormwater BMPs </w:t>
      </w:r>
      <w:r w:rsidR="001D1977">
        <w:rPr>
          <w:lang w:bidi="en-US"/>
        </w:rPr>
        <w:t xml:space="preserve">are reducing </w:t>
      </w:r>
      <w:r w:rsidR="007B0332" w:rsidRPr="007B0332">
        <w:rPr>
          <w:lang w:bidi="en-US"/>
        </w:rPr>
        <w:t xml:space="preserve">downstream nutrient loads to </w:t>
      </w:r>
      <w:r w:rsidR="00FA4038">
        <w:rPr>
          <w:lang w:bidi="en-US"/>
        </w:rPr>
        <w:t xml:space="preserve">Canyon Lake and </w:t>
      </w:r>
      <w:r w:rsidR="007B0332" w:rsidRPr="007B0332">
        <w:rPr>
          <w:lang w:bidi="en-US"/>
        </w:rPr>
        <w:t xml:space="preserve">Lake Elsinore . The net reduction of nutrient loading </w:t>
      </w:r>
      <w:r w:rsidR="001D1977">
        <w:rPr>
          <w:lang w:bidi="en-US"/>
        </w:rPr>
        <w:t xml:space="preserve">is occurring because </w:t>
      </w:r>
      <w:r w:rsidR="00461F51">
        <w:rPr>
          <w:lang w:bidi="en-US"/>
        </w:rPr>
        <w:t xml:space="preserve">discharges from </w:t>
      </w:r>
      <w:r w:rsidR="001D1977">
        <w:rPr>
          <w:lang w:bidi="en-US"/>
        </w:rPr>
        <w:t>the new post-construction BMPs</w:t>
      </w:r>
      <w:r w:rsidR="0040182E">
        <w:rPr>
          <w:lang w:bidi="en-US"/>
        </w:rPr>
        <w:t xml:space="preserve"> are designed to mimic </w:t>
      </w:r>
      <w:r w:rsidR="007B0332" w:rsidRPr="007B0332">
        <w:rPr>
          <w:lang w:bidi="en-US"/>
        </w:rPr>
        <w:t>the pre</w:t>
      </w:r>
      <w:r w:rsidR="00461F51">
        <w:rPr>
          <w:lang w:bidi="en-US"/>
        </w:rPr>
        <w:t>-</w:t>
      </w:r>
      <w:r w:rsidR="007B0332" w:rsidRPr="007B0332">
        <w:rPr>
          <w:lang w:bidi="en-US"/>
        </w:rPr>
        <w:t xml:space="preserve">developed condition of a site. </w:t>
      </w:r>
      <w:r w:rsidR="0040182E">
        <w:rPr>
          <w:lang w:bidi="en-US"/>
        </w:rPr>
        <w:t>Thus</w:t>
      </w:r>
      <w:r w:rsidR="007B0332" w:rsidRPr="007B0332">
        <w:rPr>
          <w:lang w:bidi="en-US"/>
        </w:rPr>
        <w:t xml:space="preserve">, if a project involves redevelopment of an existing commercial property, there will be a net reduction in load. Conversely, if the project site was previously undeveloped, stormwater BMPs serve to prevent new excess nutrient washoff associated with the project from reaching the downstream lakes. </w:t>
      </w:r>
    </w:p>
    <w:p w14:paraId="37B7D6B8" w14:textId="77777777" w:rsidR="00536642" w:rsidRDefault="00536642" w:rsidP="007B0332">
      <w:pPr>
        <w:rPr>
          <w:lang w:bidi="en-US"/>
        </w:rPr>
      </w:pPr>
    </w:p>
    <w:p w14:paraId="742A244C" w14:textId="121772A9" w:rsidR="007B0332" w:rsidRPr="007B0332" w:rsidRDefault="007B0332" w:rsidP="007B0332">
      <w:pPr>
        <w:rPr>
          <w:lang w:bidi="en-US"/>
        </w:rPr>
      </w:pPr>
      <w:r w:rsidRPr="007B0332">
        <w:rPr>
          <w:lang w:bidi="en-US"/>
        </w:rPr>
        <w:t>To date, stormwater BMPs have been deployed to capture and infiltrate</w:t>
      </w:r>
      <w:r w:rsidR="007F602A">
        <w:rPr>
          <w:lang w:bidi="en-US"/>
        </w:rPr>
        <w:t>,</w:t>
      </w:r>
      <w:r w:rsidRPr="007B0332">
        <w:rPr>
          <w:lang w:bidi="en-US"/>
        </w:rPr>
        <w:t xml:space="preserve"> or treat/release runoff from 9,400 acres of urban land use, representing ~10 percent of total urban land use in the San Jacinto River watershed. These stormwater BMPs reduce excess nutrient </w:t>
      </w:r>
      <w:r w:rsidR="000E3336">
        <w:rPr>
          <w:lang w:bidi="en-US"/>
        </w:rPr>
        <w:t xml:space="preserve">washoff </w:t>
      </w:r>
      <w:r w:rsidRPr="007B0332">
        <w:rPr>
          <w:lang w:bidi="en-US"/>
        </w:rPr>
        <w:t>from pre-developed land uses by 401 kg/yr TP and 1,162 kg/yr TN (</w:t>
      </w:r>
      <w:r w:rsidRPr="007B0332">
        <w:rPr>
          <w:b/>
          <w:bCs/>
          <w:lang w:bidi="en-US"/>
        </w:rPr>
        <w:t xml:space="preserve">Table </w:t>
      </w:r>
      <w:r w:rsidR="000E3336">
        <w:rPr>
          <w:b/>
          <w:bCs/>
          <w:lang w:bidi="en-US"/>
        </w:rPr>
        <w:t>2</w:t>
      </w:r>
      <w:r w:rsidRPr="007B0332">
        <w:rPr>
          <w:lang w:bidi="en-US"/>
        </w:rPr>
        <w:t>).</w:t>
      </w:r>
      <w:r w:rsidRPr="007B0332">
        <w:rPr>
          <w:vertAlign w:val="superscript"/>
          <w:lang w:bidi="en-US"/>
        </w:rPr>
        <w:footnoteReference w:id="5"/>
      </w:r>
      <w:r w:rsidRPr="007B0332">
        <w:rPr>
          <w:lang w:bidi="en-US"/>
        </w:rPr>
        <w:t xml:space="preserve"> </w:t>
      </w:r>
    </w:p>
    <w:tbl>
      <w:tblPr>
        <w:tblStyle w:val="TableGrid"/>
        <w:tblpPr w:leftFromText="2880" w:rightFromText="2880" w:bottomFromText="288" w:vertAnchor="text" w:horzAnchor="margin" w:tblpXSpec="center" w:tblpY="180"/>
        <w:tblOverlap w:val="never"/>
        <w:tblW w:w="0" w:type="auto"/>
        <w:tblLook w:val="04A0" w:firstRow="1" w:lastRow="0" w:firstColumn="1" w:lastColumn="0" w:noHBand="0" w:noVBand="1"/>
      </w:tblPr>
      <w:tblGrid>
        <w:gridCol w:w="3780"/>
        <w:gridCol w:w="1890"/>
        <w:gridCol w:w="1575"/>
        <w:gridCol w:w="1575"/>
      </w:tblGrid>
      <w:tr w:rsidR="007B0332" w:rsidRPr="007B0332" w14:paraId="3B0EAA3B" w14:textId="77777777" w:rsidTr="003A2521">
        <w:trPr>
          <w:trHeight w:val="332"/>
        </w:trPr>
        <w:tc>
          <w:tcPr>
            <w:tcW w:w="8820" w:type="dxa"/>
            <w:gridSpan w:val="4"/>
            <w:tcBorders>
              <w:top w:val="nil"/>
              <w:left w:val="nil"/>
              <w:bottom w:val="single" w:sz="8" w:space="0" w:color="000000" w:themeColor="text1"/>
              <w:right w:val="nil"/>
            </w:tcBorders>
          </w:tcPr>
          <w:p w14:paraId="0FBF5AE5" w14:textId="2896852D" w:rsidR="007B0332" w:rsidRPr="007B0332" w:rsidRDefault="007B0332" w:rsidP="007B0332">
            <w:pPr>
              <w:rPr>
                <w:b/>
                <w:lang w:bidi="en-US"/>
              </w:rPr>
            </w:pPr>
            <w:r w:rsidRPr="007B0332">
              <w:rPr>
                <w:b/>
                <w:lang w:bidi="en-US"/>
              </w:rPr>
              <w:t>Table 2. Estimated Watershed Load Reduction from WQMP Post Construction BMPs by MS4 Permittees</w:t>
            </w:r>
          </w:p>
        </w:tc>
      </w:tr>
      <w:tr w:rsidR="007B0332" w:rsidRPr="007B0332" w14:paraId="296A960D" w14:textId="77777777" w:rsidTr="003A2521">
        <w:trPr>
          <w:trHeight w:val="399"/>
        </w:trPr>
        <w:tc>
          <w:tcPr>
            <w:tcW w:w="3780" w:type="dxa"/>
            <w:vMerge w:val="restart"/>
            <w:tcBorders>
              <w:top w:val="single" w:sz="8" w:space="0" w:color="000000" w:themeColor="text1"/>
              <w:left w:val="single" w:sz="8" w:space="0" w:color="000000" w:themeColor="text1"/>
              <w:bottom w:val="single" w:sz="4" w:space="0" w:color="FFFFFF" w:themeColor="background1"/>
              <w:right w:val="single" w:sz="4" w:space="0" w:color="FFFFFF" w:themeColor="background1"/>
            </w:tcBorders>
            <w:shd w:val="clear" w:color="auto" w:fill="002060"/>
            <w:vAlign w:val="center"/>
          </w:tcPr>
          <w:p w14:paraId="3CA56543" w14:textId="77777777" w:rsidR="007B0332" w:rsidRPr="007B0332" w:rsidRDefault="007B0332" w:rsidP="007B0332">
            <w:pPr>
              <w:rPr>
                <w:b/>
                <w:lang w:bidi="en-US"/>
              </w:rPr>
            </w:pPr>
            <w:r w:rsidRPr="007B0332">
              <w:rPr>
                <w:b/>
                <w:lang w:bidi="en-US"/>
              </w:rPr>
              <w:t>Best Management Practice</w:t>
            </w:r>
          </w:p>
        </w:tc>
        <w:tc>
          <w:tcPr>
            <w:tcW w:w="1890" w:type="dxa"/>
            <w:vMerge w:val="restart"/>
            <w:tcBorders>
              <w:top w:val="single" w:sz="8" w:space="0" w:color="000000" w:themeColor="text1"/>
              <w:left w:val="single" w:sz="4" w:space="0" w:color="FFFFFF" w:themeColor="background1"/>
              <w:right w:val="single" w:sz="4" w:space="0" w:color="FFFFFF" w:themeColor="background1"/>
            </w:tcBorders>
            <w:shd w:val="clear" w:color="auto" w:fill="002060"/>
            <w:vAlign w:val="center"/>
          </w:tcPr>
          <w:p w14:paraId="302A8E49" w14:textId="77777777" w:rsidR="007B0332" w:rsidRPr="007B0332" w:rsidRDefault="007B0332" w:rsidP="007B0332">
            <w:pPr>
              <w:rPr>
                <w:b/>
                <w:lang w:bidi="en-US"/>
              </w:rPr>
            </w:pPr>
            <w:r w:rsidRPr="007B0332">
              <w:rPr>
                <w:b/>
                <w:lang w:bidi="en-US"/>
              </w:rPr>
              <w:t xml:space="preserve">Drainage Acres to Stormwater BMPs </w:t>
            </w:r>
          </w:p>
        </w:tc>
        <w:tc>
          <w:tcPr>
            <w:tcW w:w="3150" w:type="dxa"/>
            <w:gridSpan w:val="2"/>
            <w:tcBorders>
              <w:top w:val="single" w:sz="8" w:space="0" w:color="000000" w:themeColor="text1"/>
              <w:left w:val="single" w:sz="4" w:space="0" w:color="FFFFFF" w:themeColor="background1"/>
              <w:bottom w:val="single" w:sz="4" w:space="0" w:color="FFFFFF" w:themeColor="background1"/>
              <w:right w:val="single" w:sz="8" w:space="0" w:color="000000" w:themeColor="text1"/>
            </w:tcBorders>
            <w:shd w:val="clear" w:color="auto" w:fill="002060"/>
            <w:vAlign w:val="center"/>
          </w:tcPr>
          <w:p w14:paraId="6BA16347" w14:textId="77777777" w:rsidR="007B0332" w:rsidRPr="007B0332" w:rsidRDefault="007B0332" w:rsidP="007B0332">
            <w:pPr>
              <w:rPr>
                <w:b/>
                <w:lang w:bidi="en-US"/>
              </w:rPr>
            </w:pPr>
            <w:r w:rsidRPr="007B0332">
              <w:rPr>
                <w:b/>
                <w:lang w:bidi="en-US"/>
              </w:rPr>
              <w:t>Nutrient Load Reduction</w:t>
            </w:r>
          </w:p>
        </w:tc>
      </w:tr>
      <w:tr w:rsidR="007B0332" w:rsidRPr="007B0332" w14:paraId="73764E9F" w14:textId="77777777" w:rsidTr="003A2521">
        <w:trPr>
          <w:trHeight w:val="402"/>
        </w:trPr>
        <w:tc>
          <w:tcPr>
            <w:tcW w:w="3780" w:type="dxa"/>
            <w:vMerge/>
            <w:tcBorders>
              <w:top w:val="single" w:sz="4" w:space="0" w:color="FFFFFF" w:themeColor="background1"/>
              <w:left w:val="single" w:sz="8" w:space="0" w:color="000000" w:themeColor="text1"/>
              <w:right w:val="single" w:sz="4" w:space="0" w:color="FFFFFF" w:themeColor="background1"/>
            </w:tcBorders>
            <w:shd w:val="clear" w:color="auto" w:fill="002060"/>
            <w:vAlign w:val="center"/>
          </w:tcPr>
          <w:p w14:paraId="790B42EA" w14:textId="77777777" w:rsidR="007B0332" w:rsidRPr="007B0332" w:rsidRDefault="007B0332" w:rsidP="007B0332">
            <w:pPr>
              <w:rPr>
                <w:b/>
                <w:lang w:bidi="en-US"/>
              </w:rPr>
            </w:pPr>
          </w:p>
        </w:tc>
        <w:tc>
          <w:tcPr>
            <w:tcW w:w="1890" w:type="dxa"/>
            <w:vMerge/>
            <w:tcBorders>
              <w:left w:val="single" w:sz="4" w:space="0" w:color="FFFFFF" w:themeColor="background1"/>
              <w:right w:val="single" w:sz="4" w:space="0" w:color="FFFFFF" w:themeColor="background1"/>
            </w:tcBorders>
            <w:shd w:val="clear" w:color="auto" w:fill="002060"/>
            <w:vAlign w:val="center"/>
          </w:tcPr>
          <w:p w14:paraId="4013152D" w14:textId="77777777" w:rsidR="007B0332" w:rsidRPr="007B0332" w:rsidRDefault="007B0332" w:rsidP="007B0332">
            <w:pPr>
              <w:rPr>
                <w:b/>
                <w:lang w:bidi="en-US"/>
              </w:rPr>
            </w:pPr>
          </w:p>
        </w:tc>
        <w:tc>
          <w:tcPr>
            <w:tcW w:w="1575"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37203717" w14:textId="77777777" w:rsidR="007B0332" w:rsidRPr="007B0332" w:rsidRDefault="007B0332" w:rsidP="007B0332">
            <w:pPr>
              <w:rPr>
                <w:b/>
                <w:lang w:bidi="en-US"/>
              </w:rPr>
            </w:pPr>
            <w:r w:rsidRPr="007B0332">
              <w:rPr>
                <w:b/>
                <w:lang w:bidi="en-US"/>
              </w:rPr>
              <w:t>TP (kg/yr)</w:t>
            </w:r>
          </w:p>
        </w:tc>
        <w:tc>
          <w:tcPr>
            <w:tcW w:w="1575" w:type="dxa"/>
            <w:tcBorders>
              <w:top w:val="single" w:sz="4" w:space="0" w:color="FFFFFF" w:themeColor="background1"/>
              <w:left w:val="single" w:sz="4" w:space="0" w:color="FFFFFF" w:themeColor="background1"/>
              <w:right w:val="single" w:sz="8" w:space="0" w:color="000000" w:themeColor="text1"/>
            </w:tcBorders>
            <w:shd w:val="clear" w:color="auto" w:fill="002060"/>
            <w:vAlign w:val="center"/>
          </w:tcPr>
          <w:p w14:paraId="69EE3BBA" w14:textId="77777777" w:rsidR="007B0332" w:rsidRPr="007B0332" w:rsidRDefault="007B0332" w:rsidP="007B0332">
            <w:pPr>
              <w:rPr>
                <w:b/>
                <w:lang w:bidi="en-US"/>
              </w:rPr>
            </w:pPr>
            <w:r w:rsidRPr="007B0332">
              <w:rPr>
                <w:b/>
                <w:lang w:bidi="en-US"/>
              </w:rPr>
              <w:t>TN (kg/yr)</w:t>
            </w:r>
          </w:p>
        </w:tc>
      </w:tr>
      <w:tr w:rsidR="007B0332" w:rsidRPr="007B0332" w14:paraId="6383C47F" w14:textId="77777777" w:rsidTr="003A2521">
        <w:trPr>
          <w:trHeight w:val="399"/>
        </w:trPr>
        <w:tc>
          <w:tcPr>
            <w:tcW w:w="3780" w:type="dxa"/>
            <w:tcBorders>
              <w:top w:val="single" w:sz="4" w:space="0" w:color="000000" w:themeColor="text1"/>
              <w:left w:val="single" w:sz="8" w:space="0" w:color="000000" w:themeColor="text1"/>
              <w:bottom w:val="single" w:sz="4" w:space="0" w:color="auto"/>
              <w:right w:val="single" w:sz="4" w:space="0" w:color="auto"/>
            </w:tcBorders>
            <w:vAlign w:val="center"/>
          </w:tcPr>
          <w:p w14:paraId="1CB313DD" w14:textId="77777777" w:rsidR="007B0332" w:rsidRPr="007B0332" w:rsidRDefault="007B0332" w:rsidP="007B0332">
            <w:pPr>
              <w:rPr>
                <w:bCs/>
                <w:lang w:bidi="en-US"/>
              </w:rPr>
            </w:pPr>
            <w:r w:rsidRPr="007B0332">
              <w:rPr>
                <w:bCs/>
                <w:lang w:bidi="en-US"/>
              </w:rPr>
              <w:t>Stormwater Infiltration</w:t>
            </w:r>
          </w:p>
        </w:tc>
        <w:tc>
          <w:tcPr>
            <w:tcW w:w="1890" w:type="dxa"/>
            <w:tcBorders>
              <w:top w:val="single" w:sz="4" w:space="0" w:color="000000" w:themeColor="text1"/>
              <w:left w:val="single" w:sz="4" w:space="0" w:color="auto"/>
              <w:bottom w:val="single" w:sz="4" w:space="0" w:color="auto"/>
              <w:right w:val="single" w:sz="4" w:space="0" w:color="auto"/>
            </w:tcBorders>
            <w:vAlign w:val="center"/>
          </w:tcPr>
          <w:p w14:paraId="1D0DC08E" w14:textId="77777777" w:rsidR="007B0332" w:rsidRPr="007B0332" w:rsidRDefault="007B0332" w:rsidP="007B0332">
            <w:pPr>
              <w:rPr>
                <w:bCs/>
                <w:lang w:bidi="en-US"/>
              </w:rPr>
            </w:pPr>
            <w:r w:rsidRPr="007B0332">
              <w:rPr>
                <w:bCs/>
                <w:lang w:bidi="en-US"/>
              </w:rPr>
              <w:t>2,922</w:t>
            </w:r>
          </w:p>
        </w:tc>
        <w:tc>
          <w:tcPr>
            <w:tcW w:w="1575" w:type="dxa"/>
            <w:tcBorders>
              <w:top w:val="single" w:sz="4" w:space="0" w:color="000000" w:themeColor="text1"/>
              <w:left w:val="single" w:sz="4" w:space="0" w:color="auto"/>
              <w:bottom w:val="single" w:sz="4" w:space="0" w:color="auto"/>
              <w:right w:val="single" w:sz="4" w:space="0" w:color="auto"/>
            </w:tcBorders>
            <w:vAlign w:val="center"/>
          </w:tcPr>
          <w:p w14:paraId="33A0D510" w14:textId="77777777" w:rsidR="007B0332" w:rsidRPr="007B0332" w:rsidRDefault="007B0332" w:rsidP="007B0332">
            <w:pPr>
              <w:rPr>
                <w:bCs/>
                <w:lang w:bidi="en-US"/>
              </w:rPr>
            </w:pPr>
            <w:r w:rsidRPr="007B0332">
              <w:rPr>
                <w:bCs/>
                <w:lang w:bidi="en-US"/>
              </w:rPr>
              <w:t>164</w:t>
            </w:r>
          </w:p>
        </w:tc>
        <w:tc>
          <w:tcPr>
            <w:tcW w:w="1575" w:type="dxa"/>
            <w:tcBorders>
              <w:top w:val="single" w:sz="4" w:space="0" w:color="000000" w:themeColor="text1"/>
              <w:left w:val="single" w:sz="4" w:space="0" w:color="auto"/>
              <w:bottom w:val="single" w:sz="4" w:space="0" w:color="auto"/>
              <w:right w:val="single" w:sz="8" w:space="0" w:color="000000" w:themeColor="text1"/>
            </w:tcBorders>
            <w:vAlign w:val="center"/>
          </w:tcPr>
          <w:p w14:paraId="3C1A999C" w14:textId="77777777" w:rsidR="007B0332" w:rsidRPr="007B0332" w:rsidRDefault="007B0332" w:rsidP="007B0332">
            <w:pPr>
              <w:rPr>
                <w:bCs/>
                <w:lang w:bidi="en-US"/>
              </w:rPr>
            </w:pPr>
            <w:r w:rsidRPr="007B0332">
              <w:rPr>
                <w:bCs/>
                <w:lang w:bidi="en-US"/>
              </w:rPr>
              <w:t>842</w:t>
            </w:r>
          </w:p>
        </w:tc>
      </w:tr>
      <w:tr w:rsidR="007B0332" w:rsidRPr="007B0332" w14:paraId="0618DA0A" w14:textId="77777777" w:rsidTr="003A2521">
        <w:trPr>
          <w:trHeight w:val="399"/>
        </w:trPr>
        <w:tc>
          <w:tcPr>
            <w:tcW w:w="3780" w:type="dxa"/>
            <w:tcBorders>
              <w:top w:val="single" w:sz="4" w:space="0" w:color="000000" w:themeColor="text1"/>
              <w:left w:val="single" w:sz="8" w:space="0" w:color="000000" w:themeColor="text1"/>
              <w:bottom w:val="single" w:sz="4" w:space="0" w:color="auto"/>
              <w:right w:val="single" w:sz="4" w:space="0" w:color="auto"/>
            </w:tcBorders>
            <w:vAlign w:val="center"/>
          </w:tcPr>
          <w:p w14:paraId="51161946" w14:textId="77777777" w:rsidR="007B0332" w:rsidRPr="007B0332" w:rsidRDefault="007B0332" w:rsidP="007B0332">
            <w:pPr>
              <w:rPr>
                <w:bCs/>
                <w:lang w:bidi="en-US"/>
              </w:rPr>
            </w:pPr>
            <w:r w:rsidRPr="007B0332">
              <w:rPr>
                <w:bCs/>
                <w:lang w:bidi="en-US"/>
              </w:rPr>
              <w:t>Extended Detention</w:t>
            </w:r>
          </w:p>
        </w:tc>
        <w:tc>
          <w:tcPr>
            <w:tcW w:w="1890" w:type="dxa"/>
            <w:tcBorders>
              <w:top w:val="single" w:sz="4" w:space="0" w:color="000000" w:themeColor="text1"/>
              <w:left w:val="single" w:sz="4" w:space="0" w:color="auto"/>
              <w:bottom w:val="single" w:sz="4" w:space="0" w:color="auto"/>
              <w:right w:val="single" w:sz="4" w:space="0" w:color="auto"/>
            </w:tcBorders>
            <w:vAlign w:val="center"/>
          </w:tcPr>
          <w:p w14:paraId="57D463CD" w14:textId="77777777" w:rsidR="007B0332" w:rsidRPr="007B0332" w:rsidRDefault="007B0332" w:rsidP="007B0332">
            <w:pPr>
              <w:rPr>
                <w:bCs/>
                <w:lang w:bidi="en-US"/>
              </w:rPr>
            </w:pPr>
            <w:r w:rsidRPr="007B0332">
              <w:rPr>
                <w:bCs/>
                <w:lang w:bidi="en-US"/>
              </w:rPr>
              <w:t>4,424</w:t>
            </w:r>
          </w:p>
        </w:tc>
        <w:tc>
          <w:tcPr>
            <w:tcW w:w="1575" w:type="dxa"/>
            <w:tcBorders>
              <w:top w:val="single" w:sz="4" w:space="0" w:color="000000" w:themeColor="text1"/>
              <w:left w:val="single" w:sz="4" w:space="0" w:color="auto"/>
              <w:bottom w:val="single" w:sz="4" w:space="0" w:color="auto"/>
              <w:right w:val="single" w:sz="4" w:space="0" w:color="auto"/>
            </w:tcBorders>
            <w:vAlign w:val="center"/>
          </w:tcPr>
          <w:p w14:paraId="0A05935B" w14:textId="77777777" w:rsidR="007B0332" w:rsidRPr="007B0332" w:rsidRDefault="007B0332" w:rsidP="007B0332">
            <w:pPr>
              <w:rPr>
                <w:bCs/>
                <w:lang w:bidi="en-US"/>
              </w:rPr>
            </w:pPr>
            <w:r w:rsidRPr="007B0332">
              <w:rPr>
                <w:bCs/>
                <w:lang w:bidi="en-US"/>
              </w:rPr>
              <w:t>186</w:t>
            </w:r>
          </w:p>
        </w:tc>
        <w:tc>
          <w:tcPr>
            <w:tcW w:w="1575" w:type="dxa"/>
            <w:tcBorders>
              <w:top w:val="single" w:sz="4" w:space="0" w:color="000000" w:themeColor="text1"/>
              <w:left w:val="single" w:sz="4" w:space="0" w:color="auto"/>
              <w:bottom w:val="single" w:sz="4" w:space="0" w:color="auto"/>
              <w:right w:val="single" w:sz="8" w:space="0" w:color="000000" w:themeColor="text1"/>
            </w:tcBorders>
            <w:vAlign w:val="center"/>
          </w:tcPr>
          <w:p w14:paraId="12F2C268" w14:textId="77777777" w:rsidR="007B0332" w:rsidRPr="007B0332" w:rsidRDefault="007B0332" w:rsidP="007B0332">
            <w:pPr>
              <w:rPr>
                <w:bCs/>
                <w:lang w:bidi="en-US"/>
              </w:rPr>
            </w:pPr>
            <w:r w:rsidRPr="007B0332">
              <w:rPr>
                <w:bCs/>
                <w:lang w:bidi="en-US"/>
              </w:rPr>
              <w:t>308</w:t>
            </w:r>
          </w:p>
        </w:tc>
      </w:tr>
      <w:tr w:rsidR="007B0332" w:rsidRPr="007B0332" w14:paraId="276B1CF7" w14:textId="77777777" w:rsidTr="003A2521">
        <w:trPr>
          <w:trHeight w:val="399"/>
        </w:trPr>
        <w:tc>
          <w:tcPr>
            <w:tcW w:w="3780" w:type="dxa"/>
            <w:tcBorders>
              <w:top w:val="single" w:sz="4" w:space="0" w:color="000000" w:themeColor="text1"/>
              <w:left w:val="single" w:sz="8" w:space="0" w:color="000000" w:themeColor="text1"/>
              <w:bottom w:val="single" w:sz="4" w:space="0" w:color="auto"/>
              <w:right w:val="single" w:sz="4" w:space="0" w:color="auto"/>
            </w:tcBorders>
            <w:vAlign w:val="center"/>
          </w:tcPr>
          <w:p w14:paraId="02716556" w14:textId="77777777" w:rsidR="007B0332" w:rsidRPr="007B0332" w:rsidRDefault="007B0332" w:rsidP="007B0332">
            <w:pPr>
              <w:rPr>
                <w:bCs/>
                <w:lang w:bidi="en-US"/>
              </w:rPr>
            </w:pPr>
            <w:r w:rsidRPr="007B0332">
              <w:rPr>
                <w:bCs/>
                <w:lang w:bidi="en-US"/>
              </w:rPr>
              <w:t>Hydrodynamic Separator</w:t>
            </w:r>
          </w:p>
        </w:tc>
        <w:tc>
          <w:tcPr>
            <w:tcW w:w="1890" w:type="dxa"/>
            <w:tcBorders>
              <w:top w:val="single" w:sz="4" w:space="0" w:color="000000" w:themeColor="text1"/>
              <w:left w:val="single" w:sz="4" w:space="0" w:color="auto"/>
              <w:bottom w:val="single" w:sz="4" w:space="0" w:color="auto"/>
              <w:right w:val="single" w:sz="4" w:space="0" w:color="auto"/>
            </w:tcBorders>
            <w:vAlign w:val="center"/>
          </w:tcPr>
          <w:p w14:paraId="53495474" w14:textId="77777777" w:rsidR="007B0332" w:rsidRPr="007B0332" w:rsidRDefault="007B0332" w:rsidP="007B0332">
            <w:pPr>
              <w:rPr>
                <w:bCs/>
                <w:lang w:bidi="en-US"/>
              </w:rPr>
            </w:pPr>
            <w:r w:rsidRPr="007B0332">
              <w:rPr>
                <w:bCs/>
                <w:lang w:bidi="en-US"/>
              </w:rPr>
              <w:t>1,133</w:t>
            </w:r>
          </w:p>
        </w:tc>
        <w:tc>
          <w:tcPr>
            <w:tcW w:w="1575" w:type="dxa"/>
            <w:tcBorders>
              <w:top w:val="single" w:sz="4" w:space="0" w:color="000000" w:themeColor="text1"/>
              <w:left w:val="single" w:sz="4" w:space="0" w:color="auto"/>
              <w:bottom w:val="single" w:sz="4" w:space="0" w:color="auto"/>
              <w:right w:val="single" w:sz="4" w:space="0" w:color="auto"/>
            </w:tcBorders>
            <w:vAlign w:val="center"/>
          </w:tcPr>
          <w:p w14:paraId="3F39D988" w14:textId="77777777" w:rsidR="007B0332" w:rsidRPr="007B0332" w:rsidRDefault="007B0332" w:rsidP="007B0332">
            <w:pPr>
              <w:rPr>
                <w:bCs/>
                <w:lang w:bidi="en-US"/>
              </w:rPr>
            </w:pPr>
            <w:r w:rsidRPr="007B0332">
              <w:rPr>
                <w:bCs/>
                <w:lang w:bidi="en-US"/>
              </w:rPr>
              <w:t>21</w:t>
            </w:r>
          </w:p>
        </w:tc>
        <w:tc>
          <w:tcPr>
            <w:tcW w:w="1575" w:type="dxa"/>
            <w:tcBorders>
              <w:top w:val="single" w:sz="4" w:space="0" w:color="000000" w:themeColor="text1"/>
              <w:left w:val="single" w:sz="4" w:space="0" w:color="auto"/>
              <w:bottom w:val="single" w:sz="4" w:space="0" w:color="auto"/>
              <w:right w:val="single" w:sz="8" w:space="0" w:color="000000" w:themeColor="text1"/>
            </w:tcBorders>
            <w:vAlign w:val="center"/>
          </w:tcPr>
          <w:p w14:paraId="295B1CC3" w14:textId="77777777" w:rsidR="007B0332" w:rsidRPr="007B0332" w:rsidRDefault="007B0332" w:rsidP="007B0332">
            <w:pPr>
              <w:rPr>
                <w:bCs/>
                <w:lang w:bidi="en-US"/>
              </w:rPr>
            </w:pPr>
            <w:r w:rsidRPr="007B0332">
              <w:rPr>
                <w:bCs/>
                <w:lang w:bidi="en-US"/>
              </w:rPr>
              <w:t>42</w:t>
            </w:r>
          </w:p>
        </w:tc>
      </w:tr>
      <w:tr w:rsidR="007B0332" w:rsidRPr="007B0332" w14:paraId="222F2832" w14:textId="77777777" w:rsidTr="003A2521">
        <w:trPr>
          <w:trHeight w:val="399"/>
        </w:trPr>
        <w:tc>
          <w:tcPr>
            <w:tcW w:w="3780" w:type="dxa"/>
            <w:tcBorders>
              <w:top w:val="single" w:sz="4" w:space="0" w:color="auto"/>
              <w:left w:val="single" w:sz="8" w:space="0" w:color="000000" w:themeColor="text1"/>
              <w:bottom w:val="single" w:sz="4" w:space="0" w:color="auto"/>
              <w:right w:val="single" w:sz="4" w:space="0" w:color="auto"/>
            </w:tcBorders>
            <w:vAlign w:val="center"/>
          </w:tcPr>
          <w:p w14:paraId="5342E514" w14:textId="77777777" w:rsidR="007B0332" w:rsidRPr="007B0332" w:rsidRDefault="007B0332" w:rsidP="007B0332">
            <w:pPr>
              <w:rPr>
                <w:bCs/>
                <w:lang w:bidi="en-US"/>
              </w:rPr>
            </w:pPr>
            <w:r w:rsidRPr="007B0332">
              <w:rPr>
                <w:bCs/>
                <w:lang w:bidi="en-US"/>
              </w:rPr>
              <w:t>Vegetated Swale</w:t>
            </w:r>
          </w:p>
        </w:tc>
        <w:tc>
          <w:tcPr>
            <w:tcW w:w="1890" w:type="dxa"/>
            <w:tcBorders>
              <w:top w:val="single" w:sz="4" w:space="0" w:color="auto"/>
              <w:left w:val="single" w:sz="4" w:space="0" w:color="auto"/>
              <w:bottom w:val="single" w:sz="4" w:space="0" w:color="auto"/>
              <w:right w:val="single" w:sz="4" w:space="0" w:color="auto"/>
            </w:tcBorders>
            <w:vAlign w:val="center"/>
          </w:tcPr>
          <w:p w14:paraId="485B16B1" w14:textId="77777777" w:rsidR="007B0332" w:rsidRPr="007B0332" w:rsidRDefault="007B0332" w:rsidP="007B0332">
            <w:pPr>
              <w:rPr>
                <w:bCs/>
                <w:lang w:bidi="en-US"/>
              </w:rPr>
            </w:pPr>
            <w:r w:rsidRPr="007B0332">
              <w:rPr>
                <w:bCs/>
                <w:lang w:bidi="en-US"/>
              </w:rPr>
              <w:t>333</w:t>
            </w:r>
          </w:p>
        </w:tc>
        <w:tc>
          <w:tcPr>
            <w:tcW w:w="1575" w:type="dxa"/>
            <w:tcBorders>
              <w:top w:val="single" w:sz="4" w:space="0" w:color="auto"/>
              <w:left w:val="single" w:sz="4" w:space="0" w:color="auto"/>
              <w:bottom w:val="single" w:sz="4" w:space="0" w:color="auto"/>
              <w:right w:val="single" w:sz="4" w:space="0" w:color="auto"/>
            </w:tcBorders>
            <w:vAlign w:val="center"/>
          </w:tcPr>
          <w:p w14:paraId="698269C0" w14:textId="77777777" w:rsidR="007B0332" w:rsidRPr="007B0332" w:rsidRDefault="007B0332" w:rsidP="007B0332">
            <w:pPr>
              <w:rPr>
                <w:bCs/>
                <w:lang w:bidi="en-US"/>
              </w:rPr>
            </w:pPr>
            <w:r w:rsidRPr="007B0332">
              <w:rPr>
                <w:bCs/>
                <w:lang w:bidi="en-US"/>
              </w:rPr>
              <w:t>9</w:t>
            </w:r>
          </w:p>
        </w:tc>
        <w:tc>
          <w:tcPr>
            <w:tcW w:w="1575" w:type="dxa"/>
            <w:tcBorders>
              <w:top w:val="single" w:sz="4" w:space="0" w:color="auto"/>
              <w:left w:val="single" w:sz="4" w:space="0" w:color="auto"/>
              <w:bottom w:val="single" w:sz="4" w:space="0" w:color="auto"/>
              <w:right w:val="single" w:sz="8" w:space="0" w:color="000000" w:themeColor="text1"/>
            </w:tcBorders>
            <w:vAlign w:val="center"/>
          </w:tcPr>
          <w:p w14:paraId="4B1FE8B4" w14:textId="77777777" w:rsidR="007B0332" w:rsidRPr="007B0332" w:rsidRDefault="007B0332" w:rsidP="007B0332">
            <w:pPr>
              <w:rPr>
                <w:bCs/>
                <w:lang w:bidi="en-US"/>
              </w:rPr>
            </w:pPr>
            <w:r w:rsidRPr="007B0332">
              <w:rPr>
                <w:bCs/>
                <w:lang w:bidi="en-US"/>
              </w:rPr>
              <w:t>0</w:t>
            </w:r>
          </w:p>
        </w:tc>
      </w:tr>
      <w:tr w:rsidR="007B0332" w:rsidRPr="007B0332" w14:paraId="052F9551" w14:textId="77777777" w:rsidTr="003A2521">
        <w:trPr>
          <w:trHeight w:val="399"/>
        </w:trPr>
        <w:tc>
          <w:tcPr>
            <w:tcW w:w="3780" w:type="dxa"/>
            <w:tcBorders>
              <w:top w:val="single" w:sz="4" w:space="0" w:color="auto"/>
              <w:left w:val="single" w:sz="8" w:space="0" w:color="000000" w:themeColor="text1"/>
              <w:bottom w:val="single" w:sz="8" w:space="0" w:color="auto"/>
              <w:right w:val="single" w:sz="4" w:space="0" w:color="auto"/>
            </w:tcBorders>
            <w:vAlign w:val="center"/>
          </w:tcPr>
          <w:p w14:paraId="0625C1BC" w14:textId="77777777" w:rsidR="007B0332" w:rsidRPr="007B0332" w:rsidRDefault="007B0332" w:rsidP="007B0332">
            <w:pPr>
              <w:rPr>
                <w:bCs/>
                <w:lang w:bidi="en-US"/>
              </w:rPr>
            </w:pPr>
            <w:r w:rsidRPr="007B0332">
              <w:rPr>
                <w:bCs/>
                <w:lang w:bidi="en-US"/>
              </w:rPr>
              <w:t>Media Filters</w:t>
            </w:r>
          </w:p>
        </w:tc>
        <w:tc>
          <w:tcPr>
            <w:tcW w:w="1890" w:type="dxa"/>
            <w:tcBorders>
              <w:top w:val="single" w:sz="4" w:space="0" w:color="auto"/>
              <w:left w:val="single" w:sz="4" w:space="0" w:color="auto"/>
              <w:bottom w:val="single" w:sz="8" w:space="0" w:color="auto"/>
              <w:right w:val="single" w:sz="4" w:space="0" w:color="auto"/>
            </w:tcBorders>
            <w:vAlign w:val="center"/>
          </w:tcPr>
          <w:p w14:paraId="71860C48" w14:textId="77777777" w:rsidR="007B0332" w:rsidRPr="007B0332" w:rsidRDefault="007B0332" w:rsidP="007B0332">
            <w:pPr>
              <w:rPr>
                <w:bCs/>
                <w:lang w:bidi="en-US"/>
              </w:rPr>
            </w:pPr>
            <w:r w:rsidRPr="007B0332">
              <w:rPr>
                <w:bCs/>
                <w:lang w:bidi="en-US"/>
              </w:rPr>
              <w:t>548</w:t>
            </w:r>
          </w:p>
        </w:tc>
        <w:tc>
          <w:tcPr>
            <w:tcW w:w="1575" w:type="dxa"/>
            <w:tcBorders>
              <w:top w:val="single" w:sz="4" w:space="0" w:color="auto"/>
              <w:left w:val="single" w:sz="4" w:space="0" w:color="auto"/>
              <w:bottom w:val="single" w:sz="8" w:space="0" w:color="auto"/>
              <w:right w:val="single" w:sz="4" w:space="0" w:color="auto"/>
            </w:tcBorders>
            <w:vAlign w:val="center"/>
          </w:tcPr>
          <w:p w14:paraId="3E920ED5" w14:textId="77777777" w:rsidR="007B0332" w:rsidRPr="007B0332" w:rsidRDefault="007B0332" w:rsidP="007B0332">
            <w:pPr>
              <w:rPr>
                <w:bCs/>
                <w:lang w:bidi="en-US"/>
              </w:rPr>
            </w:pPr>
            <w:r w:rsidRPr="007B0332">
              <w:rPr>
                <w:bCs/>
                <w:lang w:bidi="en-US"/>
              </w:rPr>
              <w:t>21</w:t>
            </w:r>
          </w:p>
        </w:tc>
        <w:tc>
          <w:tcPr>
            <w:tcW w:w="1575" w:type="dxa"/>
            <w:tcBorders>
              <w:top w:val="single" w:sz="4" w:space="0" w:color="auto"/>
              <w:left w:val="single" w:sz="4" w:space="0" w:color="auto"/>
              <w:bottom w:val="single" w:sz="8" w:space="0" w:color="auto"/>
              <w:right w:val="single" w:sz="8" w:space="0" w:color="000000" w:themeColor="text1"/>
            </w:tcBorders>
            <w:vAlign w:val="center"/>
          </w:tcPr>
          <w:p w14:paraId="044FD1C8" w14:textId="77777777" w:rsidR="007B0332" w:rsidRPr="007B0332" w:rsidRDefault="007B0332" w:rsidP="007B0332">
            <w:pPr>
              <w:rPr>
                <w:bCs/>
                <w:lang w:bidi="en-US"/>
              </w:rPr>
            </w:pPr>
            <w:r w:rsidRPr="007B0332">
              <w:rPr>
                <w:bCs/>
                <w:lang w:bidi="en-US"/>
              </w:rPr>
              <w:t>0</w:t>
            </w:r>
          </w:p>
        </w:tc>
      </w:tr>
      <w:tr w:rsidR="007B0332" w:rsidRPr="007B0332" w14:paraId="69A13D1F" w14:textId="77777777" w:rsidTr="003A2521">
        <w:trPr>
          <w:trHeight w:val="399"/>
        </w:trPr>
        <w:tc>
          <w:tcPr>
            <w:tcW w:w="3780" w:type="dxa"/>
            <w:tcBorders>
              <w:top w:val="single" w:sz="8" w:space="0" w:color="auto"/>
              <w:left w:val="single" w:sz="8" w:space="0" w:color="000000" w:themeColor="text1"/>
              <w:bottom w:val="single" w:sz="8" w:space="0" w:color="auto"/>
              <w:right w:val="single" w:sz="4" w:space="0" w:color="auto"/>
            </w:tcBorders>
            <w:vAlign w:val="center"/>
          </w:tcPr>
          <w:p w14:paraId="0D7FE59F" w14:textId="77777777" w:rsidR="007B0332" w:rsidRPr="007B0332" w:rsidRDefault="007B0332" w:rsidP="007B0332">
            <w:pPr>
              <w:rPr>
                <w:b/>
                <w:lang w:bidi="en-US"/>
              </w:rPr>
            </w:pPr>
            <w:r w:rsidRPr="007B0332">
              <w:rPr>
                <w:b/>
                <w:lang w:bidi="en-US"/>
              </w:rPr>
              <w:t>Total</w:t>
            </w:r>
          </w:p>
        </w:tc>
        <w:tc>
          <w:tcPr>
            <w:tcW w:w="1890" w:type="dxa"/>
            <w:tcBorders>
              <w:top w:val="single" w:sz="8" w:space="0" w:color="auto"/>
              <w:left w:val="single" w:sz="4" w:space="0" w:color="auto"/>
              <w:bottom w:val="single" w:sz="8" w:space="0" w:color="auto"/>
              <w:right w:val="single" w:sz="4" w:space="0" w:color="auto"/>
            </w:tcBorders>
            <w:vAlign w:val="center"/>
          </w:tcPr>
          <w:p w14:paraId="7E98CA24" w14:textId="77777777" w:rsidR="007B0332" w:rsidRPr="007B0332" w:rsidRDefault="007B0332" w:rsidP="007B0332">
            <w:pPr>
              <w:rPr>
                <w:b/>
                <w:lang w:bidi="en-US"/>
              </w:rPr>
            </w:pPr>
            <w:r w:rsidRPr="007B0332">
              <w:rPr>
                <w:b/>
                <w:lang w:bidi="en-US"/>
              </w:rPr>
              <w:t>9,362</w:t>
            </w:r>
          </w:p>
        </w:tc>
        <w:tc>
          <w:tcPr>
            <w:tcW w:w="1575" w:type="dxa"/>
            <w:tcBorders>
              <w:top w:val="single" w:sz="8" w:space="0" w:color="auto"/>
              <w:left w:val="single" w:sz="4" w:space="0" w:color="auto"/>
              <w:bottom w:val="single" w:sz="8" w:space="0" w:color="auto"/>
              <w:right w:val="single" w:sz="4" w:space="0" w:color="auto"/>
            </w:tcBorders>
            <w:vAlign w:val="center"/>
          </w:tcPr>
          <w:p w14:paraId="468FCEEC" w14:textId="77777777" w:rsidR="007B0332" w:rsidRPr="007B0332" w:rsidRDefault="007B0332" w:rsidP="007B0332">
            <w:pPr>
              <w:rPr>
                <w:b/>
                <w:lang w:bidi="en-US"/>
              </w:rPr>
            </w:pPr>
            <w:r w:rsidRPr="007B0332">
              <w:rPr>
                <w:b/>
                <w:lang w:bidi="en-US"/>
              </w:rPr>
              <w:t>401</w:t>
            </w:r>
          </w:p>
        </w:tc>
        <w:tc>
          <w:tcPr>
            <w:tcW w:w="1575" w:type="dxa"/>
            <w:tcBorders>
              <w:top w:val="single" w:sz="8" w:space="0" w:color="auto"/>
              <w:left w:val="single" w:sz="4" w:space="0" w:color="auto"/>
              <w:bottom w:val="single" w:sz="8" w:space="0" w:color="auto"/>
              <w:right w:val="single" w:sz="8" w:space="0" w:color="000000" w:themeColor="text1"/>
            </w:tcBorders>
            <w:vAlign w:val="center"/>
          </w:tcPr>
          <w:p w14:paraId="160219B7" w14:textId="77777777" w:rsidR="007B0332" w:rsidRPr="007B0332" w:rsidRDefault="007B0332" w:rsidP="007B0332">
            <w:pPr>
              <w:rPr>
                <w:b/>
                <w:lang w:bidi="en-US"/>
              </w:rPr>
            </w:pPr>
            <w:r w:rsidRPr="007B0332">
              <w:rPr>
                <w:b/>
                <w:lang w:bidi="en-US"/>
              </w:rPr>
              <w:t>1,192</w:t>
            </w:r>
          </w:p>
        </w:tc>
      </w:tr>
    </w:tbl>
    <w:p w14:paraId="214F35B4" w14:textId="4C6D44A8" w:rsidR="00036A24" w:rsidRDefault="00694ADC" w:rsidP="007B0332">
      <w:pPr>
        <w:rPr>
          <w:lang w:bidi="en-US"/>
        </w:rPr>
      </w:pPr>
      <w:r>
        <w:rPr>
          <w:lang w:bidi="en-US"/>
        </w:rPr>
        <w:t>These</w:t>
      </w:r>
      <w:r w:rsidR="007F602A">
        <w:rPr>
          <w:lang w:bidi="en-US"/>
        </w:rPr>
        <w:t xml:space="preserve"> s</w:t>
      </w:r>
      <w:r w:rsidR="007B0332" w:rsidRPr="007B0332">
        <w:rPr>
          <w:lang w:bidi="en-US"/>
        </w:rPr>
        <w:t>tormwater quantity management requirements</w:t>
      </w:r>
      <w:r>
        <w:rPr>
          <w:lang w:bidi="en-US"/>
        </w:rPr>
        <w:t>, however,</w:t>
      </w:r>
      <w:r w:rsidR="00F82D3C">
        <w:rPr>
          <w:lang w:bidi="en-US"/>
        </w:rPr>
        <w:t xml:space="preserve"> </w:t>
      </w:r>
      <w:r w:rsidR="007B0332" w:rsidRPr="007B0332">
        <w:rPr>
          <w:lang w:bidi="en-US"/>
        </w:rPr>
        <w:t xml:space="preserve">present a paradox </w:t>
      </w:r>
      <w:r w:rsidR="00F82D3C">
        <w:rPr>
          <w:lang w:bidi="en-US"/>
        </w:rPr>
        <w:t>for</w:t>
      </w:r>
      <w:r w:rsidR="007B0332" w:rsidRPr="007B0332">
        <w:rPr>
          <w:lang w:bidi="en-US"/>
        </w:rPr>
        <w:t xml:space="preserve"> the San Jacinto River watershed</w:t>
      </w:r>
      <w:r w:rsidR="00F82D3C">
        <w:rPr>
          <w:lang w:bidi="en-US"/>
        </w:rPr>
        <w:t>. Specifically, w</w:t>
      </w:r>
      <w:r w:rsidR="007B0332" w:rsidRPr="007B0332">
        <w:rPr>
          <w:lang w:bidi="en-US"/>
        </w:rPr>
        <w:t xml:space="preserve">ater quality within Lake Elsinore is closely correlated to lake level, which is sensitive to the volume of watershed runoff that reaches the lake. Thus, stormwater runoff volume that reaches the downstream lakes is valuable to supporting MUN, REC1, and WARM beneficial uses, as applicable to each lake (LESJWA 2018). Historically, lake level fluctuations in Lake Elsinore have been so severe </w:t>
      </w:r>
      <w:r>
        <w:rPr>
          <w:lang w:bidi="en-US"/>
        </w:rPr>
        <w:t xml:space="preserve">that </w:t>
      </w:r>
      <w:r w:rsidR="007B0332" w:rsidRPr="007B0332">
        <w:rPr>
          <w:lang w:bidi="en-US"/>
        </w:rPr>
        <w:t>during extended periods of drought</w:t>
      </w:r>
      <w:r>
        <w:rPr>
          <w:lang w:bidi="en-US"/>
        </w:rPr>
        <w:t xml:space="preserve">, the lake bed has been </w:t>
      </w:r>
      <w:r w:rsidR="007B0332" w:rsidRPr="007B0332">
        <w:rPr>
          <w:lang w:bidi="en-US"/>
        </w:rPr>
        <w:t xml:space="preserve">completely dry (LESJWA 2018). </w:t>
      </w:r>
      <w:r>
        <w:rPr>
          <w:lang w:bidi="en-US"/>
        </w:rPr>
        <w:t>More recently, wi</w:t>
      </w:r>
      <w:r w:rsidR="007B0332" w:rsidRPr="007B0332">
        <w:rPr>
          <w:lang w:bidi="en-US"/>
        </w:rPr>
        <w:t xml:space="preserve">thout </w:t>
      </w:r>
      <w:r>
        <w:rPr>
          <w:lang w:bidi="en-US"/>
        </w:rPr>
        <w:t xml:space="preserve">addition of reclaimed water,  </w:t>
      </w:r>
      <w:r w:rsidR="007B0332" w:rsidRPr="007B0332">
        <w:rPr>
          <w:lang w:bidi="en-US"/>
        </w:rPr>
        <w:t xml:space="preserve">Lake Elsinore would have been completely dry during the 2015-2016 </w:t>
      </w:r>
      <w:r>
        <w:rPr>
          <w:lang w:bidi="en-US"/>
        </w:rPr>
        <w:t xml:space="preserve">drought </w:t>
      </w:r>
      <w:r w:rsidR="007B0332" w:rsidRPr="007B0332">
        <w:rPr>
          <w:lang w:bidi="en-US"/>
        </w:rPr>
        <w:t xml:space="preserve">period (LESJWA 2018). </w:t>
      </w:r>
      <w:r w:rsidR="00F82D3C">
        <w:rPr>
          <w:lang w:bidi="en-US"/>
        </w:rPr>
        <w:t>The continued r</w:t>
      </w:r>
      <w:r w:rsidR="007B0332" w:rsidRPr="007B0332">
        <w:rPr>
          <w:lang w:bidi="en-US"/>
        </w:rPr>
        <w:t>etention of stormwater runoff on-site</w:t>
      </w:r>
      <w:r w:rsidR="00F45958">
        <w:rPr>
          <w:lang w:bidi="en-US"/>
        </w:rPr>
        <w:t>, as required by stormwater BMPs,</w:t>
      </w:r>
      <w:r w:rsidR="007B0332" w:rsidRPr="007B0332">
        <w:rPr>
          <w:lang w:bidi="en-US"/>
        </w:rPr>
        <w:t xml:space="preserve"> may </w:t>
      </w:r>
      <w:r w:rsidR="00F82D3C">
        <w:rPr>
          <w:lang w:bidi="en-US"/>
        </w:rPr>
        <w:t xml:space="preserve">in fact </w:t>
      </w:r>
      <w:r w:rsidR="007B0332" w:rsidRPr="007B0332">
        <w:rPr>
          <w:lang w:bidi="en-US"/>
        </w:rPr>
        <w:t xml:space="preserve">exacerbate the </w:t>
      </w:r>
      <w:r w:rsidR="00F45958">
        <w:rPr>
          <w:lang w:bidi="en-US"/>
        </w:rPr>
        <w:t xml:space="preserve">lake level </w:t>
      </w:r>
      <w:r w:rsidR="007B0332" w:rsidRPr="007B0332">
        <w:rPr>
          <w:lang w:bidi="en-US"/>
        </w:rPr>
        <w:t xml:space="preserve">problem </w:t>
      </w:r>
      <w:r w:rsidR="00F45958">
        <w:rPr>
          <w:lang w:bidi="en-US"/>
        </w:rPr>
        <w:t>in</w:t>
      </w:r>
      <w:r w:rsidR="007B0332" w:rsidRPr="007B0332">
        <w:rPr>
          <w:lang w:bidi="en-US"/>
        </w:rPr>
        <w:t xml:space="preserve"> Lake Elsinore. </w:t>
      </w:r>
      <w:r w:rsidR="00F82D3C">
        <w:rPr>
          <w:lang w:bidi="en-US"/>
        </w:rPr>
        <w:t>To avoid this unintended consequence, use of</w:t>
      </w:r>
      <w:r w:rsidR="007B0332" w:rsidRPr="007B0332">
        <w:rPr>
          <w:lang w:bidi="en-US"/>
        </w:rPr>
        <w:t xml:space="preserve"> in-lake water quality controls to offset excess external nutrient loads </w:t>
      </w:r>
      <w:r w:rsidR="00357FBD">
        <w:rPr>
          <w:lang w:bidi="en-US"/>
        </w:rPr>
        <w:t xml:space="preserve">is </w:t>
      </w:r>
      <w:r w:rsidR="00F82D3C">
        <w:rPr>
          <w:lang w:bidi="en-US"/>
        </w:rPr>
        <w:t>an important and integral element for achieving compliance with the TMDLs</w:t>
      </w:r>
      <w:r w:rsidR="007B0332">
        <w:rPr>
          <w:lang w:bidi="en-US"/>
        </w:rPr>
        <w:t>.</w:t>
      </w:r>
    </w:p>
    <w:p w14:paraId="39C9F552" w14:textId="02FC89E2" w:rsidR="007058EA" w:rsidRDefault="007058EA" w:rsidP="00036A24">
      <w:pPr>
        <w:rPr>
          <w:lang w:bidi="en-US"/>
        </w:rPr>
      </w:pPr>
    </w:p>
    <w:p w14:paraId="2D426125" w14:textId="466B2B70" w:rsidR="007B0332" w:rsidRDefault="00357FBD" w:rsidP="00036A24">
      <w:pPr>
        <w:rPr>
          <w:lang w:bidi="en-US"/>
        </w:rPr>
      </w:pPr>
      <w:r>
        <w:rPr>
          <w:lang w:bidi="en-US"/>
        </w:rPr>
        <w:t xml:space="preserve">Again, </w:t>
      </w:r>
      <w:r w:rsidR="007B0332">
        <w:rPr>
          <w:lang w:bidi="en-US"/>
        </w:rPr>
        <w:t xml:space="preserve">considering the long-standing work performed by the MS4s and all members of the </w:t>
      </w:r>
      <w:r w:rsidR="00233167">
        <w:rPr>
          <w:lang w:bidi="en-US"/>
        </w:rPr>
        <w:t xml:space="preserve">LECL </w:t>
      </w:r>
      <w:r w:rsidR="007B0332">
        <w:rPr>
          <w:lang w:bidi="en-US"/>
        </w:rPr>
        <w:t>Task Force</w:t>
      </w:r>
      <w:r w:rsidR="00465D15">
        <w:rPr>
          <w:lang w:bidi="en-US"/>
        </w:rPr>
        <w:t xml:space="preserve"> </w:t>
      </w:r>
      <w:r w:rsidR="00AB524D">
        <w:rPr>
          <w:lang w:bidi="en-US"/>
        </w:rPr>
        <w:t xml:space="preserve">in efforts </w:t>
      </w:r>
      <w:r w:rsidR="000E3336">
        <w:rPr>
          <w:lang w:bidi="en-US"/>
        </w:rPr>
        <w:t xml:space="preserve">that have successfully </w:t>
      </w:r>
      <w:r w:rsidR="00465D15">
        <w:rPr>
          <w:lang w:bidi="en-US"/>
        </w:rPr>
        <w:t>achieve</w:t>
      </w:r>
      <w:r w:rsidR="000E3336">
        <w:rPr>
          <w:lang w:bidi="en-US"/>
        </w:rPr>
        <w:t>d</w:t>
      </w:r>
      <w:r w:rsidR="00465D15">
        <w:rPr>
          <w:lang w:bidi="en-US"/>
        </w:rPr>
        <w:t xml:space="preserve"> TMDL WLAs/LAs, the </w:t>
      </w:r>
      <w:r w:rsidR="00233167">
        <w:rPr>
          <w:lang w:bidi="en-US"/>
        </w:rPr>
        <w:t xml:space="preserve">LECL </w:t>
      </w:r>
      <w:r w:rsidR="00465D15">
        <w:rPr>
          <w:lang w:bidi="en-US"/>
        </w:rPr>
        <w:t xml:space="preserve">Task Force </w:t>
      </w:r>
      <w:r>
        <w:rPr>
          <w:lang w:bidi="en-US"/>
        </w:rPr>
        <w:t>reiterates</w:t>
      </w:r>
      <w:r w:rsidR="00465D15">
        <w:rPr>
          <w:lang w:bidi="en-US"/>
        </w:rPr>
        <w:t xml:space="preserve"> its concerns with the </w:t>
      </w:r>
      <w:r w:rsidR="00795D6A">
        <w:rPr>
          <w:lang w:bidi="en-US"/>
        </w:rPr>
        <w:t>Staff Working Proposal</w:t>
      </w:r>
      <w:r w:rsidR="00465D15">
        <w:rPr>
          <w:lang w:bidi="en-US"/>
        </w:rPr>
        <w:t xml:space="preserve"> and its failure to </w:t>
      </w:r>
      <w:r w:rsidR="00795D6A">
        <w:rPr>
          <w:lang w:bidi="en-US"/>
        </w:rPr>
        <w:t xml:space="preserve">include </w:t>
      </w:r>
      <w:r w:rsidR="00B518F3">
        <w:rPr>
          <w:lang w:bidi="en-US"/>
        </w:rPr>
        <w:t>in-lake offsets and a</w:t>
      </w:r>
      <w:r w:rsidR="00465D15">
        <w:rPr>
          <w:lang w:bidi="en-US"/>
        </w:rPr>
        <w:t xml:space="preserve"> successful BMP</w:t>
      </w:r>
      <w:r w:rsidR="00795D6A">
        <w:rPr>
          <w:lang w:bidi="en-US"/>
        </w:rPr>
        <w:t>-</w:t>
      </w:r>
      <w:r w:rsidR="00465D15">
        <w:rPr>
          <w:lang w:bidi="en-US"/>
        </w:rPr>
        <w:t xml:space="preserve">based approach. </w:t>
      </w:r>
    </w:p>
    <w:p w14:paraId="77410A44" w14:textId="1533D767" w:rsidR="002B59F6" w:rsidRDefault="002B59F6" w:rsidP="00036A24">
      <w:pPr>
        <w:rPr>
          <w:lang w:bidi="en-US"/>
        </w:rPr>
      </w:pPr>
    </w:p>
    <w:p w14:paraId="00DB5846" w14:textId="186E504A" w:rsidR="002B59F6" w:rsidRPr="002B59F6" w:rsidRDefault="002B59F6" w:rsidP="002B59F6">
      <w:pPr>
        <w:pStyle w:val="ListParagraph"/>
        <w:numPr>
          <w:ilvl w:val="0"/>
          <w:numId w:val="1"/>
        </w:numPr>
        <w:rPr>
          <w:b/>
          <w:bCs/>
          <w:lang w:bidi="en-US"/>
        </w:rPr>
      </w:pPr>
      <w:r>
        <w:rPr>
          <w:b/>
          <w:bCs/>
          <w:lang w:bidi="en-US"/>
        </w:rPr>
        <w:t xml:space="preserve">Select Comments and Recommendations on the </w:t>
      </w:r>
      <w:r w:rsidR="00795D6A">
        <w:rPr>
          <w:b/>
          <w:bCs/>
          <w:lang w:bidi="en-US"/>
        </w:rPr>
        <w:t>Staff Working Proposal</w:t>
      </w:r>
    </w:p>
    <w:p w14:paraId="13ABF110" w14:textId="453A8A43" w:rsidR="002B59F6" w:rsidRDefault="002B59F6" w:rsidP="002B59F6">
      <w:pPr>
        <w:rPr>
          <w:b/>
          <w:bCs/>
          <w:lang w:bidi="en-US"/>
        </w:rPr>
      </w:pPr>
    </w:p>
    <w:p w14:paraId="5C13BD8C" w14:textId="0445A49B" w:rsidR="00B453D7" w:rsidRDefault="00B453D7" w:rsidP="00B453D7">
      <w:pPr>
        <w:pStyle w:val="ListParagraph"/>
        <w:numPr>
          <w:ilvl w:val="0"/>
          <w:numId w:val="5"/>
        </w:numPr>
        <w:rPr>
          <w:lang w:bidi="en-US"/>
        </w:rPr>
      </w:pPr>
      <w:r w:rsidRPr="00B453D7">
        <w:rPr>
          <w:i/>
          <w:iCs/>
          <w:lang w:bidi="en-US"/>
        </w:rPr>
        <w:t>Comments</w:t>
      </w:r>
    </w:p>
    <w:p w14:paraId="56B9814A" w14:textId="77777777" w:rsidR="00B453D7" w:rsidRPr="00B453D7" w:rsidRDefault="00B453D7" w:rsidP="002B59F6">
      <w:pPr>
        <w:rPr>
          <w:lang w:bidi="en-US"/>
        </w:rPr>
      </w:pPr>
    </w:p>
    <w:p w14:paraId="5775FDEA" w14:textId="28D2F3AC" w:rsidR="009E047B" w:rsidRDefault="00E0464E" w:rsidP="002B59F6">
      <w:pPr>
        <w:rPr>
          <w:lang w:bidi="en-US"/>
        </w:rPr>
      </w:pPr>
      <w:r>
        <w:rPr>
          <w:lang w:bidi="en-US"/>
        </w:rPr>
        <w:t>T</w:t>
      </w:r>
      <w:r w:rsidR="004223FD">
        <w:rPr>
          <w:lang w:bidi="en-US"/>
        </w:rPr>
        <w:t xml:space="preserve">he </w:t>
      </w:r>
      <w:r w:rsidR="00233167">
        <w:rPr>
          <w:lang w:bidi="en-US"/>
        </w:rPr>
        <w:t xml:space="preserve">LECL </w:t>
      </w:r>
      <w:r w:rsidR="004223FD">
        <w:rPr>
          <w:lang w:bidi="en-US"/>
        </w:rPr>
        <w:t>Task Force is concerned that Appendix 11</w:t>
      </w:r>
      <w:r w:rsidR="00795D6A">
        <w:rPr>
          <w:lang w:bidi="en-US"/>
        </w:rPr>
        <w:t>,</w:t>
      </w:r>
      <w:r w:rsidR="00AB524D">
        <w:rPr>
          <w:lang w:bidi="en-US"/>
        </w:rPr>
        <w:t xml:space="preserve"> </w:t>
      </w:r>
      <w:r w:rsidR="00D62832">
        <w:rPr>
          <w:lang w:bidi="en-US"/>
        </w:rPr>
        <w:t xml:space="preserve">in conjunction with the compliance language in Section VII of the </w:t>
      </w:r>
      <w:r w:rsidR="00795D6A">
        <w:rPr>
          <w:lang w:bidi="en-US"/>
        </w:rPr>
        <w:t>Staff Working Proposal</w:t>
      </w:r>
      <w:r w:rsidR="00997A30">
        <w:rPr>
          <w:lang w:bidi="en-US"/>
        </w:rPr>
        <w:t>,</w:t>
      </w:r>
      <w:r w:rsidR="00D62832">
        <w:rPr>
          <w:lang w:bidi="en-US"/>
        </w:rPr>
        <w:t xml:space="preserve"> would eliminate the use of in-lake offsets for meeting the </w:t>
      </w:r>
      <w:r w:rsidR="00776552">
        <w:rPr>
          <w:lang w:bidi="en-US"/>
        </w:rPr>
        <w:t>LE/CL</w:t>
      </w:r>
      <w:r w:rsidR="00D62832">
        <w:rPr>
          <w:lang w:bidi="en-US"/>
        </w:rPr>
        <w:t xml:space="preserve"> TMDLs. The </w:t>
      </w:r>
      <w:r w:rsidR="00233167">
        <w:rPr>
          <w:lang w:bidi="en-US"/>
        </w:rPr>
        <w:t xml:space="preserve">LECL </w:t>
      </w:r>
      <w:r w:rsidR="00D62832">
        <w:rPr>
          <w:lang w:bidi="en-US"/>
        </w:rPr>
        <w:t xml:space="preserve">Task Force is also concerned that the </w:t>
      </w:r>
      <w:r w:rsidR="00AB524D">
        <w:rPr>
          <w:lang w:bidi="en-US"/>
        </w:rPr>
        <w:t>impos</w:t>
      </w:r>
      <w:r w:rsidR="00D62832">
        <w:rPr>
          <w:lang w:bidi="en-US"/>
        </w:rPr>
        <w:t>ition of</w:t>
      </w:r>
      <w:r w:rsidR="00AB524D">
        <w:rPr>
          <w:lang w:bidi="en-US"/>
        </w:rPr>
        <w:t xml:space="preserve"> numeric WQBELs on </w:t>
      </w:r>
      <w:r w:rsidR="00997A30">
        <w:rPr>
          <w:lang w:bidi="en-US"/>
        </w:rPr>
        <w:t xml:space="preserve">the </w:t>
      </w:r>
      <w:r w:rsidR="00AB524D">
        <w:rPr>
          <w:lang w:bidi="en-US"/>
        </w:rPr>
        <w:t>MS4s</w:t>
      </w:r>
      <w:r w:rsidR="00D62832">
        <w:rPr>
          <w:lang w:bidi="en-US"/>
        </w:rPr>
        <w:t xml:space="preserve"> </w:t>
      </w:r>
      <w:r w:rsidR="00997A30">
        <w:rPr>
          <w:lang w:bidi="en-US"/>
        </w:rPr>
        <w:t xml:space="preserve">would </w:t>
      </w:r>
      <w:r w:rsidR="00D62832">
        <w:rPr>
          <w:lang w:bidi="en-US"/>
        </w:rPr>
        <w:t xml:space="preserve">do away with </w:t>
      </w:r>
      <w:r w:rsidR="00997A30">
        <w:rPr>
          <w:lang w:bidi="en-US"/>
        </w:rPr>
        <w:t xml:space="preserve">the current </w:t>
      </w:r>
      <w:r w:rsidR="00D62832">
        <w:rPr>
          <w:lang w:bidi="en-US"/>
        </w:rPr>
        <w:t>BMP-based compliance through collaborative Task Force efforts.</w:t>
      </w:r>
      <w:r w:rsidR="009E047B">
        <w:rPr>
          <w:lang w:bidi="en-US"/>
        </w:rPr>
        <w:t xml:space="preserve"> Further, the </w:t>
      </w:r>
      <w:r w:rsidR="00997A30">
        <w:rPr>
          <w:lang w:bidi="en-US"/>
        </w:rPr>
        <w:t>present language in the Staff Working Proposal</w:t>
      </w:r>
      <w:r w:rsidR="009E047B">
        <w:rPr>
          <w:lang w:bidi="en-US"/>
        </w:rPr>
        <w:t xml:space="preserve"> would disallow </w:t>
      </w:r>
      <w:r w:rsidR="006D1E10">
        <w:rPr>
          <w:lang w:bidi="en-US"/>
        </w:rPr>
        <w:t xml:space="preserve">a compliance demonstration based on </w:t>
      </w:r>
      <w:r w:rsidR="009E047B">
        <w:rPr>
          <w:lang w:bidi="en-US"/>
        </w:rPr>
        <w:t xml:space="preserve">aggregation of all watershed sources as compared to the </w:t>
      </w:r>
      <w:r>
        <w:rPr>
          <w:lang w:bidi="en-US"/>
        </w:rPr>
        <w:t xml:space="preserve">measurements of mass emissions of </w:t>
      </w:r>
      <w:r w:rsidR="009E047B">
        <w:rPr>
          <w:lang w:bidi="en-US"/>
        </w:rPr>
        <w:t>watershed loads.</w:t>
      </w:r>
      <w:r w:rsidR="00AB524D">
        <w:rPr>
          <w:lang w:bidi="en-US"/>
        </w:rPr>
        <w:t xml:space="preserve"> </w:t>
      </w:r>
    </w:p>
    <w:p w14:paraId="2375F53B" w14:textId="77777777" w:rsidR="009E047B" w:rsidRDefault="009E047B" w:rsidP="002B59F6">
      <w:pPr>
        <w:rPr>
          <w:lang w:bidi="en-US"/>
        </w:rPr>
      </w:pPr>
    </w:p>
    <w:p w14:paraId="71D7190F" w14:textId="7AE7BFA3" w:rsidR="002B59F6" w:rsidRDefault="004C68FE" w:rsidP="002B59F6">
      <w:pPr>
        <w:rPr>
          <w:lang w:bidi="en-US"/>
        </w:rPr>
      </w:pPr>
      <w:r>
        <w:rPr>
          <w:lang w:bidi="en-US"/>
        </w:rPr>
        <w:t xml:space="preserve">Currently, the MS4s </w:t>
      </w:r>
      <w:r w:rsidR="00776552">
        <w:rPr>
          <w:lang w:bidi="en-US"/>
        </w:rPr>
        <w:t xml:space="preserve">are in </w:t>
      </w:r>
      <w:r w:rsidR="009E047B">
        <w:rPr>
          <w:lang w:bidi="en-US"/>
        </w:rPr>
        <w:t xml:space="preserve">compliance with the </w:t>
      </w:r>
      <w:r w:rsidR="00776552">
        <w:rPr>
          <w:lang w:bidi="en-US"/>
        </w:rPr>
        <w:t>2004 LE/CL</w:t>
      </w:r>
      <w:r w:rsidR="009E047B">
        <w:rPr>
          <w:lang w:bidi="en-US"/>
        </w:rPr>
        <w:t xml:space="preserve"> TMDL</w:t>
      </w:r>
      <w:r w:rsidR="00776552">
        <w:rPr>
          <w:lang w:bidi="en-US"/>
        </w:rPr>
        <w:t>s</w:t>
      </w:r>
      <w:r w:rsidR="009E047B">
        <w:rPr>
          <w:lang w:bidi="en-US"/>
        </w:rPr>
        <w:t xml:space="preserve"> through </w:t>
      </w:r>
      <w:r w:rsidR="00776552">
        <w:rPr>
          <w:lang w:bidi="en-US"/>
        </w:rPr>
        <w:t xml:space="preserve">their </w:t>
      </w:r>
      <w:r w:rsidR="009E047B">
        <w:rPr>
          <w:lang w:bidi="en-US"/>
        </w:rPr>
        <w:t>implementation of the CNRP</w:t>
      </w:r>
      <w:r w:rsidR="00E0464E">
        <w:rPr>
          <w:lang w:bidi="en-US"/>
        </w:rPr>
        <w:t>, which is the WQBEL in the 2010 MS4 permit</w:t>
      </w:r>
      <w:r w:rsidR="009E047B">
        <w:rPr>
          <w:lang w:bidi="en-US"/>
        </w:rPr>
        <w:t>. Further, the MS4s and</w:t>
      </w:r>
      <w:r>
        <w:rPr>
          <w:lang w:bidi="en-US"/>
        </w:rPr>
        <w:t xml:space="preserve"> other </w:t>
      </w:r>
      <w:r w:rsidR="00233167">
        <w:rPr>
          <w:lang w:bidi="en-US"/>
        </w:rPr>
        <w:t xml:space="preserve">LECL </w:t>
      </w:r>
      <w:r>
        <w:rPr>
          <w:lang w:bidi="en-US"/>
        </w:rPr>
        <w:t xml:space="preserve">Task Force stakeholders </w:t>
      </w:r>
      <w:r w:rsidR="00776552">
        <w:rPr>
          <w:lang w:bidi="en-US"/>
        </w:rPr>
        <w:t xml:space="preserve">can </w:t>
      </w:r>
      <w:r w:rsidR="009E047B">
        <w:rPr>
          <w:lang w:bidi="en-US"/>
        </w:rPr>
        <w:t xml:space="preserve">demonstrate that </w:t>
      </w:r>
      <w:r>
        <w:rPr>
          <w:lang w:bidi="en-US"/>
        </w:rPr>
        <w:t xml:space="preserve">the TMDLs </w:t>
      </w:r>
      <w:r w:rsidR="009E047B">
        <w:rPr>
          <w:lang w:bidi="en-US"/>
        </w:rPr>
        <w:t xml:space="preserve">are achieved </w:t>
      </w:r>
      <w:r>
        <w:rPr>
          <w:lang w:bidi="en-US"/>
        </w:rPr>
        <w:t xml:space="preserve">by comparing the watershed loads from all watershed sources against the allowed total loads for each lake. The </w:t>
      </w:r>
      <w:r w:rsidR="00776552">
        <w:rPr>
          <w:lang w:bidi="en-US"/>
        </w:rPr>
        <w:t>Staff Working Proposal</w:t>
      </w:r>
      <w:r>
        <w:rPr>
          <w:lang w:bidi="en-US"/>
        </w:rPr>
        <w:t xml:space="preserve"> </w:t>
      </w:r>
      <w:r w:rsidR="009E047B">
        <w:rPr>
          <w:lang w:bidi="en-US"/>
        </w:rPr>
        <w:t xml:space="preserve">removes implementation of the CNRP as </w:t>
      </w:r>
      <w:r w:rsidR="00776552">
        <w:rPr>
          <w:lang w:bidi="en-US"/>
        </w:rPr>
        <w:t xml:space="preserve">a </w:t>
      </w:r>
      <w:r w:rsidR="009E047B">
        <w:rPr>
          <w:lang w:bidi="en-US"/>
        </w:rPr>
        <w:t xml:space="preserve">compliance </w:t>
      </w:r>
      <w:r w:rsidR="00776552">
        <w:rPr>
          <w:lang w:bidi="en-US"/>
        </w:rPr>
        <w:t xml:space="preserve">option </w:t>
      </w:r>
      <w:r w:rsidR="009E047B">
        <w:rPr>
          <w:lang w:bidi="en-US"/>
        </w:rPr>
        <w:t xml:space="preserve">and </w:t>
      </w:r>
      <w:r w:rsidR="00776552">
        <w:rPr>
          <w:lang w:bidi="en-US"/>
        </w:rPr>
        <w:t xml:space="preserve">does </w:t>
      </w:r>
      <w:r w:rsidR="009E047B">
        <w:rPr>
          <w:lang w:bidi="en-US"/>
        </w:rPr>
        <w:t>not allow for aggregat</w:t>
      </w:r>
      <w:r w:rsidR="005B28B8">
        <w:rPr>
          <w:lang w:bidi="en-US"/>
        </w:rPr>
        <w:t>ion of</w:t>
      </w:r>
      <w:r w:rsidR="009E047B">
        <w:rPr>
          <w:lang w:bidi="en-US"/>
        </w:rPr>
        <w:t xml:space="preserve"> watershed loads to evaluate</w:t>
      </w:r>
      <w:r w:rsidR="005B28B8">
        <w:rPr>
          <w:lang w:bidi="en-US"/>
        </w:rPr>
        <w:t xml:space="preserve"> </w:t>
      </w:r>
      <w:r>
        <w:rPr>
          <w:lang w:bidi="en-US"/>
        </w:rPr>
        <w:t>compliance</w:t>
      </w:r>
      <w:r w:rsidR="005B28B8">
        <w:rPr>
          <w:lang w:bidi="en-US"/>
        </w:rPr>
        <w:t xml:space="preserve">. Rather, the </w:t>
      </w:r>
      <w:r w:rsidR="00776552">
        <w:rPr>
          <w:lang w:bidi="en-US"/>
        </w:rPr>
        <w:t xml:space="preserve">Staff Working Proposal </w:t>
      </w:r>
      <w:r>
        <w:rPr>
          <w:lang w:bidi="en-US"/>
        </w:rPr>
        <w:t>would require</w:t>
      </w:r>
      <w:r w:rsidR="00AB524D">
        <w:rPr>
          <w:lang w:bidi="en-US"/>
        </w:rPr>
        <w:t xml:space="preserve"> the MS4s to show </w:t>
      </w:r>
      <w:r>
        <w:rPr>
          <w:lang w:bidi="en-US"/>
        </w:rPr>
        <w:t xml:space="preserve">immediate </w:t>
      </w:r>
      <w:r w:rsidR="00AB524D">
        <w:rPr>
          <w:lang w:bidi="en-US"/>
        </w:rPr>
        <w:t>compliance by demonstrating that urban runoff and septic systems</w:t>
      </w:r>
      <w:r w:rsidR="00030D23">
        <w:rPr>
          <w:lang w:bidi="en-US"/>
        </w:rPr>
        <w:t xml:space="preserve"> specifically meet the WLAs assigned to these sources in the 2004 TMDL</w:t>
      </w:r>
      <w:r w:rsidR="00776552">
        <w:rPr>
          <w:lang w:bidi="en-US"/>
        </w:rPr>
        <w:t>s</w:t>
      </w:r>
      <w:r w:rsidR="00030D23">
        <w:rPr>
          <w:lang w:bidi="en-US"/>
        </w:rPr>
        <w:t>. This approach is problematic for several reasons.</w:t>
      </w:r>
    </w:p>
    <w:p w14:paraId="7E8AE041" w14:textId="77777777" w:rsidR="004C68FE" w:rsidRDefault="004C68FE" w:rsidP="002B59F6">
      <w:pPr>
        <w:rPr>
          <w:lang w:bidi="en-US"/>
        </w:rPr>
      </w:pPr>
    </w:p>
    <w:p w14:paraId="145B1CD2" w14:textId="74F23447" w:rsidR="00C23052" w:rsidRDefault="00030D23" w:rsidP="002B59F6">
      <w:pPr>
        <w:rPr>
          <w:lang w:bidi="en-US"/>
        </w:rPr>
      </w:pPr>
      <w:r>
        <w:rPr>
          <w:lang w:bidi="en-US"/>
        </w:rPr>
        <w:t xml:space="preserve">First, </w:t>
      </w:r>
      <w:r w:rsidR="00E0464E">
        <w:rPr>
          <w:lang w:bidi="en-US"/>
        </w:rPr>
        <w:t xml:space="preserve">replacing the CNRP as the final WQBEL with </w:t>
      </w:r>
      <w:r>
        <w:rPr>
          <w:lang w:bidi="en-US"/>
        </w:rPr>
        <w:t>numeric WQBELs</w:t>
      </w:r>
      <w:r w:rsidR="0006600C">
        <w:rPr>
          <w:lang w:bidi="en-US"/>
        </w:rPr>
        <w:t xml:space="preserve"> for nutrient WLAs fails to understand the watershed dynamics for these lakes. The 2004 LE/CL TMDL</w:t>
      </w:r>
      <w:r w:rsidR="00B02782">
        <w:rPr>
          <w:lang w:bidi="en-US"/>
        </w:rPr>
        <w:t>s</w:t>
      </w:r>
      <w:r w:rsidR="007A0F7A">
        <w:rPr>
          <w:lang w:bidi="en-US"/>
        </w:rPr>
        <w:t xml:space="preserve"> estimated loads for various sources based on </w:t>
      </w:r>
      <w:r w:rsidR="00B02782">
        <w:rPr>
          <w:lang w:bidi="en-US"/>
        </w:rPr>
        <w:t xml:space="preserve">the </w:t>
      </w:r>
      <w:r w:rsidR="007A0F7A">
        <w:rPr>
          <w:lang w:bidi="en-US"/>
        </w:rPr>
        <w:t>land use</w:t>
      </w:r>
      <w:r w:rsidR="00B02782">
        <w:rPr>
          <w:lang w:bidi="en-US"/>
        </w:rPr>
        <w:t>s</w:t>
      </w:r>
      <w:r w:rsidR="007A0F7A">
        <w:rPr>
          <w:lang w:bidi="en-US"/>
        </w:rPr>
        <w:t xml:space="preserve"> present at that time. Since 2004, the watershed has undergone a</w:t>
      </w:r>
      <w:r w:rsidR="00B02782">
        <w:rPr>
          <w:lang w:bidi="en-US"/>
        </w:rPr>
        <w:t xml:space="preserve"> significant </w:t>
      </w:r>
      <w:r w:rsidR="007A0F7A">
        <w:rPr>
          <w:lang w:bidi="en-US"/>
        </w:rPr>
        <w:t xml:space="preserve">transformation whereby </w:t>
      </w:r>
      <w:r w:rsidR="001D2068">
        <w:rPr>
          <w:lang w:bidi="en-US"/>
        </w:rPr>
        <w:t xml:space="preserve">urban land use has increased nearly threefold from an estimated 35,000 acres to an estimated 95,000 acres. </w:t>
      </w:r>
      <w:r w:rsidR="00705A06">
        <w:rPr>
          <w:lang w:bidi="en-US"/>
        </w:rPr>
        <w:t xml:space="preserve">Considering this dramatic shift in land use, </w:t>
      </w:r>
      <w:r w:rsidR="00C23052">
        <w:rPr>
          <w:lang w:bidi="en-US"/>
        </w:rPr>
        <w:t>load allocations assigned to the various watershed sources in the 2004 LE/CL TMDL</w:t>
      </w:r>
      <w:r w:rsidR="00B02782">
        <w:rPr>
          <w:lang w:bidi="en-US"/>
        </w:rPr>
        <w:t>s</w:t>
      </w:r>
      <w:r w:rsidR="00C23052">
        <w:rPr>
          <w:lang w:bidi="en-US"/>
        </w:rPr>
        <w:t xml:space="preserve"> are </w:t>
      </w:r>
      <w:r w:rsidR="00B02782">
        <w:rPr>
          <w:lang w:bidi="en-US"/>
        </w:rPr>
        <w:t xml:space="preserve">no longer </w:t>
      </w:r>
      <w:r w:rsidR="00C23052">
        <w:rPr>
          <w:lang w:bidi="en-US"/>
        </w:rPr>
        <w:t xml:space="preserve">accurate and should not be used to </w:t>
      </w:r>
      <w:r w:rsidR="00B02782">
        <w:rPr>
          <w:lang w:bidi="en-US"/>
        </w:rPr>
        <w:t>establish</w:t>
      </w:r>
      <w:r w:rsidR="00C23052">
        <w:rPr>
          <w:lang w:bidi="en-US"/>
        </w:rPr>
        <w:t xml:space="preserve"> numeric WQBELs. </w:t>
      </w:r>
    </w:p>
    <w:p w14:paraId="306F7293" w14:textId="77777777" w:rsidR="00C23052" w:rsidRDefault="00C23052" w:rsidP="002B59F6">
      <w:pPr>
        <w:rPr>
          <w:lang w:bidi="en-US"/>
        </w:rPr>
      </w:pPr>
    </w:p>
    <w:p w14:paraId="36906B3A" w14:textId="0B6483CF" w:rsidR="00030D23" w:rsidRDefault="00641B86" w:rsidP="002B59F6">
      <w:pPr>
        <w:rPr>
          <w:lang w:bidi="en-US"/>
        </w:rPr>
      </w:pPr>
      <w:r>
        <w:rPr>
          <w:lang w:bidi="en-US"/>
        </w:rPr>
        <w:t>Second, Appendix 11</w:t>
      </w:r>
      <w:r w:rsidR="00030D23">
        <w:rPr>
          <w:lang w:bidi="en-US"/>
        </w:rPr>
        <w:t xml:space="preserve"> </w:t>
      </w:r>
      <w:r w:rsidR="001D2068">
        <w:rPr>
          <w:lang w:bidi="en-US"/>
        </w:rPr>
        <w:t xml:space="preserve">of the Staff Working Proposal </w:t>
      </w:r>
      <w:r w:rsidR="00030D23">
        <w:rPr>
          <w:lang w:bidi="en-US"/>
        </w:rPr>
        <w:t xml:space="preserve">ignores the </w:t>
      </w:r>
      <w:r w:rsidR="004E5FE7">
        <w:rPr>
          <w:lang w:bidi="en-US"/>
        </w:rPr>
        <w:t xml:space="preserve">15-plus </w:t>
      </w:r>
      <w:r w:rsidR="00030D23">
        <w:rPr>
          <w:lang w:bidi="en-US"/>
        </w:rPr>
        <w:t>years of collaborative work and effort exp</w:t>
      </w:r>
      <w:r w:rsidR="00E24B37">
        <w:rPr>
          <w:lang w:bidi="en-US"/>
        </w:rPr>
        <w:t>e</w:t>
      </w:r>
      <w:r w:rsidR="00030D23">
        <w:rPr>
          <w:lang w:bidi="en-US"/>
        </w:rPr>
        <w:t xml:space="preserve">nded by the Task Force members collectively and individually. </w:t>
      </w:r>
      <w:r>
        <w:rPr>
          <w:lang w:bidi="en-US"/>
        </w:rPr>
        <w:t xml:space="preserve">The </w:t>
      </w:r>
      <w:r w:rsidR="00030D23">
        <w:rPr>
          <w:lang w:bidi="en-US"/>
        </w:rPr>
        <w:t>LECL Task Force, like the MSAR Task Force, ha</w:t>
      </w:r>
      <w:r w:rsidR="00C823BF">
        <w:rPr>
          <w:lang w:bidi="en-US"/>
        </w:rPr>
        <w:t xml:space="preserve">s a </w:t>
      </w:r>
      <w:r w:rsidR="00030D23">
        <w:rPr>
          <w:lang w:bidi="en-US"/>
        </w:rPr>
        <w:t xml:space="preserve">proven </w:t>
      </w:r>
      <w:r w:rsidR="00C823BF">
        <w:rPr>
          <w:lang w:bidi="en-US"/>
        </w:rPr>
        <w:t>track record of getting things done.</w:t>
      </w:r>
      <w:r w:rsidR="004E5FE7">
        <w:rPr>
          <w:lang w:bidi="en-US"/>
        </w:rPr>
        <w:t xml:space="preserve"> </w:t>
      </w:r>
      <w:r w:rsidR="00CA56E1">
        <w:rPr>
          <w:lang w:bidi="en-US"/>
        </w:rPr>
        <w:t>The</w:t>
      </w:r>
      <w:r w:rsidR="00233167">
        <w:rPr>
          <w:lang w:bidi="en-US"/>
        </w:rPr>
        <w:t xml:space="preserve"> LECL</w:t>
      </w:r>
      <w:r w:rsidR="00CA56E1">
        <w:rPr>
          <w:lang w:bidi="en-US"/>
        </w:rPr>
        <w:t xml:space="preserve"> Task Force and its members</w:t>
      </w:r>
      <w:r w:rsidR="00F2415E">
        <w:rPr>
          <w:lang w:bidi="en-US"/>
        </w:rPr>
        <w:t xml:space="preserve"> (individually and collectively)</w:t>
      </w:r>
      <w:r w:rsidR="00CA56E1">
        <w:rPr>
          <w:lang w:bidi="en-US"/>
        </w:rPr>
        <w:t>, in collaboration with the Santa Ana Water Board, has spent millions of dollars over the years studying the watershed and</w:t>
      </w:r>
      <w:r w:rsidR="003D10C6">
        <w:rPr>
          <w:lang w:bidi="en-US"/>
        </w:rPr>
        <w:t xml:space="preserve"> </w:t>
      </w:r>
      <w:r w:rsidR="00CA56E1">
        <w:rPr>
          <w:lang w:bidi="en-US"/>
        </w:rPr>
        <w:t>nutrient cycling in these unique lakes,</w:t>
      </w:r>
      <w:r w:rsidR="003D10C6">
        <w:rPr>
          <w:lang w:bidi="en-US"/>
        </w:rPr>
        <w:t xml:space="preserve"> installing in-lake aeration systems, applying alum and implementing many BMPs to control and manage nutrients. Through these efforts, the</w:t>
      </w:r>
      <w:r w:rsidR="00C823BF">
        <w:rPr>
          <w:lang w:bidi="en-US"/>
        </w:rPr>
        <w:t xml:space="preserve"> </w:t>
      </w:r>
      <w:r w:rsidR="00233167">
        <w:rPr>
          <w:lang w:bidi="en-US"/>
        </w:rPr>
        <w:t xml:space="preserve">LECL </w:t>
      </w:r>
      <w:r w:rsidR="00C823BF">
        <w:rPr>
          <w:lang w:bidi="en-US"/>
        </w:rPr>
        <w:t>Task Force has clearly demonstrated its commitment to implementing an adaptive</w:t>
      </w:r>
      <w:r w:rsidR="00030D23">
        <w:rPr>
          <w:lang w:bidi="en-US"/>
        </w:rPr>
        <w:t xml:space="preserve"> approac</w:t>
      </w:r>
      <w:r w:rsidR="00C823BF">
        <w:rPr>
          <w:lang w:bidi="en-US"/>
        </w:rPr>
        <w:t>h</w:t>
      </w:r>
      <w:r w:rsidR="00E24B37">
        <w:rPr>
          <w:lang w:bidi="en-US"/>
        </w:rPr>
        <w:t xml:space="preserve"> that looks at the </w:t>
      </w:r>
      <w:r>
        <w:rPr>
          <w:lang w:bidi="en-US"/>
        </w:rPr>
        <w:t xml:space="preserve">overall </w:t>
      </w:r>
      <w:r w:rsidR="00E24B37">
        <w:rPr>
          <w:lang w:bidi="en-US"/>
        </w:rPr>
        <w:t>watershed</w:t>
      </w:r>
      <w:r w:rsidR="003B23E2">
        <w:rPr>
          <w:lang w:bidi="en-US"/>
        </w:rPr>
        <w:t xml:space="preserve"> and</w:t>
      </w:r>
      <w:r>
        <w:rPr>
          <w:lang w:bidi="en-US"/>
        </w:rPr>
        <w:t xml:space="preserve"> </w:t>
      </w:r>
      <w:r w:rsidR="003B23E2">
        <w:rPr>
          <w:lang w:bidi="en-US"/>
        </w:rPr>
        <w:t xml:space="preserve">adjusts BMPs based on significant changes to management of the lakes. </w:t>
      </w:r>
      <w:r>
        <w:rPr>
          <w:lang w:bidi="en-US"/>
        </w:rPr>
        <w:t xml:space="preserve"> </w:t>
      </w:r>
    </w:p>
    <w:p w14:paraId="3844196D" w14:textId="279039F3" w:rsidR="005B28B8" w:rsidRDefault="005B28B8" w:rsidP="002B59F6">
      <w:pPr>
        <w:rPr>
          <w:lang w:bidi="en-US"/>
        </w:rPr>
      </w:pPr>
    </w:p>
    <w:p w14:paraId="630BE077" w14:textId="3E5FD43A" w:rsidR="005B28B8" w:rsidRDefault="005B28B8" w:rsidP="002B59F6">
      <w:pPr>
        <w:rPr>
          <w:lang w:bidi="en-US"/>
        </w:rPr>
      </w:pPr>
      <w:r>
        <w:rPr>
          <w:lang w:bidi="en-US"/>
        </w:rPr>
        <w:t xml:space="preserve">Third, </w:t>
      </w:r>
      <w:r w:rsidR="00612ADC">
        <w:rPr>
          <w:lang w:bidi="en-US"/>
        </w:rPr>
        <w:t>the</w:t>
      </w:r>
      <w:r w:rsidR="00233167">
        <w:rPr>
          <w:lang w:bidi="en-US"/>
        </w:rPr>
        <w:t xml:space="preserve"> LECL</w:t>
      </w:r>
      <w:r w:rsidR="00612ADC">
        <w:rPr>
          <w:lang w:bidi="en-US"/>
        </w:rPr>
        <w:t xml:space="preserve"> Task Force</w:t>
      </w:r>
      <w:r w:rsidR="00B02782">
        <w:rPr>
          <w:lang w:bidi="en-US"/>
        </w:rPr>
        <w:t>, as well as</w:t>
      </w:r>
      <w:r w:rsidR="00612ADC">
        <w:rPr>
          <w:lang w:bidi="en-US"/>
        </w:rPr>
        <w:t xml:space="preserve"> Santa Ana Water Board staff, </w:t>
      </w:r>
      <w:r w:rsidR="00B02782">
        <w:rPr>
          <w:lang w:bidi="en-US"/>
        </w:rPr>
        <w:t>agree</w:t>
      </w:r>
      <w:r w:rsidR="00612ADC">
        <w:rPr>
          <w:lang w:bidi="en-US"/>
        </w:rPr>
        <w:t xml:space="preserve"> that the 2004 LE/CL TMDL</w:t>
      </w:r>
      <w:r w:rsidR="00B02782">
        <w:rPr>
          <w:lang w:bidi="en-US"/>
        </w:rPr>
        <w:t>s</w:t>
      </w:r>
      <w:r w:rsidR="00612ADC">
        <w:rPr>
          <w:lang w:bidi="en-US"/>
        </w:rPr>
        <w:t xml:space="preserve"> </w:t>
      </w:r>
      <w:r w:rsidR="00B02782">
        <w:rPr>
          <w:lang w:bidi="en-US"/>
        </w:rPr>
        <w:t>must be updated</w:t>
      </w:r>
      <w:r w:rsidR="00612ADC">
        <w:rPr>
          <w:lang w:bidi="en-US"/>
        </w:rPr>
        <w:t>. In addition to needing to update twenty-year old land use data, the linkage analysis between allocated loads and predicted in-lake response targets also needs to be improved. In 2015, as part of the Triennial Review process, the Santa Ana Water Board identified the 2004 LE/CL TMDL</w:t>
      </w:r>
      <w:r w:rsidR="00B02782">
        <w:rPr>
          <w:lang w:bidi="en-US"/>
        </w:rPr>
        <w:t>s</w:t>
      </w:r>
      <w:r w:rsidR="00612ADC">
        <w:rPr>
          <w:lang w:bidi="en-US"/>
        </w:rPr>
        <w:t xml:space="preserve"> as a priority for updat</w:t>
      </w:r>
      <w:r w:rsidR="00B02782">
        <w:rPr>
          <w:lang w:bidi="en-US"/>
        </w:rPr>
        <w:t>ing</w:t>
      </w:r>
      <w:r w:rsidR="00612ADC">
        <w:rPr>
          <w:lang w:bidi="en-US"/>
        </w:rPr>
        <w:t>.</w:t>
      </w:r>
      <w:r w:rsidR="00B453D7">
        <w:rPr>
          <w:lang w:bidi="en-US"/>
        </w:rPr>
        <w:t xml:space="preserve"> The LE/CL Task Force agreed to undertake this effort in conjunction with Santa Ana Water Board staff. On December 1, 2018, LESJWA, in collaboration with the LECL Task F</w:t>
      </w:r>
      <w:r w:rsidR="00F27FDE">
        <w:rPr>
          <w:lang w:bidi="en-US"/>
        </w:rPr>
        <w:t>or</w:t>
      </w:r>
      <w:r w:rsidR="00B453D7">
        <w:rPr>
          <w:lang w:bidi="en-US"/>
        </w:rPr>
        <w:t>ce, submitted the Draft TMDL Technical Report (LESJWA 2018), which represent a culmination of a three-year collaboration between the LECL Task Force and Santa Ana Water Board staff to assemble and analyze the vas</w:t>
      </w:r>
      <w:r w:rsidR="001D2068">
        <w:rPr>
          <w:lang w:bidi="en-US"/>
        </w:rPr>
        <w:t>te</w:t>
      </w:r>
      <w:r w:rsidR="00B453D7">
        <w:rPr>
          <w:lang w:bidi="en-US"/>
        </w:rPr>
        <w:t xml:space="preserve"> amount of data collected since adoption of the 2004 TMDL. The Draft TMDL Technical Report and draft amendments to the Basin Plan were circulated for public comment on December 1, 2018, and were subject to a public workshop before the Santa Ana Water Board on May 3, 2019. </w:t>
      </w:r>
      <w:r w:rsidR="0021110C">
        <w:rPr>
          <w:lang w:bidi="en-US"/>
        </w:rPr>
        <w:t xml:space="preserve"> Although revisions to the 2004 TMDLs and Basin Plan were not adopted in 2019 as originally anticipated, efforts by the Task Force and Santa Ana Water Board staff continue.</w:t>
      </w:r>
    </w:p>
    <w:p w14:paraId="3626D708" w14:textId="0B1412EB" w:rsidR="00F27FDE" w:rsidRDefault="00F27FDE" w:rsidP="002B59F6">
      <w:pPr>
        <w:rPr>
          <w:lang w:bidi="en-US"/>
        </w:rPr>
      </w:pPr>
    </w:p>
    <w:p w14:paraId="33F928A2" w14:textId="5F665651" w:rsidR="00F27FDE" w:rsidRDefault="0021110C" w:rsidP="00F27FDE">
      <w:pPr>
        <w:rPr>
          <w:lang w:bidi="en-US"/>
        </w:rPr>
      </w:pPr>
      <w:r>
        <w:rPr>
          <w:lang w:bidi="en-US"/>
        </w:rPr>
        <w:t xml:space="preserve">These efforts include responding to Peer Review comments received by the </w:t>
      </w:r>
      <w:r w:rsidR="00F27FDE" w:rsidRPr="00F27FDE">
        <w:rPr>
          <w:lang w:bidi="en-US"/>
        </w:rPr>
        <w:t xml:space="preserve">Santa Ana Water Board staff </w:t>
      </w:r>
      <w:r w:rsidR="00006F07">
        <w:rPr>
          <w:lang w:bidi="en-US"/>
        </w:rPr>
        <w:t>in November of 2019.</w:t>
      </w:r>
      <w:r w:rsidR="00F27FDE" w:rsidRPr="00F27FDE">
        <w:rPr>
          <w:lang w:bidi="en-US"/>
        </w:rPr>
        <w:t xml:space="preserve"> The </w:t>
      </w:r>
      <w:r w:rsidR="00F27FDE">
        <w:rPr>
          <w:lang w:bidi="en-US"/>
        </w:rPr>
        <w:t xml:space="preserve">LECL </w:t>
      </w:r>
      <w:r w:rsidR="00F27FDE" w:rsidRPr="00F27FDE">
        <w:rPr>
          <w:lang w:bidi="en-US"/>
        </w:rPr>
        <w:t xml:space="preserve">Task Force </w:t>
      </w:r>
      <w:r w:rsidR="00006F07">
        <w:rPr>
          <w:lang w:bidi="en-US"/>
        </w:rPr>
        <w:t xml:space="preserve">first </w:t>
      </w:r>
      <w:r w:rsidR="00F27FDE" w:rsidRPr="00F27FDE">
        <w:rPr>
          <w:lang w:bidi="en-US"/>
        </w:rPr>
        <w:t>responded to the Peer Review comments in March 2020. Based on Peer Review comments</w:t>
      </w:r>
      <w:r w:rsidR="00FD3E53">
        <w:rPr>
          <w:lang w:bidi="en-US"/>
        </w:rPr>
        <w:t xml:space="preserve"> and</w:t>
      </w:r>
      <w:r w:rsidR="00F27FDE" w:rsidRPr="00F27FDE">
        <w:rPr>
          <w:lang w:bidi="en-US"/>
        </w:rPr>
        <w:t xml:space="preserve"> responses, a</w:t>
      </w:r>
      <w:r w:rsidR="00FD3E53">
        <w:rPr>
          <w:lang w:bidi="en-US"/>
        </w:rPr>
        <w:t>s well as</w:t>
      </w:r>
      <w:r w:rsidR="00F27FDE" w:rsidRPr="00F27FDE">
        <w:rPr>
          <w:lang w:bidi="en-US"/>
        </w:rPr>
        <w:t xml:space="preserve"> internal staff reviews, Santa Ana Water Board staff in October 2020 requested further information regarding the proposed 2018 TMDL Revisions and the models used to calculate TMDL targets, </w:t>
      </w:r>
      <w:r w:rsidR="00FD3E53">
        <w:rPr>
          <w:lang w:bidi="en-US"/>
        </w:rPr>
        <w:t xml:space="preserve">WLAs and LAs </w:t>
      </w:r>
      <w:r w:rsidR="00F27FDE" w:rsidRPr="00F27FDE">
        <w:rPr>
          <w:lang w:bidi="en-US"/>
        </w:rPr>
        <w:t xml:space="preserve">in the proposed 2018 TMDL Revisions. </w:t>
      </w:r>
      <w:r w:rsidR="00F27FDE">
        <w:rPr>
          <w:lang w:bidi="en-US"/>
        </w:rPr>
        <w:t>Since then, the LECL</w:t>
      </w:r>
      <w:r w:rsidR="00F27FDE" w:rsidRPr="00F27FDE">
        <w:rPr>
          <w:lang w:bidi="en-US"/>
        </w:rPr>
        <w:t xml:space="preserve"> Task Force </w:t>
      </w:r>
      <w:r w:rsidR="00FD3E53">
        <w:rPr>
          <w:lang w:bidi="en-US"/>
        </w:rPr>
        <w:t xml:space="preserve">has </w:t>
      </w:r>
      <w:r w:rsidR="00F27FDE" w:rsidRPr="00F27FDE">
        <w:rPr>
          <w:lang w:bidi="en-US"/>
        </w:rPr>
        <w:t xml:space="preserve">directed its consultants to work with Santa Ana Water Board staff to answer questions regarding the modeling and </w:t>
      </w:r>
      <w:r w:rsidR="00FD3E53">
        <w:rPr>
          <w:lang w:bidi="en-US"/>
        </w:rPr>
        <w:t xml:space="preserve">to </w:t>
      </w:r>
      <w:r w:rsidR="00F27FDE" w:rsidRPr="00F27FDE">
        <w:rPr>
          <w:lang w:bidi="en-US"/>
        </w:rPr>
        <w:t>update the modeling with newer versions</w:t>
      </w:r>
      <w:r w:rsidR="00FD3E53">
        <w:rPr>
          <w:lang w:bidi="en-US"/>
        </w:rPr>
        <w:t>,</w:t>
      </w:r>
      <w:r w:rsidR="00F27FDE" w:rsidRPr="00F27FDE">
        <w:rPr>
          <w:lang w:bidi="en-US"/>
        </w:rPr>
        <w:t xml:space="preserve"> as was previously anticipated. Discussions between </w:t>
      </w:r>
      <w:r w:rsidR="00F27FDE">
        <w:rPr>
          <w:lang w:bidi="en-US"/>
        </w:rPr>
        <w:t xml:space="preserve">LECL </w:t>
      </w:r>
      <w:r w:rsidR="00F27FDE" w:rsidRPr="00F27FDE">
        <w:rPr>
          <w:lang w:bidi="en-US"/>
        </w:rPr>
        <w:t>Task Force consultants and Santa Ana Water Board staff</w:t>
      </w:r>
      <w:r w:rsidR="00FD3E53">
        <w:rPr>
          <w:lang w:bidi="en-US"/>
        </w:rPr>
        <w:t xml:space="preserve">, </w:t>
      </w:r>
      <w:r w:rsidR="001D2068">
        <w:rPr>
          <w:lang w:bidi="en-US"/>
        </w:rPr>
        <w:t xml:space="preserve">which included </w:t>
      </w:r>
      <w:r w:rsidR="00F27FDE" w:rsidRPr="00F27FDE">
        <w:rPr>
          <w:lang w:bidi="en-US"/>
        </w:rPr>
        <w:t xml:space="preserve"> five modeling workshops</w:t>
      </w:r>
      <w:r w:rsidR="001D2068">
        <w:rPr>
          <w:lang w:bidi="en-US"/>
        </w:rPr>
        <w:t>,</w:t>
      </w:r>
      <w:r w:rsidR="00F27FDE" w:rsidRPr="00F27FDE">
        <w:rPr>
          <w:lang w:bidi="en-US"/>
        </w:rPr>
        <w:t xml:space="preserve"> were completed in the spring of 2021</w:t>
      </w:r>
      <w:r w:rsidR="001D2068">
        <w:rPr>
          <w:lang w:bidi="en-US"/>
        </w:rPr>
        <w:t xml:space="preserve">. The results of the </w:t>
      </w:r>
      <w:r w:rsidR="006D1E10">
        <w:rPr>
          <w:lang w:bidi="en-US"/>
        </w:rPr>
        <w:t>revised models</w:t>
      </w:r>
      <w:r w:rsidR="00FD3E53">
        <w:rPr>
          <w:lang w:bidi="en-US"/>
        </w:rPr>
        <w:t>w</w:t>
      </w:r>
      <w:r w:rsidR="001D2068">
        <w:rPr>
          <w:lang w:bidi="en-US"/>
        </w:rPr>
        <w:t>ere</w:t>
      </w:r>
      <w:r w:rsidR="00FD3E53">
        <w:rPr>
          <w:lang w:bidi="en-US"/>
        </w:rPr>
        <w:t xml:space="preserve"> </w:t>
      </w:r>
      <w:r w:rsidR="00F27FDE" w:rsidRPr="00F27FDE">
        <w:rPr>
          <w:lang w:bidi="en-US"/>
        </w:rPr>
        <w:t>presented to the Task Force at the May 17, 2021 meeting.</w:t>
      </w:r>
      <w:r w:rsidR="006246AF">
        <w:rPr>
          <w:lang w:bidi="en-US"/>
        </w:rPr>
        <w:t xml:space="preserve"> After </w:t>
      </w:r>
      <w:r w:rsidR="00F27FDE" w:rsidRPr="00F27FDE">
        <w:rPr>
          <w:lang w:bidi="en-US"/>
        </w:rPr>
        <w:t xml:space="preserve">completion of the revised modeling, Santa Ana Water Board staff conveyed </w:t>
      </w:r>
      <w:r w:rsidR="006246AF">
        <w:rPr>
          <w:lang w:bidi="en-US"/>
        </w:rPr>
        <w:t xml:space="preserve">their </w:t>
      </w:r>
      <w:r w:rsidR="006D1E10">
        <w:rPr>
          <w:lang w:bidi="en-US"/>
        </w:rPr>
        <w:t>reservations</w:t>
      </w:r>
      <w:r w:rsidR="006246AF">
        <w:rPr>
          <w:lang w:bidi="en-US"/>
        </w:rPr>
        <w:t xml:space="preserve"> with certain parts of the </w:t>
      </w:r>
      <w:r w:rsidR="00F27FDE" w:rsidRPr="00F27FDE">
        <w:rPr>
          <w:lang w:bidi="en-US"/>
        </w:rPr>
        <w:t>proposed 2018 TMDL Revisions</w:t>
      </w:r>
      <w:r w:rsidR="006246AF">
        <w:rPr>
          <w:lang w:bidi="en-US"/>
        </w:rPr>
        <w:t>; however, staff did not dis</w:t>
      </w:r>
      <w:r w:rsidR="006D1E10">
        <w:rPr>
          <w:lang w:bidi="en-US"/>
        </w:rPr>
        <w:t>agree</w:t>
      </w:r>
      <w:r w:rsidR="006246AF">
        <w:rPr>
          <w:lang w:bidi="en-US"/>
        </w:rPr>
        <w:t xml:space="preserve"> </w:t>
      </w:r>
      <w:r w:rsidR="006D1E10">
        <w:rPr>
          <w:lang w:bidi="en-US"/>
        </w:rPr>
        <w:t xml:space="preserve">that </w:t>
      </w:r>
      <w:r w:rsidR="006246AF">
        <w:rPr>
          <w:lang w:bidi="en-US"/>
        </w:rPr>
        <w:t>the 2004 TMDL</w:t>
      </w:r>
      <w:r w:rsidR="006D1E10">
        <w:rPr>
          <w:lang w:bidi="en-US"/>
        </w:rPr>
        <w:t>s</w:t>
      </w:r>
      <w:r w:rsidR="006246AF">
        <w:rPr>
          <w:lang w:bidi="en-US"/>
        </w:rPr>
        <w:t xml:space="preserve"> </w:t>
      </w:r>
      <w:r w:rsidR="00252AC1">
        <w:rPr>
          <w:lang w:bidi="en-US"/>
        </w:rPr>
        <w:t xml:space="preserve">still needed to be </w:t>
      </w:r>
      <w:r w:rsidR="006246AF">
        <w:rPr>
          <w:lang w:bidi="en-US"/>
        </w:rPr>
        <w:t xml:space="preserve">updated. </w:t>
      </w:r>
      <w:r w:rsidR="00F27FDE" w:rsidRPr="00F27FDE">
        <w:rPr>
          <w:lang w:bidi="en-US"/>
        </w:rPr>
        <w:t xml:space="preserve"> </w:t>
      </w:r>
      <w:r w:rsidR="00252AC1">
        <w:rPr>
          <w:lang w:bidi="en-US"/>
        </w:rPr>
        <w:t xml:space="preserve">Currently, </w:t>
      </w:r>
      <w:r w:rsidR="00844A10">
        <w:rPr>
          <w:lang w:bidi="en-US"/>
        </w:rPr>
        <w:t xml:space="preserve">LECL </w:t>
      </w:r>
      <w:r w:rsidR="00F27FDE" w:rsidRPr="00F27FDE">
        <w:rPr>
          <w:lang w:bidi="en-US"/>
        </w:rPr>
        <w:t>Task Force members</w:t>
      </w:r>
      <w:r w:rsidR="00252AC1">
        <w:rPr>
          <w:lang w:bidi="en-US"/>
        </w:rPr>
        <w:t>, its re</w:t>
      </w:r>
      <w:r w:rsidR="00F27FDE" w:rsidRPr="00F27FDE">
        <w:rPr>
          <w:lang w:bidi="en-US"/>
        </w:rPr>
        <w:t>presentatives, and Santa Ana Water Board staff</w:t>
      </w:r>
      <w:r w:rsidR="00252AC1">
        <w:rPr>
          <w:lang w:bidi="en-US"/>
        </w:rPr>
        <w:t xml:space="preserve"> are working collective</w:t>
      </w:r>
      <w:r w:rsidR="006D1E10">
        <w:rPr>
          <w:lang w:bidi="en-US"/>
        </w:rPr>
        <w:t>ly</w:t>
      </w:r>
      <w:r w:rsidR="00252AC1">
        <w:rPr>
          <w:lang w:bidi="en-US"/>
        </w:rPr>
        <w:t xml:space="preserve"> to revise the</w:t>
      </w:r>
      <w:r w:rsidR="00F27FDE" w:rsidRPr="00F27FDE">
        <w:rPr>
          <w:lang w:bidi="en-US"/>
        </w:rPr>
        <w:t xml:space="preserve"> proposed 2018 TMDL Revisions </w:t>
      </w:r>
      <w:r w:rsidR="00252AC1">
        <w:rPr>
          <w:lang w:bidi="en-US"/>
        </w:rPr>
        <w:t xml:space="preserve">for </w:t>
      </w:r>
      <w:r w:rsidR="006D1E10">
        <w:rPr>
          <w:lang w:bidi="en-US"/>
        </w:rPr>
        <w:t xml:space="preserve">ultimate </w:t>
      </w:r>
      <w:r w:rsidR="00252AC1">
        <w:rPr>
          <w:lang w:bidi="en-US"/>
        </w:rPr>
        <w:t xml:space="preserve">consideration </w:t>
      </w:r>
      <w:r w:rsidR="006D1E10">
        <w:rPr>
          <w:lang w:bidi="en-US"/>
        </w:rPr>
        <w:t xml:space="preserve">and hopefully approval </w:t>
      </w:r>
      <w:r w:rsidR="00252AC1">
        <w:rPr>
          <w:lang w:bidi="en-US"/>
        </w:rPr>
        <w:t>by the Santa Ana Water Board in the near future.</w:t>
      </w:r>
    </w:p>
    <w:p w14:paraId="708658B8" w14:textId="6D068460" w:rsidR="00006F07" w:rsidRDefault="00006F07" w:rsidP="00F27FDE">
      <w:pPr>
        <w:rPr>
          <w:lang w:bidi="en-US"/>
        </w:rPr>
      </w:pPr>
    </w:p>
    <w:p w14:paraId="2E1148B1" w14:textId="481F66F1" w:rsidR="00006F07" w:rsidRDefault="00006F07" w:rsidP="00F27FDE">
      <w:pPr>
        <w:rPr>
          <w:lang w:bidi="en-US"/>
        </w:rPr>
      </w:pPr>
      <w:r>
        <w:rPr>
          <w:lang w:bidi="en-US"/>
        </w:rPr>
        <w:t>Considering the history of the 2004 TMDLs</w:t>
      </w:r>
      <w:r w:rsidR="00EE3E3D">
        <w:rPr>
          <w:lang w:bidi="en-US"/>
        </w:rPr>
        <w:t xml:space="preserve">, the LECL Task Force proven track record, </w:t>
      </w:r>
      <w:r>
        <w:rPr>
          <w:lang w:bidi="en-US"/>
        </w:rPr>
        <w:t xml:space="preserve"> and ongoing significant efforts to revise the TMDLs, it is unfortunate that the Staff Working Proposal seeks to impose numeric WQBELs based on outdated WLAs rather than maintaining a BMP-based compliance option</w:t>
      </w:r>
      <w:r w:rsidR="00EE3E3D">
        <w:rPr>
          <w:lang w:bidi="en-US"/>
        </w:rPr>
        <w:t xml:space="preserve">. </w:t>
      </w:r>
      <w:r w:rsidR="005E0D4E">
        <w:rPr>
          <w:lang w:bidi="en-US"/>
        </w:rPr>
        <w:t>T</w:t>
      </w:r>
      <w:r w:rsidR="00EE3E3D">
        <w:rPr>
          <w:lang w:bidi="en-US"/>
        </w:rPr>
        <w:t xml:space="preserve">he Staff Working Proposal would </w:t>
      </w:r>
      <w:r w:rsidR="005E0D4E">
        <w:rPr>
          <w:lang w:bidi="en-US"/>
        </w:rPr>
        <w:t xml:space="preserve">arguably </w:t>
      </w:r>
      <w:r w:rsidR="00EE3E3D">
        <w:rPr>
          <w:lang w:bidi="en-US"/>
        </w:rPr>
        <w:t xml:space="preserve">undermine continued </w:t>
      </w:r>
      <w:r w:rsidR="005E0D4E">
        <w:rPr>
          <w:lang w:bidi="en-US"/>
        </w:rPr>
        <w:t>watershed-wide collaboration through the LECL Task Force.</w:t>
      </w:r>
    </w:p>
    <w:p w14:paraId="1A7859CE" w14:textId="161A03DD" w:rsidR="00252AC1" w:rsidRDefault="00252AC1" w:rsidP="00F27FDE">
      <w:pPr>
        <w:rPr>
          <w:lang w:bidi="en-US"/>
        </w:rPr>
      </w:pPr>
    </w:p>
    <w:p w14:paraId="4B4C8222" w14:textId="11BC2848" w:rsidR="007925B6" w:rsidRPr="007925B6" w:rsidRDefault="007925B6" w:rsidP="007925B6">
      <w:pPr>
        <w:pStyle w:val="ListParagraph"/>
        <w:numPr>
          <w:ilvl w:val="0"/>
          <w:numId w:val="5"/>
        </w:numPr>
        <w:rPr>
          <w:i/>
          <w:iCs/>
          <w:lang w:bidi="en-US"/>
        </w:rPr>
      </w:pPr>
      <w:r>
        <w:rPr>
          <w:i/>
          <w:iCs/>
          <w:lang w:bidi="en-US"/>
        </w:rPr>
        <w:t>Re</w:t>
      </w:r>
      <w:r w:rsidR="00C41CC3">
        <w:rPr>
          <w:i/>
          <w:iCs/>
          <w:lang w:bidi="en-US"/>
        </w:rPr>
        <w:t>quested Revisions</w:t>
      </w:r>
    </w:p>
    <w:p w14:paraId="6B39BB33" w14:textId="20CF723D" w:rsidR="005B28B8" w:rsidRDefault="005B28B8" w:rsidP="002B59F6">
      <w:pPr>
        <w:rPr>
          <w:lang w:bidi="en-US"/>
        </w:rPr>
      </w:pPr>
    </w:p>
    <w:p w14:paraId="5BB3DCDF" w14:textId="348F9BC8" w:rsidR="00C41CC3" w:rsidRDefault="006D1E10" w:rsidP="005B28B8">
      <w:pPr>
        <w:rPr>
          <w:lang w:bidi="en-US"/>
        </w:rPr>
      </w:pPr>
      <w:r>
        <w:rPr>
          <w:lang w:bidi="en-US"/>
        </w:rPr>
        <w:t>For all of the above reasons, t</w:t>
      </w:r>
      <w:r w:rsidR="00C41CC3">
        <w:rPr>
          <w:lang w:bidi="en-US"/>
        </w:rPr>
        <w:t xml:space="preserve">he </w:t>
      </w:r>
      <w:r w:rsidR="00E7140B">
        <w:rPr>
          <w:lang w:bidi="en-US"/>
        </w:rPr>
        <w:t xml:space="preserve">LECL </w:t>
      </w:r>
      <w:r w:rsidR="00C41CC3">
        <w:rPr>
          <w:lang w:bidi="en-US"/>
        </w:rPr>
        <w:t>Task Force recommends that t</w:t>
      </w:r>
      <w:r w:rsidR="005B28B8">
        <w:rPr>
          <w:lang w:bidi="en-US"/>
        </w:rPr>
        <w:t xml:space="preserve">he </w:t>
      </w:r>
      <w:r>
        <w:rPr>
          <w:lang w:bidi="en-US"/>
        </w:rPr>
        <w:t xml:space="preserve">Staff Working Proposal language </w:t>
      </w:r>
      <w:r w:rsidR="005B28B8">
        <w:rPr>
          <w:lang w:bidi="en-US"/>
        </w:rPr>
        <w:t xml:space="preserve">be revised </w:t>
      </w:r>
      <w:r w:rsidR="00C41CC3">
        <w:rPr>
          <w:lang w:bidi="en-US"/>
        </w:rPr>
        <w:t>as follows:</w:t>
      </w:r>
    </w:p>
    <w:p w14:paraId="4B7AB608" w14:textId="3DA63BAE" w:rsidR="00C41CC3" w:rsidRDefault="00C41CC3" w:rsidP="005B28B8">
      <w:pPr>
        <w:rPr>
          <w:lang w:bidi="en-US"/>
        </w:rPr>
      </w:pPr>
    </w:p>
    <w:p w14:paraId="2D4C55D5" w14:textId="04581F1A" w:rsidR="00C41CC3" w:rsidRDefault="00C41CC3" w:rsidP="00C41CC3">
      <w:pPr>
        <w:pStyle w:val="ListParagraph"/>
        <w:numPr>
          <w:ilvl w:val="0"/>
          <w:numId w:val="6"/>
        </w:numPr>
        <w:rPr>
          <w:lang w:bidi="en-US"/>
        </w:rPr>
      </w:pPr>
      <w:r>
        <w:rPr>
          <w:lang w:bidi="en-US"/>
        </w:rPr>
        <w:t>Remove numeric WQBELs that are based on urban runoff and septic system WLAs and LAs</w:t>
      </w:r>
      <w:r w:rsidR="00F90990">
        <w:rPr>
          <w:lang w:bidi="en-US"/>
        </w:rPr>
        <w:t xml:space="preserve">, respectively, </w:t>
      </w:r>
      <w:r>
        <w:rPr>
          <w:lang w:bidi="en-US"/>
        </w:rPr>
        <w:t>as expressed in the Canyon Lake and Lake Elsinore TMDLs</w:t>
      </w:r>
      <w:r w:rsidR="00F90990">
        <w:rPr>
          <w:lang w:bidi="en-US"/>
        </w:rPr>
        <w:t>;</w:t>
      </w:r>
    </w:p>
    <w:p w14:paraId="70BDDD6A" w14:textId="7AAC835B" w:rsidR="00F90990" w:rsidRDefault="00F90990" w:rsidP="00C41CC3">
      <w:pPr>
        <w:pStyle w:val="ListParagraph"/>
        <w:numPr>
          <w:ilvl w:val="0"/>
          <w:numId w:val="6"/>
        </w:numPr>
        <w:rPr>
          <w:lang w:bidi="en-US"/>
        </w:rPr>
      </w:pPr>
      <w:r>
        <w:rPr>
          <w:lang w:bidi="en-US"/>
        </w:rPr>
        <w:t>To the extent WQBELs are necessary, express them as BMP-based so that compliance can be achieved through actions;</w:t>
      </w:r>
    </w:p>
    <w:p w14:paraId="47384307" w14:textId="0B7872E0" w:rsidR="00A66DEC" w:rsidRDefault="00A66DEC" w:rsidP="00C41CC3">
      <w:pPr>
        <w:pStyle w:val="ListParagraph"/>
        <w:numPr>
          <w:ilvl w:val="0"/>
          <w:numId w:val="6"/>
        </w:numPr>
        <w:rPr>
          <w:lang w:bidi="en-US"/>
        </w:rPr>
      </w:pPr>
      <w:r>
        <w:rPr>
          <w:lang w:bidi="en-US"/>
        </w:rPr>
        <w:t>Recognize LECL Task Force participation as part of BMP-based compliance;</w:t>
      </w:r>
    </w:p>
    <w:p w14:paraId="37F4FB36" w14:textId="4130C370" w:rsidR="005B25E2" w:rsidRDefault="00F90990" w:rsidP="005B28B8">
      <w:pPr>
        <w:pStyle w:val="ListParagraph"/>
        <w:numPr>
          <w:ilvl w:val="0"/>
          <w:numId w:val="6"/>
        </w:numPr>
        <w:rPr>
          <w:lang w:bidi="en-US"/>
        </w:rPr>
      </w:pPr>
      <w:r>
        <w:rPr>
          <w:lang w:bidi="en-US"/>
        </w:rPr>
        <w:t xml:space="preserve">Recognize and allow the MS4s to </w:t>
      </w:r>
      <w:r w:rsidR="005B25E2">
        <w:rPr>
          <w:lang w:bidi="en-US"/>
        </w:rPr>
        <w:t xml:space="preserve">demonstrate achievement of meeting TMDLs through the aggregation of all </w:t>
      </w:r>
      <w:r w:rsidR="005B28B8">
        <w:rPr>
          <w:lang w:bidi="en-US"/>
        </w:rPr>
        <w:t>watershed sources as compared to the total allocated watershed load in the 2004 LE/CL TMDL</w:t>
      </w:r>
      <w:r w:rsidR="006D1E10">
        <w:rPr>
          <w:lang w:bidi="en-US"/>
        </w:rPr>
        <w:t>s</w:t>
      </w:r>
      <w:r w:rsidR="005B28B8">
        <w:rPr>
          <w:lang w:bidi="en-US"/>
        </w:rPr>
        <w:t xml:space="preserve"> (minus in-lake offsets)</w:t>
      </w:r>
      <w:r w:rsidR="005B25E2">
        <w:rPr>
          <w:lang w:bidi="en-US"/>
        </w:rPr>
        <w:t>;</w:t>
      </w:r>
    </w:p>
    <w:p w14:paraId="2F361528" w14:textId="43ADDAF2" w:rsidR="005B25E2" w:rsidRDefault="005B25E2" w:rsidP="005B28B8">
      <w:pPr>
        <w:pStyle w:val="ListParagraph"/>
        <w:numPr>
          <w:ilvl w:val="0"/>
          <w:numId w:val="6"/>
        </w:numPr>
        <w:rPr>
          <w:lang w:bidi="en-US"/>
        </w:rPr>
      </w:pPr>
      <w:r>
        <w:rPr>
          <w:lang w:bidi="en-US"/>
        </w:rPr>
        <w:t>Specifically allow for the use of existing in-lake offsets such as alum application in Canyon Lake and operation of LEAMS;</w:t>
      </w:r>
    </w:p>
    <w:p w14:paraId="66480CC3" w14:textId="1D45232B" w:rsidR="00CF2A45" w:rsidRDefault="005B25E2" w:rsidP="00CF2A45">
      <w:pPr>
        <w:pStyle w:val="ListParagraph"/>
        <w:numPr>
          <w:ilvl w:val="0"/>
          <w:numId w:val="6"/>
        </w:numPr>
        <w:rPr>
          <w:lang w:bidi="en-US"/>
        </w:rPr>
      </w:pPr>
      <w:r>
        <w:rPr>
          <w:lang w:bidi="en-US"/>
        </w:rPr>
        <w:t>Allow for the use of new in-lake offsets, as approved by the Santa Ana Water Board’s executive officer;</w:t>
      </w:r>
      <w:r w:rsidR="00CF2A45">
        <w:rPr>
          <w:lang w:bidi="en-US"/>
        </w:rPr>
        <w:t xml:space="preserve"> and, </w:t>
      </w:r>
    </w:p>
    <w:p w14:paraId="515E586A" w14:textId="2375E476" w:rsidR="005B28B8" w:rsidRPr="004223FD" w:rsidRDefault="005B25E2" w:rsidP="002B59F6">
      <w:pPr>
        <w:pStyle w:val="ListParagraph"/>
        <w:numPr>
          <w:ilvl w:val="0"/>
          <w:numId w:val="6"/>
        </w:numPr>
        <w:rPr>
          <w:lang w:bidi="en-US"/>
        </w:rPr>
      </w:pPr>
      <w:r>
        <w:rPr>
          <w:lang w:bidi="en-US"/>
        </w:rPr>
        <w:t xml:space="preserve">Add language to Appendix 11 that identifies the ongoing process for revision of the 2004 </w:t>
      </w:r>
      <w:r w:rsidR="00CF2A45">
        <w:rPr>
          <w:lang w:bidi="en-US"/>
        </w:rPr>
        <w:t>LE/CL TMDL and recognize that Appendix 11 will need to be updated or replaced when a newly revised TMDL goes into effect</w:t>
      </w:r>
      <w:r w:rsidR="005B28B8">
        <w:rPr>
          <w:lang w:bidi="en-US"/>
        </w:rPr>
        <w:t xml:space="preserve">. </w:t>
      </w:r>
    </w:p>
    <w:p w14:paraId="4D77EFFF" w14:textId="77777777" w:rsidR="00AF4F44" w:rsidRPr="00AF4F44" w:rsidRDefault="00AF4F44" w:rsidP="00AF4F44">
      <w:pPr>
        <w:rPr>
          <w:b/>
          <w:bCs/>
          <w:lang w:bidi="en-US"/>
        </w:rPr>
      </w:pPr>
    </w:p>
    <w:p w14:paraId="22E68BBB" w14:textId="01DA5CD8" w:rsidR="007925B6" w:rsidRPr="00F27FDE" w:rsidRDefault="00CF2A45" w:rsidP="007925B6">
      <w:pPr>
        <w:rPr>
          <w:lang w:bidi="en-US"/>
        </w:rPr>
      </w:pPr>
      <w:r>
        <w:rPr>
          <w:lang w:bidi="en-US"/>
        </w:rPr>
        <w:t>In summary</w:t>
      </w:r>
      <w:r w:rsidR="007925B6">
        <w:rPr>
          <w:lang w:bidi="en-US"/>
        </w:rPr>
        <w:t xml:space="preserve">, the LECL Task Force encourages Santa Ana Water Board staff to revise Appendix 11 and other </w:t>
      </w:r>
      <w:r w:rsidR="001611CD">
        <w:rPr>
          <w:lang w:bidi="en-US"/>
        </w:rPr>
        <w:t xml:space="preserve">Staff Working Proposal </w:t>
      </w:r>
      <w:r w:rsidR="007925B6">
        <w:rPr>
          <w:lang w:bidi="en-US"/>
        </w:rPr>
        <w:t xml:space="preserve">provisions as necessary to </w:t>
      </w:r>
      <w:r w:rsidR="001611CD">
        <w:rPr>
          <w:lang w:bidi="en-US"/>
        </w:rPr>
        <w:t>promote</w:t>
      </w:r>
      <w:r w:rsidR="007925B6">
        <w:rPr>
          <w:lang w:bidi="en-US"/>
        </w:rPr>
        <w:t xml:space="preserve"> continuation of BMP-based compliance for </w:t>
      </w:r>
      <w:r w:rsidR="001611CD">
        <w:rPr>
          <w:lang w:bidi="en-US"/>
        </w:rPr>
        <w:t xml:space="preserve">the LE/CL </w:t>
      </w:r>
      <w:r w:rsidR="007925B6">
        <w:rPr>
          <w:lang w:bidi="en-US"/>
        </w:rPr>
        <w:t>TMDLs with deadlines that have already passed, allow for the aggregation of all watershed sources to be compared to the total of allowed loads to determine if TMDLs are being achieved, and allow for the continued use of in-lake offsets to offset watershed loads.</w:t>
      </w:r>
      <w:r>
        <w:rPr>
          <w:lang w:bidi="en-US"/>
        </w:rPr>
        <w:t xml:space="preserve"> F</w:t>
      </w:r>
      <w:r w:rsidR="001611CD">
        <w:rPr>
          <w:lang w:bidi="en-US"/>
        </w:rPr>
        <w:t>inally, the ultimate permit language</w:t>
      </w:r>
      <w:r>
        <w:rPr>
          <w:lang w:bidi="en-US"/>
        </w:rPr>
        <w:t xml:space="preserve"> needs to recognize and identify the ongoing efforts to revise the outdated 2004 LE/CL TMDL</w:t>
      </w:r>
      <w:r w:rsidR="001611CD">
        <w:rPr>
          <w:lang w:bidi="en-US"/>
        </w:rPr>
        <w:t>s</w:t>
      </w:r>
      <w:r>
        <w:rPr>
          <w:lang w:bidi="en-US"/>
        </w:rPr>
        <w:t>.</w:t>
      </w:r>
    </w:p>
    <w:p w14:paraId="7C1F65D1" w14:textId="56BB8B39" w:rsidR="00AF4F44" w:rsidRDefault="00AF4F44" w:rsidP="00AF4F44">
      <w:pPr>
        <w:rPr>
          <w:b/>
          <w:bCs/>
          <w:lang w:bidi="en-US"/>
        </w:rPr>
      </w:pPr>
    </w:p>
    <w:p w14:paraId="73D8DD53" w14:textId="77777777" w:rsidR="00AF4F44" w:rsidRPr="00AF4F44" w:rsidRDefault="00AF4F44" w:rsidP="00AF4F44">
      <w:pPr>
        <w:rPr>
          <w:b/>
          <w:bCs/>
          <w:lang w:bidi="en-US"/>
        </w:rPr>
      </w:pPr>
    </w:p>
    <w:p w14:paraId="7B7D8ED1" w14:textId="77777777" w:rsidR="00854641" w:rsidRPr="00854641" w:rsidRDefault="00854641" w:rsidP="00854641">
      <w:pPr>
        <w:rPr>
          <w:lang w:bidi="en-US"/>
        </w:rPr>
      </w:pPr>
    </w:p>
    <w:p w14:paraId="0E55E832" w14:textId="77777777" w:rsidR="001D6183" w:rsidRPr="00247F87" w:rsidRDefault="001D6183" w:rsidP="00247F87">
      <w:pPr>
        <w:rPr>
          <w:lang w:bidi="en-US"/>
        </w:rPr>
      </w:pPr>
    </w:p>
    <w:sectPr w:rsidR="001D6183" w:rsidRPr="00247F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A0E5" w14:textId="77777777" w:rsidR="00232849" w:rsidRDefault="00232849" w:rsidP="00854641">
      <w:r>
        <w:separator/>
      </w:r>
    </w:p>
  </w:endnote>
  <w:endnote w:type="continuationSeparator" w:id="0">
    <w:p w14:paraId="082822AE" w14:textId="77777777" w:rsidR="00232849" w:rsidRDefault="00232849" w:rsidP="0085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CD00" w14:textId="77777777" w:rsidR="00AB57AA" w:rsidRDefault="00AB5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06F1" w14:textId="13487C30" w:rsidR="00D62832" w:rsidRPr="00AB57AA" w:rsidRDefault="007A5E9C" w:rsidP="00AB57AA">
    <w:pPr>
      <w:pStyle w:val="Footer"/>
    </w:pPr>
    <w:r>
      <w:rPr>
        <w:noProof/>
      </w:rPr>
      <w:t>{00010274.1}</w:t>
    </w:r>
    <w:r w:rsidR="00AB57AA">
      <w:tab/>
    </w:r>
    <w:sdt>
      <w:sdtPr>
        <w:id w:val="7798083"/>
        <w:docPartObj>
          <w:docPartGallery w:val="Page Numbers (Bottom of Page)"/>
          <w:docPartUnique/>
        </w:docPartObj>
      </w:sdtPr>
      <w:sdtEndPr>
        <w:rPr>
          <w:noProof/>
        </w:rPr>
      </w:sdtEndPr>
      <w:sdtContent>
        <w:r w:rsidR="00D62832" w:rsidRPr="00AB57AA">
          <w:fldChar w:fldCharType="begin"/>
        </w:r>
        <w:r w:rsidR="00D62832" w:rsidRPr="00AB57AA">
          <w:instrText xml:space="preserve"> PAGE   \* MERGEFORMAT </w:instrText>
        </w:r>
        <w:r w:rsidR="00D62832" w:rsidRPr="00AB57AA">
          <w:fldChar w:fldCharType="separate"/>
        </w:r>
        <w:r w:rsidR="00D62832" w:rsidRPr="00AB57AA">
          <w:rPr>
            <w:noProof/>
          </w:rPr>
          <w:t>2</w:t>
        </w:r>
        <w:r w:rsidR="00D62832" w:rsidRPr="00AB57AA">
          <w:rPr>
            <w:noProof/>
          </w:rPr>
          <w:fldChar w:fldCharType="end"/>
        </w:r>
      </w:sdtContent>
    </w:sdt>
  </w:p>
  <w:p w14:paraId="50D10D9E" w14:textId="77777777" w:rsidR="00D62832" w:rsidRPr="00AB57AA" w:rsidRDefault="00D62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C595" w14:textId="77777777" w:rsidR="00AB57AA" w:rsidRDefault="00AB5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02AC" w14:textId="77777777" w:rsidR="00232849" w:rsidRDefault="00232849" w:rsidP="00854641">
      <w:pPr>
        <w:rPr>
          <w:noProof/>
        </w:rPr>
      </w:pPr>
      <w:r>
        <w:rPr>
          <w:noProof/>
        </w:rPr>
        <w:separator/>
      </w:r>
    </w:p>
  </w:footnote>
  <w:footnote w:type="continuationSeparator" w:id="0">
    <w:p w14:paraId="5E5FAC44" w14:textId="77777777" w:rsidR="00232849" w:rsidRDefault="00232849" w:rsidP="00854641">
      <w:r>
        <w:continuationSeparator/>
      </w:r>
    </w:p>
  </w:footnote>
  <w:footnote w:id="1">
    <w:p w14:paraId="6025D87B" w14:textId="634A4720" w:rsidR="00D403BD" w:rsidRDefault="00D403BD">
      <w:pPr>
        <w:pStyle w:val="FootnoteText"/>
      </w:pPr>
      <w:r>
        <w:rPr>
          <w:rStyle w:val="FootnoteReference"/>
        </w:rPr>
        <w:footnoteRef/>
      </w:r>
      <w:r>
        <w:t xml:space="preserve"> The 2020 Compliance Assessment Report was first submitted </w:t>
      </w:r>
      <w:r w:rsidR="007E321B">
        <w:t>in December 2020 to meet a compliance deadline expressed in the Comprehensive Nutrient Reduction Plan. It was then subsequently updated with final data from 2020 and resubmitted as a Final Report in April of 2021.</w:t>
      </w:r>
    </w:p>
  </w:footnote>
  <w:footnote w:id="2">
    <w:p w14:paraId="7D80A565" w14:textId="24472D4A" w:rsidR="00854641" w:rsidRDefault="00854641" w:rsidP="00854641">
      <w:r>
        <w:rPr>
          <w:rStyle w:val="FootnoteReference"/>
        </w:rPr>
        <w:footnoteRef/>
      </w:r>
      <w:r>
        <w:t xml:space="preserve"> </w:t>
      </w:r>
      <w:r w:rsidRPr="00B33B0C">
        <w:rPr>
          <w:sz w:val="20"/>
          <w:szCs w:val="20"/>
        </w:rPr>
        <w:t>The LECL Task Force members currently include: Riverside County, City of Beaumont, City of Canyon Lake, City of Hemet, City of Lake Elsinore, City of Moreno Valley, City of Murrieta, City of Menifee, City of San Jacinto, City of Riverside, City of Perris, City of Wildomar, Caltrans, California Department of Fish and Wildlife, Elsinore Valley Municipal Water District, March Air Force Reserve Joint Powers Authority, U.S. Air Force March Air Force Base, California Department of Transportation</w:t>
      </w:r>
      <w:r w:rsidR="003D07F8">
        <w:rPr>
          <w:sz w:val="20"/>
          <w:szCs w:val="20"/>
        </w:rPr>
        <w:t>,</w:t>
      </w:r>
      <w:r w:rsidRPr="00B33B0C">
        <w:rPr>
          <w:sz w:val="20"/>
          <w:szCs w:val="20"/>
        </w:rPr>
        <w:t xml:space="preserve"> Eastern Municipal Water District, San Jacinto Agricultural Operators and San Jacinto Dairy and CAFO Operators. The United States Forest Service was a member previously but has withdrawn its LECL Task Force membership.</w:t>
      </w:r>
    </w:p>
  </w:footnote>
  <w:footnote w:id="3">
    <w:p w14:paraId="4B561F6F" w14:textId="77777777" w:rsidR="00854641" w:rsidRPr="00B33B0C" w:rsidRDefault="00854641" w:rsidP="00854641">
      <w:pPr>
        <w:rPr>
          <w:sz w:val="20"/>
          <w:szCs w:val="20"/>
        </w:rPr>
      </w:pPr>
      <w:r w:rsidRPr="00B33B0C">
        <w:rPr>
          <w:rStyle w:val="FootnoteReference"/>
          <w:sz w:val="20"/>
          <w:szCs w:val="20"/>
        </w:rPr>
        <w:footnoteRef/>
      </w:r>
      <w:r w:rsidRPr="00B33B0C">
        <w:rPr>
          <w:sz w:val="20"/>
          <w:szCs w:val="20"/>
        </w:rPr>
        <w:t xml:space="preserve"> See: </w:t>
      </w:r>
      <w:hyperlink r:id="rId1" w:history="1">
        <w:r w:rsidRPr="00B33B0C">
          <w:rPr>
            <w:rStyle w:val="Hyperlink"/>
            <w:sz w:val="20"/>
            <w:szCs w:val="20"/>
          </w:rPr>
          <w:t>http://www.sawpa.org/collaboration/projects/lake-elsinore-canyon-lake-tmdl-task-force/</w:t>
        </w:r>
      </w:hyperlink>
    </w:p>
  </w:footnote>
  <w:footnote w:id="4">
    <w:p w14:paraId="09461853" w14:textId="78BF4F92" w:rsidR="007B0332" w:rsidRPr="004F4B04" w:rsidRDefault="007B0332" w:rsidP="007B0332">
      <w:r>
        <w:rPr>
          <w:rStyle w:val="FootnoteReference"/>
        </w:rPr>
        <w:footnoteRef/>
      </w:r>
      <w:r>
        <w:t xml:space="preserve"> See Section 3.3.1 of the CNRP for </w:t>
      </w:r>
      <w:r w:rsidR="0041147C">
        <w:t xml:space="preserve">a </w:t>
      </w:r>
      <w:r>
        <w:t>detailed description of the model approach.</w:t>
      </w:r>
    </w:p>
  </w:footnote>
  <w:footnote w:id="5">
    <w:p w14:paraId="611FD27C" w14:textId="77777777" w:rsidR="007B0332" w:rsidRPr="003A2521" w:rsidRDefault="007B0332" w:rsidP="007B0332">
      <w:pPr>
        <w:pStyle w:val="FootnoteText"/>
        <w:rPr>
          <w:sz w:val="17"/>
          <w:szCs w:val="17"/>
        </w:rPr>
      </w:pPr>
      <w:r>
        <w:rPr>
          <w:rStyle w:val="FootnoteReference"/>
        </w:rPr>
        <w:footnoteRef/>
      </w:r>
      <w:r>
        <w:t xml:space="preserve"> </w:t>
      </w:r>
      <w:r>
        <w:rPr>
          <w:sz w:val="17"/>
          <w:szCs w:val="17"/>
        </w:rPr>
        <w:t>See Section 3.3.2 of the CNRP for a detailed description of the assumptions employed to estimate load reductions from post construction stormwater BMPs in WQMPs.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AF18" w14:textId="77777777" w:rsidR="00AB57AA" w:rsidRDefault="00AB5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669B" w14:textId="77777777" w:rsidR="00AB57AA" w:rsidRDefault="00AB5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1A30" w14:textId="77777777" w:rsidR="00AB57AA" w:rsidRDefault="00AB5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C9"/>
    <w:multiLevelType w:val="hybridMultilevel"/>
    <w:tmpl w:val="DCA0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B5F27"/>
    <w:multiLevelType w:val="hybridMultilevel"/>
    <w:tmpl w:val="58F07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9C5102"/>
    <w:multiLevelType w:val="hybridMultilevel"/>
    <w:tmpl w:val="01186AB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416A4ED2"/>
    <w:multiLevelType w:val="hybridMultilevel"/>
    <w:tmpl w:val="36FCAB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515B4D4A"/>
    <w:multiLevelType w:val="hybridMultilevel"/>
    <w:tmpl w:val="B4E8D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93B5F"/>
    <w:multiLevelType w:val="multilevel"/>
    <w:tmpl w:val="B098322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49C498D"/>
    <w:multiLevelType w:val="hybridMultilevel"/>
    <w:tmpl w:val="DD5A8AA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7EC76BE5"/>
    <w:multiLevelType w:val="hybridMultilevel"/>
    <w:tmpl w:val="6C0EF398"/>
    <w:lvl w:ilvl="0" w:tplc="741E081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127410">
    <w:abstractNumId w:val="5"/>
  </w:num>
  <w:num w:numId="2" w16cid:durableId="174803733">
    <w:abstractNumId w:val="0"/>
  </w:num>
  <w:num w:numId="3" w16cid:durableId="696007234">
    <w:abstractNumId w:val="1"/>
  </w:num>
  <w:num w:numId="4" w16cid:durableId="1768886703">
    <w:abstractNumId w:val="4"/>
  </w:num>
  <w:num w:numId="5" w16cid:durableId="137647210">
    <w:abstractNumId w:val="7"/>
  </w:num>
  <w:num w:numId="6" w16cid:durableId="1378360775">
    <w:abstractNumId w:val="6"/>
  </w:num>
  <w:num w:numId="7" w16cid:durableId="1273899929">
    <w:abstractNumId w:val="2"/>
  </w:num>
  <w:num w:numId="8" w16cid:durableId="801582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9D"/>
    <w:rsid w:val="00006F07"/>
    <w:rsid w:val="00010A41"/>
    <w:rsid w:val="00012CAB"/>
    <w:rsid w:val="00015956"/>
    <w:rsid w:val="00030928"/>
    <w:rsid w:val="00030D23"/>
    <w:rsid w:val="00036A24"/>
    <w:rsid w:val="00041431"/>
    <w:rsid w:val="0004145B"/>
    <w:rsid w:val="0006600C"/>
    <w:rsid w:val="00066979"/>
    <w:rsid w:val="000B30D2"/>
    <w:rsid w:val="000B62D6"/>
    <w:rsid w:val="000B6E3B"/>
    <w:rsid w:val="000C57AB"/>
    <w:rsid w:val="000E1256"/>
    <w:rsid w:val="000E3336"/>
    <w:rsid w:val="00107300"/>
    <w:rsid w:val="001611CD"/>
    <w:rsid w:val="001854AF"/>
    <w:rsid w:val="001D1977"/>
    <w:rsid w:val="001D2068"/>
    <w:rsid w:val="001D6183"/>
    <w:rsid w:val="001E5838"/>
    <w:rsid w:val="0021110C"/>
    <w:rsid w:val="00232849"/>
    <w:rsid w:val="0023307C"/>
    <w:rsid w:val="00233167"/>
    <w:rsid w:val="00247F87"/>
    <w:rsid w:val="00251345"/>
    <w:rsid w:val="00252AC1"/>
    <w:rsid w:val="002959F4"/>
    <w:rsid w:val="002A3381"/>
    <w:rsid w:val="002A6C8C"/>
    <w:rsid w:val="002B59F6"/>
    <w:rsid w:val="002C1584"/>
    <w:rsid w:val="002E7647"/>
    <w:rsid w:val="003319D7"/>
    <w:rsid w:val="00332EE1"/>
    <w:rsid w:val="00340D79"/>
    <w:rsid w:val="00345D0F"/>
    <w:rsid w:val="0035120A"/>
    <w:rsid w:val="00357FBD"/>
    <w:rsid w:val="003623D2"/>
    <w:rsid w:val="0037030A"/>
    <w:rsid w:val="00372183"/>
    <w:rsid w:val="00377F24"/>
    <w:rsid w:val="00381103"/>
    <w:rsid w:val="003A63EC"/>
    <w:rsid w:val="003B0556"/>
    <w:rsid w:val="003B23E2"/>
    <w:rsid w:val="003D07F8"/>
    <w:rsid w:val="003D0AA4"/>
    <w:rsid w:val="003D10C6"/>
    <w:rsid w:val="003D557A"/>
    <w:rsid w:val="003E5758"/>
    <w:rsid w:val="0040182E"/>
    <w:rsid w:val="00406F89"/>
    <w:rsid w:val="0041147C"/>
    <w:rsid w:val="00413FE2"/>
    <w:rsid w:val="004223FD"/>
    <w:rsid w:val="00461F51"/>
    <w:rsid w:val="004635D2"/>
    <w:rsid w:val="00465D15"/>
    <w:rsid w:val="004A1518"/>
    <w:rsid w:val="004C68FE"/>
    <w:rsid w:val="004E5FE7"/>
    <w:rsid w:val="004F508C"/>
    <w:rsid w:val="0051449E"/>
    <w:rsid w:val="00536642"/>
    <w:rsid w:val="00542C6D"/>
    <w:rsid w:val="00556E31"/>
    <w:rsid w:val="005B25E2"/>
    <w:rsid w:val="005B28B8"/>
    <w:rsid w:val="005D3F74"/>
    <w:rsid w:val="005D4DEE"/>
    <w:rsid w:val="005E0D4E"/>
    <w:rsid w:val="006063B9"/>
    <w:rsid w:val="00612ADC"/>
    <w:rsid w:val="00617FD5"/>
    <w:rsid w:val="00621245"/>
    <w:rsid w:val="0062375E"/>
    <w:rsid w:val="006246AF"/>
    <w:rsid w:val="00626337"/>
    <w:rsid w:val="006264AD"/>
    <w:rsid w:val="00641B86"/>
    <w:rsid w:val="00670806"/>
    <w:rsid w:val="006818E1"/>
    <w:rsid w:val="006879E4"/>
    <w:rsid w:val="00694ADC"/>
    <w:rsid w:val="006A5BA2"/>
    <w:rsid w:val="006D1E10"/>
    <w:rsid w:val="007058EA"/>
    <w:rsid w:val="00705A06"/>
    <w:rsid w:val="00742D96"/>
    <w:rsid w:val="00744F6C"/>
    <w:rsid w:val="00751A9E"/>
    <w:rsid w:val="00757930"/>
    <w:rsid w:val="0076369A"/>
    <w:rsid w:val="00776552"/>
    <w:rsid w:val="007925B6"/>
    <w:rsid w:val="00795D6A"/>
    <w:rsid w:val="007A0F7A"/>
    <w:rsid w:val="007A5E9C"/>
    <w:rsid w:val="007B0332"/>
    <w:rsid w:val="007C7F5F"/>
    <w:rsid w:val="007D0740"/>
    <w:rsid w:val="007E321B"/>
    <w:rsid w:val="007E7A37"/>
    <w:rsid w:val="007F52DC"/>
    <w:rsid w:val="007F602A"/>
    <w:rsid w:val="00821D04"/>
    <w:rsid w:val="00844A10"/>
    <w:rsid w:val="00854641"/>
    <w:rsid w:val="00856DB8"/>
    <w:rsid w:val="0086407D"/>
    <w:rsid w:val="008665B3"/>
    <w:rsid w:val="00876875"/>
    <w:rsid w:val="00877BD9"/>
    <w:rsid w:val="00882F3C"/>
    <w:rsid w:val="008B2169"/>
    <w:rsid w:val="008D2208"/>
    <w:rsid w:val="0092453F"/>
    <w:rsid w:val="00925458"/>
    <w:rsid w:val="00934183"/>
    <w:rsid w:val="00972E6A"/>
    <w:rsid w:val="00990628"/>
    <w:rsid w:val="00997A30"/>
    <w:rsid w:val="009B0154"/>
    <w:rsid w:val="009B1312"/>
    <w:rsid w:val="009D5AAB"/>
    <w:rsid w:val="009E047B"/>
    <w:rsid w:val="00A00E5A"/>
    <w:rsid w:val="00A0103D"/>
    <w:rsid w:val="00A3672A"/>
    <w:rsid w:val="00A46F55"/>
    <w:rsid w:val="00A625D4"/>
    <w:rsid w:val="00A66DEC"/>
    <w:rsid w:val="00A82A92"/>
    <w:rsid w:val="00AA17E0"/>
    <w:rsid w:val="00AA5481"/>
    <w:rsid w:val="00AB1ABB"/>
    <w:rsid w:val="00AB524D"/>
    <w:rsid w:val="00AB57AA"/>
    <w:rsid w:val="00AC4AD0"/>
    <w:rsid w:val="00AD45EB"/>
    <w:rsid w:val="00AE02BE"/>
    <w:rsid w:val="00AE327F"/>
    <w:rsid w:val="00AF4F44"/>
    <w:rsid w:val="00B02782"/>
    <w:rsid w:val="00B1549D"/>
    <w:rsid w:val="00B33B0C"/>
    <w:rsid w:val="00B453D7"/>
    <w:rsid w:val="00B51200"/>
    <w:rsid w:val="00B518F3"/>
    <w:rsid w:val="00B56201"/>
    <w:rsid w:val="00BB2827"/>
    <w:rsid w:val="00BC568E"/>
    <w:rsid w:val="00BF0CA5"/>
    <w:rsid w:val="00BF10B0"/>
    <w:rsid w:val="00BF196F"/>
    <w:rsid w:val="00C23052"/>
    <w:rsid w:val="00C32AF0"/>
    <w:rsid w:val="00C41CC3"/>
    <w:rsid w:val="00C551F0"/>
    <w:rsid w:val="00C70BD3"/>
    <w:rsid w:val="00C823BF"/>
    <w:rsid w:val="00CA56E1"/>
    <w:rsid w:val="00CC6207"/>
    <w:rsid w:val="00CE588F"/>
    <w:rsid w:val="00CE6A50"/>
    <w:rsid w:val="00CF2954"/>
    <w:rsid w:val="00CF2A45"/>
    <w:rsid w:val="00D403BD"/>
    <w:rsid w:val="00D60751"/>
    <w:rsid w:val="00D62832"/>
    <w:rsid w:val="00DA02DA"/>
    <w:rsid w:val="00DC08B8"/>
    <w:rsid w:val="00E0464E"/>
    <w:rsid w:val="00E14895"/>
    <w:rsid w:val="00E23F11"/>
    <w:rsid w:val="00E24B37"/>
    <w:rsid w:val="00E530E4"/>
    <w:rsid w:val="00E7140B"/>
    <w:rsid w:val="00E9204F"/>
    <w:rsid w:val="00E97999"/>
    <w:rsid w:val="00EB6C80"/>
    <w:rsid w:val="00EE3E3D"/>
    <w:rsid w:val="00F04484"/>
    <w:rsid w:val="00F23FF9"/>
    <w:rsid w:val="00F2415E"/>
    <w:rsid w:val="00F26D50"/>
    <w:rsid w:val="00F27FDE"/>
    <w:rsid w:val="00F45958"/>
    <w:rsid w:val="00F50264"/>
    <w:rsid w:val="00F5756A"/>
    <w:rsid w:val="00F73F4E"/>
    <w:rsid w:val="00F82D3C"/>
    <w:rsid w:val="00F90990"/>
    <w:rsid w:val="00FA4038"/>
    <w:rsid w:val="00FD28ED"/>
    <w:rsid w:val="00FD3243"/>
    <w:rsid w:val="00FD3E53"/>
    <w:rsid w:val="00FD5956"/>
    <w:rsid w:val="00FE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7035"/>
  <w15:chartTrackingRefBased/>
  <w15:docId w15:val="{1C5B05C6-244E-44C8-B0FB-383E4E77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49D"/>
    <w:rPr>
      <w:color w:val="0563C1" w:themeColor="hyperlink"/>
      <w:u w:val="single"/>
    </w:rPr>
  </w:style>
  <w:style w:type="table" w:styleId="TableGrid">
    <w:name w:val="Table Grid"/>
    <w:basedOn w:val="TableNormal"/>
    <w:uiPriority w:val="39"/>
    <w:rsid w:val="0024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999"/>
    <w:pPr>
      <w:ind w:left="720"/>
      <w:contextualSpacing/>
    </w:pPr>
  </w:style>
  <w:style w:type="character" w:styleId="FootnoteReference">
    <w:name w:val="footnote reference"/>
    <w:basedOn w:val="DefaultParagraphFont"/>
    <w:uiPriority w:val="99"/>
    <w:semiHidden/>
    <w:rsid w:val="00854641"/>
    <w:rPr>
      <w:vertAlign w:val="superscript"/>
    </w:rPr>
  </w:style>
  <w:style w:type="paragraph" w:styleId="FootnoteText">
    <w:name w:val="footnote text"/>
    <w:basedOn w:val="Normal"/>
    <w:link w:val="FootnoteTextChar"/>
    <w:uiPriority w:val="99"/>
    <w:semiHidden/>
    <w:unhideWhenUsed/>
    <w:rsid w:val="007B0332"/>
    <w:rPr>
      <w:sz w:val="20"/>
      <w:szCs w:val="20"/>
    </w:rPr>
  </w:style>
  <w:style w:type="character" w:customStyle="1" w:styleId="FootnoteTextChar">
    <w:name w:val="Footnote Text Char"/>
    <w:basedOn w:val="DefaultParagraphFont"/>
    <w:link w:val="FootnoteText"/>
    <w:uiPriority w:val="99"/>
    <w:semiHidden/>
    <w:rsid w:val="007B0332"/>
    <w:rPr>
      <w:sz w:val="20"/>
      <w:szCs w:val="20"/>
    </w:rPr>
  </w:style>
  <w:style w:type="paragraph" w:styleId="Header">
    <w:name w:val="header"/>
    <w:basedOn w:val="Normal"/>
    <w:link w:val="HeaderChar"/>
    <w:uiPriority w:val="99"/>
    <w:unhideWhenUsed/>
    <w:rsid w:val="00D62832"/>
    <w:pPr>
      <w:tabs>
        <w:tab w:val="center" w:pos="4680"/>
        <w:tab w:val="right" w:pos="9360"/>
      </w:tabs>
    </w:pPr>
  </w:style>
  <w:style w:type="character" w:customStyle="1" w:styleId="HeaderChar">
    <w:name w:val="Header Char"/>
    <w:basedOn w:val="DefaultParagraphFont"/>
    <w:link w:val="Header"/>
    <w:uiPriority w:val="99"/>
    <w:rsid w:val="00D62832"/>
  </w:style>
  <w:style w:type="paragraph" w:styleId="Footer">
    <w:name w:val="footer"/>
    <w:basedOn w:val="Normal"/>
    <w:link w:val="FooterChar"/>
    <w:uiPriority w:val="99"/>
    <w:unhideWhenUsed/>
    <w:rsid w:val="00D62832"/>
    <w:pPr>
      <w:tabs>
        <w:tab w:val="center" w:pos="4680"/>
        <w:tab w:val="right" w:pos="9360"/>
      </w:tabs>
    </w:pPr>
  </w:style>
  <w:style w:type="character" w:customStyle="1" w:styleId="FooterChar">
    <w:name w:val="Footer Char"/>
    <w:basedOn w:val="DefaultParagraphFont"/>
    <w:link w:val="Footer"/>
    <w:uiPriority w:val="99"/>
    <w:rsid w:val="00D62832"/>
  </w:style>
  <w:style w:type="character" w:styleId="CommentReference">
    <w:name w:val="annotation reference"/>
    <w:basedOn w:val="DefaultParagraphFont"/>
    <w:uiPriority w:val="99"/>
    <w:semiHidden/>
    <w:unhideWhenUsed/>
    <w:rsid w:val="00F5756A"/>
    <w:rPr>
      <w:sz w:val="16"/>
      <w:szCs w:val="16"/>
    </w:rPr>
  </w:style>
  <w:style w:type="paragraph" w:styleId="CommentText">
    <w:name w:val="annotation text"/>
    <w:basedOn w:val="Normal"/>
    <w:link w:val="CommentTextChar"/>
    <w:uiPriority w:val="99"/>
    <w:semiHidden/>
    <w:unhideWhenUsed/>
    <w:rsid w:val="00F5756A"/>
    <w:rPr>
      <w:sz w:val="20"/>
      <w:szCs w:val="20"/>
    </w:rPr>
  </w:style>
  <w:style w:type="character" w:customStyle="1" w:styleId="CommentTextChar">
    <w:name w:val="Comment Text Char"/>
    <w:basedOn w:val="DefaultParagraphFont"/>
    <w:link w:val="CommentText"/>
    <w:uiPriority w:val="99"/>
    <w:semiHidden/>
    <w:rsid w:val="00F5756A"/>
    <w:rPr>
      <w:sz w:val="20"/>
      <w:szCs w:val="20"/>
    </w:rPr>
  </w:style>
  <w:style w:type="paragraph" w:styleId="CommentSubject">
    <w:name w:val="annotation subject"/>
    <w:basedOn w:val="CommentText"/>
    <w:next w:val="CommentText"/>
    <w:link w:val="CommentSubjectChar"/>
    <w:uiPriority w:val="99"/>
    <w:semiHidden/>
    <w:unhideWhenUsed/>
    <w:rsid w:val="00F5756A"/>
    <w:rPr>
      <w:b/>
      <w:bCs/>
    </w:rPr>
  </w:style>
  <w:style w:type="character" w:customStyle="1" w:styleId="CommentSubjectChar">
    <w:name w:val="Comment Subject Char"/>
    <w:basedOn w:val="CommentTextChar"/>
    <w:link w:val="CommentSubject"/>
    <w:uiPriority w:val="99"/>
    <w:semiHidden/>
    <w:rsid w:val="00F575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Joy@waterboards.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8_stormwater@waterboards.ca.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awpa.org/collaboration/projects/lake-elsinore-canyon-lake-tmdl-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B08E-613E-492E-BF17-B1A56891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4605</Words>
  <Characters>25145</Characters>
  <Application>Microsoft Office Word</Application>
  <DocSecurity>0</DocSecurity>
  <PresentationFormat>15|.DOCX</PresentationFormat>
  <Lines>546</Lines>
  <Paragraphs>208</Paragraphs>
  <ScaleCrop>false</ScaleCrop>
  <HeadingPairs>
    <vt:vector size="2" baseType="variant">
      <vt:variant>
        <vt:lpstr>Title</vt:lpstr>
      </vt:variant>
      <vt:variant>
        <vt:i4>1</vt:i4>
      </vt:variant>
    </vt:vector>
  </HeadingPairs>
  <TitlesOfParts>
    <vt:vector size="1" baseType="lpstr">
      <vt:lpstr>2022_04_10 Draft Comments Staff Working Proposal Clean (00010274).DOCX</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2022_04_10 Draft Comments Staff Working Proposal Clean  (00010274.DOCX;1)</dc:title>
  <dc:subject>00010274.1</dc:subject>
  <dc:creator>Tess Dunham</dc:creator>
  <cp:keywords/>
  <dc:description/>
  <cp:lastModifiedBy>Tess Dunham</cp:lastModifiedBy>
  <cp:revision>14</cp:revision>
  <cp:lastPrinted>2022-03-31T01:55:00Z</cp:lastPrinted>
  <dcterms:created xsi:type="dcterms:W3CDTF">2022-04-10T22:44:00Z</dcterms:created>
  <dcterms:modified xsi:type="dcterms:W3CDTF">2022-04-15T18:45:00Z</dcterms:modified>
</cp:coreProperties>
</file>